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321" w14:textId="77777777" w:rsidR="005508E5" w:rsidRPr="007B750E" w:rsidRDefault="005508E5" w:rsidP="005508E5">
      <w:pPr>
        <w:spacing w:before="0"/>
        <w:ind w:right="-64"/>
        <w:rPr>
          <w:b/>
          <w:bCs/>
          <w:sz w:val="22"/>
          <w:szCs w:val="22"/>
          <w:lang w:eastAsia="en-US"/>
        </w:rPr>
      </w:pPr>
    </w:p>
    <w:p w14:paraId="1D1FB530" w14:textId="77777777" w:rsidR="005508E5" w:rsidRDefault="005508E5" w:rsidP="005508E5">
      <w:pPr>
        <w:spacing w:before="0"/>
        <w:jc w:val="center"/>
        <w:rPr>
          <w:rFonts w:eastAsiaTheme="minorHAnsi"/>
          <w:b/>
          <w:sz w:val="32"/>
          <w:szCs w:val="32"/>
          <w:lang w:eastAsia="en-US"/>
        </w:rPr>
      </w:pPr>
      <w:proofErr w:type="spellStart"/>
      <w:r>
        <w:rPr>
          <w:rFonts w:eastAsiaTheme="minorHAnsi"/>
          <w:b/>
          <w:sz w:val="32"/>
          <w:szCs w:val="32"/>
          <w:lang w:eastAsia="en-US"/>
        </w:rPr>
        <w:t>Krüptovara</w:t>
      </w:r>
      <w:proofErr w:type="spellEnd"/>
      <w:r>
        <w:rPr>
          <w:rFonts w:eastAsiaTheme="minorHAnsi"/>
          <w:b/>
          <w:sz w:val="32"/>
          <w:szCs w:val="32"/>
          <w:lang w:eastAsia="en-US"/>
        </w:rPr>
        <w:t xml:space="preserve"> ja </w:t>
      </w:r>
      <w:proofErr w:type="spellStart"/>
      <w:r>
        <w:rPr>
          <w:rFonts w:eastAsiaTheme="minorHAnsi"/>
          <w:b/>
          <w:sz w:val="32"/>
          <w:szCs w:val="32"/>
          <w:lang w:eastAsia="en-US"/>
        </w:rPr>
        <w:t>ü</w:t>
      </w:r>
      <w:r w:rsidRPr="00B9578A">
        <w:rPr>
          <w:rFonts w:eastAsiaTheme="minorHAnsi"/>
          <w:b/>
          <w:sz w:val="32"/>
          <w:szCs w:val="32"/>
          <w:lang w:eastAsia="en-US"/>
        </w:rPr>
        <w:t>hisrahastuse</w:t>
      </w:r>
      <w:proofErr w:type="spellEnd"/>
      <w:r w:rsidRPr="00B9578A">
        <w:rPr>
          <w:rFonts w:eastAsiaTheme="minorHAnsi"/>
          <w:b/>
          <w:sz w:val="32"/>
          <w:szCs w:val="32"/>
          <w:lang w:eastAsia="en-US"/>
        </w:rPr>
        <w:t xml:space="preserve"> seaduse eelnõu </w:t>
      </w:r>
    </w:p>
    <w:p w14:paraId="6476B100" w14:textId="77777777" w:rsidR="005508E5" w:rsidRPr="00B9578A" w:rsidRDefault="005508E5" w:rsidP="005508E5">
      <w:pPr>
        <w:spacing w:before="0"/>
        <w:jc w:val="center"/>
        <w:rPr>
          <w:rFonts w:eastAsiaTheme="minorHAnsi"/>
          <w:b/>
          <w:sz w:val="32"/>
          <w:szCs w:val="32"/>
          <w:lang w:eastAsia="en-US"/>
        </w:rPr>
      </w:pPr>
      <w:r w:rsidRPr="00B9578A">
        <w:rPr>
          <w:rFonts w:eastAsiaTheme="minorHAnsi"/>
          <w:b/>
          <w:sz w:val="32"/>
          <w:szCs w:val="32"/>
          <w:lang w:eastAsia="en-US"/>
        </w:rPr>
        <w:t>seletuskiri</w:t>
      </w:r>
    </w:p>
    <w:p w14:paraId="3871408A" w14:textId="77777777" w:rsidR="005508E5" w:rsidRDefault="005508E5" w:rsidP="005508E5">
      <w:pPr>
        <w:spacing w:before="0"/>
        <w:ind w:right="-64"/>
        <w:jc w:val="center"/>
        <w:rPr>
          <w:b/>
          <w:bCs/>
          <w:sz w:val="22"/>
          <w:szCs w:val="22"/>
          <w:lang w:eastAsia="en-US"/>
        </w:rPr>
      </w:pPr>
    </w:p>
    <w:p w14:paraId="6BC5CB6B" w14:textId="77777777" w:rsidR="005508E5" w:rsidRPr="009B469D" w:rsidRDefault="005508E5" w:rsidP="005508E5">
      <w:pPr>
        <w:spacing w:before="0"/>
        <w:ind w:right="-64"/>
        <w:jc w:val="center"/>
        <w:rPr>
          <w:b/>
          <w:bCs/>
          <w:sz w:val="22"/>
          <w:szCs w:val="22"/>
          <w:lang w:eastAsia="en-US"/>
        </w:rPr>
      </w:pPr>
    </w:p>
    <w:p w14:paraId="1E19A72F" w14:textId="77777777" w:rsidR="005508E5" w:rsidRPr="00137E34" w:rsidRDefault="005508E5" w:rsidP="005508E5">
      <w:pPr>
        <w:pStyle w:val="Heading1"/>
        <w:numPr>
          <w:ilvl w:val="0"/>
          <w:numId w:val="9"/>
        </w:numPr>
        <w:rPr>
          <w:sz w:val="22"/>
          <w:szCs w:val="22"/>
          <w:lang w:val="et-EE"/>
        </w:rPr>
      </w:pPr>
      <w:r w:rsidRPr="00137E34">
        <w:rPr>
          <w:sz w:val="22"/>
          <w:szCs w:val="22"/>
          <w:lang w:val="et-EE"/>
        </w:rPr>
        <w:t>Sissejuhatus</w:t>
      </w:r>
    </w:p>
    <w:p w14:paraId="592F6B59" w14:textId="77777777" w:rsidR="005508E5" w:rsidRDefault="005508E5" w:rsidP="005508E5">
      <w:pPr>
        <w:spacing w:before="0"/>
        <w:rPr>
          <w:spacing w:val="-5"/>
          <w:sz w:val="22"/>
          <w:szCs w:val="22"/>
        </w:rPr>
      </w:pPr>
    </w:p>
    <w:p w14:paraId="0B3614CB" w14:textId="77777777" w:rsidR="005508E5" w:rsidRPr="00B774AC" w:rsidRDefault="005508E5" w:rsidP="005508E5">
      <w:pPr>
        <w:numPr>
          <w:ilvl w:val="2"/>
          <w:numId w:val="9"/>
        </w:numPr>
        <w:spacing w:before="0"/>
        <w:ind w:hanging="810"/>
        <w:contextualSpacing/>
        <w:jc w:val="left"/>
        <w:rPr>
          <w:rFonts w:eastAsiaTheme="majorEastAsia"/>
          <w:b/>
          <w:bCs/>
          <w:sz w:val="22"/>
          <w:szCs w:val="22"/>
          <w:lang w:eastAsia="en-US"/>
        </w:rPr>
      </w:pPr>
      <w:r>
        <w:rPr>
          <w:rFonts w:eastAsiaTheme="majorEastAsia"/>
          <w:b/>
          <w:bCs/>
          <w:sz w:val="22"/>
          <w:szCs w:val="22"/>
          <w:lang w:eastAsia="en-US"/>
        </w:rPr>
        <w:t>Sisukokkuvõte</w:t>
      </w:r>
    </w:p>
    <w:p w14:paraId="34C872F5" w14:textId="77777777" w:rsidR="005508E5" w:rsidRPr="00B774AC" w:rsidRDefault="005508E5" w:rsidP="005508E5">
      <w:pPr>
        <w:spacing w:before="0"/>
        <w:ind w:left="810"/>
        <w:contextualSpacing/>
        <w:rPr>
          <w:rFonts w:eastAsiaTheme="majorEastAsia"/>
          <w:b/>
          <w:bCs/>
          <w:color w:val="002060"/>
          <w:sz w:val="22"/>
          <w:szCs w:val="22"/>
          <w:lang w:eastAsia="en-US"/>
        </w:rPr>
      </w:pPr>
    </w:p>
    <w:p w14:paraId="08EEF839" w14:textId="1D208405" w:rsidR="005508E5" w:rsidRDefault="005508E5" w:rsidP="005508E5">
      <w:pPr>
        <w:spacing w:before="0"/>
        <w:rPr>
          <w:bCs/>
          <w:sz w:val="22"/>
          <w:szCs w:val="22"/>
        </w:rPr>
      </w:pPr>
      <w:r w:rsidRPr="00B774AC">
        <w:rPr>
          <w:rFonts w:eastAsiaTheme="majorEastAsia"/>
          <w:bCs/>
          <w:sz w:val="22"/>
          <w:szCs w:val="22"/>
          <w:lang w:eastAsia="en-US"/>
        </w:rPr>
        <w:t>Käesol</w:t>
      </w:r>
      <w:r w:rsidRPr="00B774AC">
        <w:rPr>
          <w:sz w:val="22"/>
          <w:szCs w:val="22"/>
        </w:rPr>
        <w:t xml:space="preserve">ev eelnõu </w:t>
      </w:r>
      <w:r>
        <w:rPr>
          <w:sz w:val="22"/>
          <w:szCs w:val="22"/>
        </w:rPr>
        <w:t xml:space="preserve">(edaspidi </w:t>
      </w:r>
      <w:r w:rsidRPr="00C2313D">
        <w:rPr>
          <w:i/>
          <w:iCs/>
          <w:sz w:val="22"/>
          <w:szCs w:val="22"/>
        </w:rPr>
        <w:t>eelnõu</w:t>
      </w:r>
      <w:r>
        <w:rPr>
          <w:sz w:val="22"/>
          <w:szCs w:val="22"/>
        </w:rPr>
        <w:t>) r</w:t>
      </w:r>
      <w:r w:rsidRPr="00B774AC">
        <w:rPr>
          <w:sz w:val="22"/>
          <w:szCs w:val="22"/>
        </w:rPr>
        <w:t>eguleeri</w:t>
      </w:r>
      <w:r>
        <w:rPr>
          <w:sz w:val="22"/>
          <w:szCs w:val="22"/>
        </w:rPr>
        <w:t>b</w:t>
      </w:r>
      <w:r w:rsidRPr="00B774AC">
        <w:rPr>
          <w:sz w:val="22"/>
          <w:szCs w:val="22"/>
        </w:rPr>
        <w:t xml:space="preserve"> uudseid </w:t>
      </w:r>
      <w:r>
        <w:rPr>
          <w:sz w:val="22"/>
          <w:szCs w:val="22"/>
        </w:rPr>
        <w:t>ja</w:t>
      </w:r>
      <w:r w:rsidRPr="00B774AC">
        <w:rPr>
          <w:sz w:val="22"/>
          <w:szCs w:val="22"/>
        </w:rPr>
        <w:t xml:space="preserve"> innovaatilisi kapitali kaasamise viise</w:t>
      </w:r>
      <w:r>
        <w:rPr>
          <w:sz w:val="22"/>
          <w:szCs w:val="22"/>
        </w:rPr>
        <w:t xml:space="preserve"> või investeerimisvõimalusi nagu </w:t>
      </w:r>
      <w:proofErr w:type="spellStart"/>
      <w:r w:rsidRPr="006017DC">
        <w:rPr>
          <w:b/>
          <w:bCs/>
          <w:sz w:val="22"/>
          <w:szCs w:val="22"/>
        </w:rPr>
        <w:t>krüptovara</w:t>
      </w:r>
      <w:proofErr w:type="spellEnd"/>
      <w:r>
        <w:rPr>
          <w:sz w:val="22"/>
          <w:szCs w:val="22"/>
        </w:rPr>
        <w:t xml:space="preserve"> ja </w:t>
      </w:r>
      <w:proofErr w:type="spellStart"/>
      <w:r w:rsidRPr="006017DC">
        <w:rPr>
          <w:b/>
          <w:bCs/>
          <w:sz w:val="22"/>
          <w:szCs w:val="22"/>
        </w:rPr>
        <w:t>ühisrahastus</w:t>
      </w:r>
      <w:proofErr w:type="spellEnd"/>
      <w:r>
        <w:rPr>
          <w:sz w:val="22"/>
          <w:szCs w:val="22"/>
        </w:rPr>
        <w:t xml:space="preserve">. Eelkõige nähakse eelnõuga ette sellised nõuded, et tagada senisest suurem investorite kaitse vastavatesse alternatiivsetesse varaklassidesse (s.t. </w:t>
      </w:r>
      <w:proofErr w:type="spellStart"/>
      <w:r>
        <w:rPr>
          <w:sz w:val="22"/>
          <w:szCs w:val="22"/>
        </w:rPr>
        <w:t>krüptovarasse</w:t>
      </w:r>
      <w:proofErr w:type="spellEnd"/>
      <w:r>
        <w:rPr>
          <w:sz w:val="22"/>
          <w:szCs w:val="22"/>
        </w:rPr>
        <w:t xml:space="preserve"> ja </w:t>
      </w:r>
      <w:proofErr w:type="spellStart"/>
      <w:r>
        <w:rPr>
          <w:sz w:val="22"/>
          <w:szCs w:val="22"/>
        </w:rPr>
        <w:t>ühisrahastusprojektidesse</w:t>
      </w:r>
      <w:proofErr w:type="spellEnd"/>
      <w:r>
        <w:rPr>
          <w:sz w:val="22"/>
          <w:szCs w:val="22"/>
        </w:rPr>
        <w:t>) investeerimisel</w:t>
      </w:r>
      <w:r w:rsidRPr="00B774AC">
        <w:rPr>
          <w:sz w:val="22"/>
          <w:szCs w:val="22"/>
        </w:rPr>
        <w:t xml:space="preserve">. </w:t>
      </w:r>
    </w:p>
    <w:p w14:paraId="52B566AB" w14:textId="77777777" w:rsidR="005508E5" w:rsidRDefault="005508E5" w:rsidP="005508E5">
      <w:pPr>
        <w:spacing w:before="0"/>
        <w:rPr>
          <w:bCs/>
          <w:sz w:val="22"/>
          <w:szCs w:val="22"/>
        </w:rPr>
      </w:pPr>
    </w:p>
    <w:p w14:paraId="14307E4C" w14:textId="77777777" w:rsidR="005508E5" w:rsidRPr="00B774AC" w:rsidRDefault="005508E5" w:rsidP="005508E5">
      <w:pPr>
        <w:spacing w:before="0"/>
        <w:rPr>
          <w:sz w:val="22"/>
          <w:szCs w:val="22"/>
        </w:rPr>
      </w:pPr>
      <w:r>
        <w:rPr>
          <w:sz w:val="22"/>
          <w:szCs w:val="22"/>
        </w:rPr>
        <w:t xml:space="preserve">Eelnõu kohaldamisalasse kuuluvad </w:t>
      </w:r>
      <w:r w:rsidRPr="00B774AC">
        <w:rPr>
          <w:sz w:val="22"/>
          <w:szCs w:val="22"/>
        </w:rPr>
        <w:t>Eestis tegutseva</w:t>
      </w:r>
      <w:r>
        <w:rPr>
          <w:sz w:val="22"/>
          <w:szCs w:val="22"/>
        </w:rPr>
        <w:t>d järgmised juriidilised isikud</w:t>
      </w:r>
      <w:r w:rsidRPr="00B774AC">
        <w:rPr>
          <w:sz w:val="22"/>
          <w:szCs w:val="22"/>
        </w:rPr>
        <w:t>:</w:t>
      </w:r>
    </w:p>
    <w:p w14:paraId="2369EAB9" w14:textId="77777777" w:rsidR="005508E5" w:rsidRPr="00B774AC" w:rsidRDefault="005508E5" w:rsidP="002B2C7C">
      <w:pPr>
        <w:numPr>
          <w:ilvl w:val="0"/>
          <w:numId w:val="15"/>
        </w:numPr>
        <w:spacing w:before="0"/>
        <w:ind w:left="284" w:hanging="284"/>
        <w:contextualSpacing/>
        <w:jc w:val="left"/>
        <w:rPr>
          <w:sz w:val="22"/>
          <w:szCs w:val="22"/>
        </w:rPr>
      </w:pPr>
      <w:r>
        <w:rPr>
          <w:b/>
          <w:sz w:val="22"/>
          <w:szCs w:val="22"/>
        </w:rPr>
        <w:t xml:space="preserve">ettevõtted, kes haldavad </w:t>
      </w:r>
      <w:proofErr w:type="spellStart"/>
      <w:r w:rsidRPr="00B774AC">
        <w:rPr>
          <w:b/>
          <w:sz w:val="22"/>
          <w:szCs w:val="22"/>
        </w:rPr>
        <w:t>ühisrahastusplatvorm</w:t>
      </w:r>
      <w:r>
        <w:rPr>
          <w:b/>
          <w:sz w:val="22"/>
          <w:szCs w:val="22"/>
        </w:rPr>
        <w:t>e</w:t>
      </w:r>
      <w:proofErr w:type="spellEnd"/>
      <w:r>
        <w:rPr>
          <w:b/>
          <w:sz w:val="22"/>
          <w:szCs w:val="22"/>
        </w:rPr>
        <w:t xml:space="preserve">, sh tarbimiskrediiti investeerimist võimaldavad </w:t>
      </w:r>
      <w:proofErr w:type="spellStart"/>
      <w:r>
        <w:rPr>
          <w:b/>
          <w:sz w:val="22"/>
          <w:szCs w:val="22"/>
        </w:rPr>
        <w:t>ühisrahastusplatvorme</w:t>
      </w:r>
      <w:proofErr w:type="spellEnd"/>
      <w:r>
        <w:rPr>
          <w:b/>
          <w:sz w:val="22"/>
          <w:szCs w:val="22"/>
        </w:rPr>
        <w:t xml:space="preserve"> (</w:t>
      </w:r>
      <w:proofErr w:type="spellStart"/>
      <w:r>
        <w:rPr>
          <w:b/>
          <w:sz w:val="22"/>
          <w:szCs w:val="22"/>
        </w:rPr>
        <w:t>ühisrahastusteenuse</w:t>
      </w:r>
      <w:proofErr w:type="spellEnd"/>
      <w:r>
        <w:rPr>
          <w:b/>
          <w:sz w:val="22"/>
          <w:szCs w:val="22"/>
        </w:rPr>
        <w:t xml:space="preserve"> osutajad)</w:t>
      </w:r>
      <w:r w:rsidRPr="00B774AC">
        <w:rPr>
          <w:sz w:val="22"/>
          <w:szCs w:val="22"/>
        </w:rPr>
        <w:t>;</w:t>
      </w:r>
    </w:p>
    <w:p w14:paraId="315E8F21" w14:textId="4B364C57" w:rsidR="005508E5" w:rsidRDefault="005508E5" w:rsidP="002B2C7C">
      <w:pPr>
        <w:numPr>
          <w:ilvl w:val="0"/>
          <w:numId w:val="15"/>
        </w:numPr>
        <w:spacing w:before="0"/>
        <w:ind w:left="284" w:hanging="284"/>
        <w:contextualSpacing/>
        <w:rPr>
          <w:sz w:val="22"/>
          <w:szCs w:val="22"/>
        </w:rPr>
      </w:pPr>
      <w:proofErr w:type="spellStart"/>
      <w:r w:rsidRPr="00B774AC">
        <w:rPr>
          <w:b/>
          <w:sz w:val="22"/>
          <w:szCs w:val="22"/>
        </w:rPr>
        <w:t>krüptovara</w:t>
      </w:r>
      <w:r>
        <w:rPr>
          <w:b/>
          <w:sz w:val="22"/>
          <w:szCs w:val="22"/>
        </w:rPr>
        <w:t>sse</w:t>
      </w:r>
      <w:proofErr w:type="spellEnd"/>
      <w:r>
        <w:rPr>
          <w:b/>
          <w:sz w:val="22"/>
          <w:szCs w:val="22"/>
        </w:rPr>
        <w:t xml:space="preserve"> investeerimist võimaldavad ettevõtted, </w:t>
      </w:r>
      <w:r w:rsidRPr="00B774AC">
        <w:rPr>
          <w:b/>
          <w:sz w:val="22"/>
          <w:szCs w:val="22"/>
        </w:rPr>
        <w:t>sh virtuaalvääringu teenuse osutaja</w:t>
      </w:r>
      <w:r>
        <w:rPr>
          <w:b/>
          <w:sz w:val="22"/>
          <w:szCs w:val="22"/>
        </w:rPr>
        <w:t>d (</w:t>
      </w:r>
      <w:proofErr w:type="spellStart"/>
      <w:r>
        <w:rPr>
          <w:b/>
          <w:sz w:val="22"/>
          <w:szCs w:val="22"/>
        </w:rPr>
        <w:t>krüptovarateenuse</w:t>
      </w:r>
      <w:proofErr w:type="spellEnd"/>
      <w:r>
        <w:rPr>
          <w:b/>
          <w:sz w:val="22"/>
          <w:szCs w:val="22"/>
        </w:rPr>
        <w:t xml:space="preserve"> osutajad)</w:t>
      </w:r>
      <w:r>
        <w:rPr>
          <w:sz w:val="22"/>
          <w:szCs w:val="22"/>
        </w:rPr>
        <w:t>;</w:t>
      </w:r>
    </w:p>
    <w:p w14:paraId="13A5A940" w14:textId="2CD61ABC" w:rsidR="005508E5" w:rsidRPr="006E2550" w:rsidRDefault="005508E5" w:rsidP="002B2C7C">
      <w:pPr>
        <w:numPr>
          <w:ilvl w:val="0"/>
          <w:numId w:val="15"/>
        </w:numPr>
        <w:spacing w:before="0"/>
        <w:ind w:left="284" w:hanging="284"/>
        <w:contextualSpacing/>
        <w:rPr>
          <w:sz w:val="22"/>
          <w:szCs w:val="22"/>
        </w:rPr>
      </w:pPr>
      <w:r>
        <w:rPr>
          <w:b/>
          <w:sz w:val="22"/>
          <w:szCs w:val="22"/>
        </w:rPr>
        <w:t>ettevõt</w:t>
      </w:r>
      <w:r w:rsidR="009620ED">
        <w:rPr>
          <w:b/>
          <w:sz w:val="22"/>
          <w:szCs w:val="22"/>
        </w:rPr>
        <w:t>jad</w:t>
      </w:r>
      <w:r>
        <w:rPr>
          <w:b/>
          <w:sz w:val="22"/>
          <w:szCs w:val="22"/>
        </w:rPr>
        <w:t>, kes taotlevad läbi eeltoodud kanalite rahastust oma projektide jaoks (rahastuse taotlejad).</w:t>
      </w:r>
    </w:p>
    <w:p w14:paraId="555AC1EF" w14:textId="77777777" w:rsidR="005508E5" w:rsidRDefault="005508E5" w:rsidP="005508E5">
      <w:pPr>
        <w:spacing w:before="0"/>
        <w:contextualSpacing/>
        <w:rPr>
          <w:sz w:val="22"/>
          <w:szCs w:val="22"/>
        </w:rPr>
      </w:pPr>
    </w:p>
    <w:p w14:paraId="15CEC4D2" w14:textId="77777777" w:rsidR="005508E5" w:rsidRPr="006017DC" w:rsidRDefault="005508E5" w:rsidP="005508E5">
      <w:pPr>
        <w:spacing w:before="0"/>
        <w:contextualSpacing/>
        <w:rPr>
          <w:b/>
          <w:bCs/>
          <w:sz w:val="22"/>
          <w:szCs w:val="22"/>
        </w:rPr>
      </w:pPr>
      <w:r w:rsidRPr="006017DC">
        <w:rPr>
          <w:b/>
          <w:bCs/>
          <w:sz w:val="22"/>
          <w:szCs w:val="22"/>
        </w:rPr>
        <w:t xml:space="preserve">Eelnõuga kehtestatakse eeltoodud </w:t>
      </w:r>
      <w:r>
        <w:rPr>
          <w:b/>
          <w:bCs/>
          <w:sz w:val="22"/>
          <w:szCs w:val="22"/>
        </w:rPr>
        <w:t>isikutele</w:t>
      </w:r>
      <w:r w:rsidRPr="006017DC">
        <w:rPr>
          <w:b/>
          <w:bCs/>
          <w:sz w:val="22"/>
          <w:szCs w:val="22"/>
        </w:rPr>
        <w:t xml:space="preserve"> tegevusnõuded, sh investorikaitse alased nõuded, ja finantsjärelevalve Finantsinspektsiooni näol.</w:t>
      </w:r>
      <w:r>
        <w:rPr>
          <w:sz w:val="22"/>
          <w:szCs w:val="22"/>
        </w:rPr>
        <w:t xml:space="preserve"> </w:t>
      </w:r>
      <w:proofErr w:type="spellStart"/>
      <w:r>
        <w:rPr>
          <w:sz w:val="22"/>
          <w:szCs w:val="22"/>
        </w:rPr>
        <w:t>Krüptovarateenuste</w:t>
      </w:r>
      <w:proofErr w:type="spellEnd"/>
      <w:r>
        <w:rPr>
          <w:sz w:val="22"/>
          <w:szCs w:val="22"/>
        </w:rPr>
        <w:t xml:space="preserve"> ja </w:t>
      </w:r>
      <w:proofErr w:type="spellStart"/>
      <w:r>
        <w:rPr>
          <w:sz w:val="22"/>
          <w:szCs w:val="22"/>
        </w:rPr>
        <w:t>ü</w:t>
      </w:r>
      <w:r w:rsidRPr="00D85B8F">
        <w:rPr>
          <w:sz w:val="22"/>
          <w:szCs w:val="22"/>
        </w:rPr>
        <w:t>hisrahastusteenuste</w:t>
      </w:r>
      <w:proofErr w:type="spellEnd"/>
      <w:r w:rsidRPr="00D85B8F">
        <w:rPr>
          <w:sz w:val="22"/>
          <w:szCs w:val="22"/>
        </w:rPr>
        <w:t xml:space="preserve"> osutajad peavad </w:t>
      </w:r>
      <w:r>
        <w:rPr>
          <w:sz w:val="22"/>
          <w:szCs w:val="22"/>
        </w:rPr>
        <w:t xml:space="preserve">seega </w:t>
      </w:r>
      <w:r w:rsidRPr="00D85B8F">
        <w:rPr>
          <w:sz w:val="22"/>
          <w:szCs w:val="22"/>
        </w:rPr>
        <w:t>edaspidi teenuse osutamiseks taotlema Finantsinspektsioonilt tegevusloa, mis tähendab suuremat kontrolli sektori üle ja vähendab omakorda võimalikke pettuse juhtumeid.</w:t>
      </w:r>
      <w:r>
        <w:rPr>
          <w:sz w:val="22"/>
          <w:szCs w:val="22"/>
        </w:rPr>
        <w:t xml:space="preserve"> </w:t>
      </w:r>
      <w:r w:rsidRPr="006017DC">
        <w:rPr>
          <w:b/>
          <w:bCs/>
          <w:sz w:val="22"/>
          <w:szCs w:val="22"/>
        </w:rPr>
        <w:t xml:space="preserve">Investorite jaoks suureneb eelnõuga läbipaistvus, sh teave projektide kohta muutub hõlpsamini kättesaadavaks ja selgemaks, sellele tekivad ühetaolised nõuded, mis võimaldab investoril paremini </w:t>
      </w:r>
      <w:proofErr w:type="spellStart"/>
      <w:r w:rsidRPr="006017DC">
        <w:rPr>
          <w:b/>
          <w:bCs/>
          <w:sz w:val="22"/>
          <w:szCs w:val="22"/>
        </w:rPr>
        <w:t>ühisrahastusprojekte</w:t>
      </w:r>
      <w:proofErr w:type="spellEnd"/>
      <w:r w:rsidRPr="006017DC">
        <w:rPr>
          <w:b/>
          <w:bCs/>
          <w:sz w:val="22"/>
          <w:szCs w:val="22"/>
        </w:rPr>
        <w:t xml:space="preserve"> ja </w:t>
      </w:r>
      <w:proofErr w:type="spellStart"/>
      <w:r w:rsidRPr="006017DC">
        <w:rPr>
          <w:b/>
          <w:bCs/>
          <w:sz w:val="22"/>
          <w:szCs w:val="22"/>
        </w:rPr>
        <w:t>krüptovaraprojekte</w:t>
      </w:r>
      <w:proofErr w:type="spellEnd"/>
      <w:r w:rsidRPr="006017DC">
        <w:rPr>
          <w:b/>
          <w:bCs/>
          <w:sz w:val="22"/>
          <w:szCs w:val="22"/>
        </w:rPr>
        <w:t xml:space="preserve"> omavahel võrrelda. Kokkuvõttes paraneb eelnõuga investorite jaoks kindlus, et nende vahendid on nö piisavalt kaitstud. </w:t>
      </w:r>
    </w:p>
    <w:p w14:paraId="38615B58" w14:textId="77777777" w:rsidR="005508E5" w:rsidRDefault="005508E5" w:rsidP="005508E5">
      <w:pPr>
        <w:spacing w:before="0"/>
        <w:contextualSpacing/>
        <w:rPr>
          <w:sz w:val="22"/>
          <w:szCs w:val="22"/>
        </w:rPr>
      </w:pPr>
    </w:p>
    <w:p w14:paraId="09FA1B82" w14:textId="77777777" w:rsidR="005508E5" w:rsidRDefault="005508E5" w:rsidP="005508E5">
      <w:pPr>
        <w:spacing w:before="0"/>
        <w:contextualSpacing/>
        <w:rPr>
          <w:sz w:val="22"/>
          <w:szCs w:val="22"/>
        </w:rPr>
      </w:pPr>
      <w:r>
        <w:rPr>
          <w:sz w:val="22"/>
          <w:szCs w:val="22"/>
        </w:rPr>
        <w:t>Eelnõu on läbinud kaks kooskõlastusringi</w:t>
      </w:r>
      <w:r w:rsidRPr="009620ED">
        <w:rPr>
          <w:rFonts w:eastAsiaTheme="minorEastAsia"/>
          <w:sz w:val="22"/>
          <w:szCs w:val="22"/>
          <w:vertAlign w:val="superscript"/>
        </w:rPr>
        <w:footnoteReference w:id="1"/>
      </w:r>
      <w:r>
        <w:rPr>
          <w:sz w:val="22"/>
          <w:szCs w:val="22"/>
        </w:rPr>
        <w:t xml:space="preserve">. Tulenevalt laekunud tagasisidest on otsustatud eelnõu kohaldumisala teatud ulatuses muuta (kitsendada). Kui varasem eelnõu kohaldumisala hõlmas sisuliselt kõiki alternatiivseid investeerimisinstrumente, sh ka neid mida pakuti finantsplatvormide väliselt, siis uues eelnõus versioonis piiritletakse eelnõu kohaldumisala konkreetselt </w:t>
      </w:r>
      <w:proofErr w:type="spellStart"/>
      <w:r>
        <w:rPr>
          <w:sz w:val="22"/>
          <w:szCs w:val="22"/>
        </w:rPr>
        <w:t>krütpovaraga</w:t>
      </w:r>
      <w:proofErr w:type="spellEnd"/>
      <w:r>
        <w:rPr>
          <w:sz w:val="22"/>
          <w:szCs w:val="22"/>
        </w:rPr>
        <w:t xml:space="preserve"> ja selliste </w:t>
      </w:r>
      <w:proofErr w:type="spellStart"/>
      <w:r>
        <w:rPr>
          <w:sz w:val="22"/>
          <w:szCs w:val="22"/>
        </w:rPr>
        <w:t>ühisrahastusprojektidega</w:t>
      </w:r>
      <w:proofErr w:type="spellEnd"/>
      <w:r>
        <w:rPr>
          <w:sz w:val="22"/>
          <w:szCs w:val="22"/>
        </w:rPr>
        <w:t>, mida pakutakse läbi vastavate finantsvahendusplatvormide.</w:t>
      </w:r>
      <w:r w:rsidRPr="006017DC">
        <w:rPr>
          <w:sz w:val="22"/>
          <w:szCs w:val="22"/>
        </w:rPr>
        <w:t xml:space="preserve"> </w:t>
      </w:r>
    </w:p>
    <w:p w14:paraId="5AFE0A37" w14:textId="77777777" w:rsidR="005508E5" w:rsidRDefault="005508E5" w:rsidP="005508E5">
      <w:pPr>
        <w:spacing w:before="0"/>
        <w:contextualSpacing/>
        <w:rPr>
          <w:sz w:val="22"/>
          <w:szCs w:val="22"/>
        </w:rPr>
      </w:pPr>
    </w:p>
    <w:p w14:paraId="5EDABE77" w14:textId="77777777" w:rsidR="005508E5" w:rsidRDefault="005508E5" w:rsidP="005508E5">
      <w:pPr>
        <w:spacing w:before="0"/>
        <w:contextualSpacing/>
        <w:rPr>
          <w:b/>
          <w:sz w:val="22"/>
          <w:szCs w:val="22"/>
        </w:rPr>
      </w:pPr>
      <w:r w:rsidRPr="00B774AC">
        <w:rPr>
          <w:sz w:val="22"/>
          <w:szCs w:val="22"/>
        </w:rPr>
        <w:t>Järgmisel joonisel on näha</w:t>
      </w:r>
      <w:r>
        <w:rPr>
          <w:sz w:val="22"/>
          <w:szCs w:val="22"/>
        </w:rPr>
        <w:t xml:space="preserve"> eelnõu uus kohaldumisala. Võrreldes eelnõu varasema versiooniga on see seega üksjagu piiritletum ja konkreetsem (eelkõige on loobutud investeerimisinstrumendi põhisest lähenemisest).</w:t>
      </w:r>
      <w:r w:rsidRPr="006017DC">
        <w:rPr>
          <w:b/>
          <w:sz w:val="22"/>
          <w:szCs w:val="22"/>
        </w:rPr>
        <w:t xml:space="preserve"> </w:t>
      </w:r>
    </w:p>
    <w:p w14:paraId="08C9B6F2" w14:textId="77777777" w:rsidR="005508E5" w:rsidRDefault="005508E5" w:rsidP="005508E5">
      <w:pPr>
        <w:spacing w:before="0"/>
        <w:contextualSpacing/>
        <w:rPr>
          <w:b/>
          <w:sz w:val="22"/>
          <w:szCs w:val="22"/>
        </w:rPr>
      </w:pPr>
    </w:p>
    <w:p w14:paraId="3D7C21FA" w14:textId="77777777" w:rsidR="005508E5" w:rsidRPr="006017DC" w:rsidRDefault="005508E5" w:rsidP="005508E5">
      <w:pPr>
        <w:spacing w:before="0"/>
        <w:contextualSpacing/>
        <w:rPr>
          <w:sz w:val="20"/>
          <w:szCs w:val="20"/>
        </w:rPr>
      </w:pPr>
      <w:r>
        <w:rPr>
          <w:b/>
          <w:sz w:val="20"/>
          <w:szCs w:val="20"/>
        </w:rPr>
        <w:t>Tabel</w:t>
      </w:r>
      <w:r w:rsidRPr="006017DC">
        <w:rPr>
          <w:b/>
          <w:sz w:val="20"/>
          <w:szCs w:val="20"/>
        </w:rPr>
        <w:t xml:space="preserve"> 1. Eelnõu uue versiooni kohaldumisala</w:t>
      </w:r>
    </w:p>
    <w:tbl>
      <w:tblPr>
        <w:tblW w:w="0" w:type="auto"/>
        <w:tblLook w:val="04A0" w:firstRow="1" w:lastRow="0" w:firstColumn="1" w:lastColumn="0" w:noHBand="0" w:noVBand="1"/>
      </w:tblPr>
      <w:tblGrid>
        <w:gridCol w:w="1806"/>
        <w:gridCol w:w="1807"/>
        <w:gridCol w:w="1831"/>
        <w:gridCol w:w="1794"/>
        <w:gridCol w:w="1833"/>
      </w:tblGrid>
      <w:tr w:rsidR="005508E5" w:rsidRPr="006017DC" w14:paraId="574A5754" w14:textId="77777777" w:rsidTr="00A3112A">
        <w:tc>
          <w:tcPr>
            <w:tcW w:w="5637" w:type="dxa"/>
            <w:gridSpan w:val="3"/>
            <w:tcBorders>
              <w:bottom w:val="single" w:sz="4" w:space="0" w:color="auto"/>
            </w:tcBorders>
            <w:shd w:val="pct10" w:color="auto" w:fill="auto"/>
          </w:tcPr>
          <w:p w14:paraId="5E305946" w14:textId="77777777" w:rsidR="005508E5" w:rsidRPr="006017DC" w:rsidRDefault="005508E5" w:rsidP="00E672AE">
            <w:pPr>
              <w:spacing w:before="0"/>
              <w:jc w:val="center"/>
              <w:rPr>
                <w:b/>
                <w:sz w:val="20"/>
                <w:szCs w:val="20"/>
              </w:rPr>
            </w:pPr>
            <w:proofErr w:type="spellStart"/>
            <w:r w:rsidRPr="006017DC">
              <w:rPr>
                <w:b/>
                <w:sz w:val="20"/>
                <w:szCs w:val="20"/>
              </w:rPr>
              <w:t>Ühisrahastusplatvormid</w:t>
            </w:r>
            <w:proofErr w:type="spellEnd"/>
          </w:p>
        </w:tc>
        <w:tc>
          <w:tcPr>
            <w:tcW w:w="1879" w:type="dxa"/>
            <w:tcBorders>
              <w:bottom w:val="single" w:sz="4" w:space="0" w:color="auto"/>
            </w:tcBorders>
            <w:shd w:val="pct10" w:color="auto" w:fill="auto"/>
          </w:tcPr>
          <w:p w14:paraId="7FDDAA04" w14:textId="77777777" w:rsidR="005508E5" w:rsidRPr="006017DC" w:rsidRDefault="005508E5" w:rsidP="00E672AE">
            <w:pPr>
              <w:spacing w:before="0"/>
              <w:jc w:val="center"/>
              <w:rPr>
                <w:b/>
                <w:sz w:val="20"/>
                <w:szCs w:val="20"/>
              </w:rPr>
            </w:pPr>
            <w:proofErr w:type="spellStart"/>
            <w:r w:rsidRPr="006017DC">
              <w:rPr>
                <w:b/>
                <w:sz w:val="20"/>
                <w:szCs w:val="20"/>
              </w:rPr>
              <w:t>Krüptovara</w:t>
            </w:r>
            <w:proofErr w:type="spellEnd"/>
          </w:p>
        </w:tc>
        <w:tc>
          <w:tcPr>
            <w:tcW w:w="1879" w:type="dxa"/>
            <w:tcBorders>
              <w:bottom w:val="single" w:sz="4" w:space="0" w:color="auto"/>
            </w:tcBorders>
            <w:shd w:val="pct10" w:color="auto" w:fill="auto"/>
          </w:tcPr>
          <w:p w14:paraId="75D0689D" w14:textId="77777777" w:rsidR="005508E5" w:rsidRPr="006017DC" w:rsidRDefault="005508E5" w:rsidP="00E672AE">
            <w:pPr>
              <w:spacing w:before="0"/>
              <w:jc w:val="center"/>
              <w:rPr>
                <w:b/>
                <w:sz w:val="20"/>
                <w:szCs w:val="20"/>
              </w:rPr>
            </w:pPr>
            <w:r w:rsidRPr="006017DC">
              <w:rPr>
                <w:b/>
                <w:sz w:val="20"/>
                <w:szCs w:val="20"/>
              </w:rPr>
              <w:t>Muud emitendid</w:t>
            </w:r>
          </w:p>
        </w:tc>
      </w:tr>
      <w:tr w:rsidR="005508E5" w:rsidRPr="006017DC" w14:paraId="0E4EA8CB" w14:textId="77777777" w:rsidTr="00A3112A">
        <w:tc>
          <w:tcPr>
            <w:tcW w:w="1879" w:type="dxa"/>
            <w:tcBorders>
              <w:top w:val="single" w:sz="4" w:space="0" w:color="auto"/>
              <w:left w:val="single" w:sz="4" w:space="0" w:color="auto"/>
              <w:bottom w:val="single" w:sz="4" w:space="0" w:color="auto"/>
              <w:right w:val="single" w:sz="4" w:space="0" w:color="auto"/>
            </w:tcBorders>
          </w:tcPr>
          <w:p w14:paraId="5A051AF0" w14:textId="77777777" w:rsidR="005508E5" w:rsidRPr="006017DC" w:rsidRDefault="005508E5" w:rsidP="00E672AE">
            <w:pPr>
              <w:spacing w:before="0"/>
              <w:jc w:val="center"/>
              <w:rPr>
                <w:bCs/>
                <w:sz w:val="20"/>
                <w:szCs w:val="20"/>
              </w:rPr>
            </w:pPr>
            <w:r w:rsidRPr="006017DC">
              <w:rPr>
                <w:bCs/>
                <w:sz w:val="20"/>
                <w:szCs w:val="20"/>
              </w:rPr>
              <w:t xml:space="preserve">Ettevõtetesse investeerimist võimaldav </w:t>
            </w:r>
            <w:proofErr w:type="spellStart"/>
            <w:r w:rsidRPr="006017DC">
              <w:rPr>
                <w:bCs/>
                <w:sz w:val="20"/>
                <w:szCs w:val="20"/>
              </w:rPr>
              <w:t>ühisrahastus</w:t>
            </w:r>
            <w:proofErr w:type="spellEnd"/>
            <w:r w:rsidRPr="006017DC">
              <w:rPr>
                <w:bCs/>
                <w:sz w:val="20"/>
                <w:szCs w:val="20"/>
              </w:rPr>
              <w:t xml:space="preserve"> (EL määruse kohaselt)</w:t>
            </w:r>
          </w:p>
        </w:tc>
        <w:tc>
          <w:tcPr>
            <w:tcW w:w="1879" w:type="dxa"/>
            <w:tcBorders>
              <w:top w:val="single" w:sz="4" w:space="0" w:color="auto"/>
              <w:left w:val="single" w:sz="4" w:space="0" w:color="auto"/>
              <w:bottom w:val="single" w:sz="4" w:space="0" w:color="auto"/>
              <w:right w:val="single" w:sz="4" w:space="0" w:color="auto"/>
            </w:tcBorders>
          </w:tcPr>
          <w:p w14:paraId="10E758D5" w14:textId="77777777" w:rsidR="005508E5" w:rsidRPr="006017DC" w:rsidRDefault="005508E5" w:rsidP="00E672AE">
            <w:pPr>
              <w:spacing w:before="0"/>
              <w:jc w:val="center"/>
              <w:rPr>
                <w:bCs/>
                <w:sz w:val="20"/>
                <w:szCs w:val="20"/>
              </w:rPr>
            </w:pPr>
            <w:r w:rsidRPr="006017DC">
              <w:rPr>
                <w:bCs/>
                <w:sz w:val="20"/>
                <w:szCs w:val="20"/>
              </w:rPr>
              <w:t xml:space="preserve">Ettevõtetesse investeerimist võimaldav </w:t>
            </w:r>
            <w:proofErr w:type="spellStart"/>
            <w:r w:rsidRPr="006017DC">
              <w:rPr>
                <w:bCs/>
                <w:sz w:val="20"/>
                <w:szCs w:val="20"/>
              </w:rPr>
              <w:t>ühisrahastus</w:t>
            </w:r>
            <w:proofErr w:type="spellEnd"/>
            <w:r w:rsidRPr="006017DC">
              <w:rPr>
                <w:bCs/>
                <w:sz w:val="20"/>
                <w:szCs w:val="20"/>
              </w:rPr>
              <w:t xml:space="preserve"> (EL määruse väline)</w:t>
            </w:r>
          </w:p>
        </w:tc>
        <w:tc>
          <w:tcPr>
            <w:tcW w:w="1879" w:type="dxa"/>
            <w:tcBorders>
              <w:top w:val="single" w:sz="4" w:space="0" w:color="auto"/>
              <w:left w:val="single" w:sz="4" w:space="0" w:color="auto"/>
              <w:bottom w:val="single" w:sz="4" w:space="0" w:color="auto"/>
              <w:right w:val="single" w:sz="4" w:space="0" w:color="auto"/>
            </w:tcBorders>
          </w:tcPr>
          <w:p w14:paraId="1647AF95" w14:textId="77777777" w:rsidR="005508E5" w:rsidRPr="006017DC" w:rsidRDefault="005508E5" w:rsidP="00E672AE">
            <w:pPr>
              <w:spacing w:before="0"/>
              <w:jc w:val="center"/>
              <w:rPr>
                <w:bCs/>
                <w:sz w:val="20"/>
                <w:szCs w:val="20"/>
              </w:rPr>
            </w:pPr>
            <w:r w:rsidRPr="006017DC">
              <w:rPr>
                <w:bCs/>
                <w:sz w:val="20"/>
                <w:szCs w:val="20"/>
              </w:rPr>
              <w:t xml:space="preserve">Tarbimiskrediiti investeerimist võimaldav </w:t>
            </w:r>
            <w:proofErr w:type="spellStart"/>
            <w:r w:rsidRPr="006017DC">
              <w:rPr>
                <w:bCs/>
                <w:sz w:val="20"/>
                <w:szCs w:val="20"/>
              </w:rPr>
              <w:t>ühisrahastus</w:t>
            </w:r>
            <w:proofErr w:type="spellEnd"/>
          </w:p>
        </w:tc>
        <w:tc>
          <w:tcPr>
            <w:tcW w:w="1879" w:type="dxa"/>
            <w:tcBorders>
              <w:top w:val="single" w:sz="4" w:space="0" w:color="auto"/>
              <w:left w:val="single" w:sz="4" w:space="0" w:color="auto"/>
              <w:bottom w:val="single" w:sz="4" w:space="0" w:color="auto"/>
              <w:right w:val="single" w:sz="4" w:space="0" w:color="auto"/>
            </w:tcBorders>
          </w:tcPr>
          <w:p w14:paraId="5727B68D" w14:textId="77777777" w:rsidR="005508E5" w:rsidRPr="006017DC" w:rsidRDefault="005508E5" w:rsidP="00E672AE">
            <w:pPr>
              <w:spacing w:before="0"/>
              <w:jc w:val="center"/>
              <w:rPr>
                <w:bCs/>
                <w:sz w:val="20"/>
                <w:szCs w:val="20"/>
              </w:rPr>
            </w:pPr>
            <w:r w:rsidRPr="006017DC">
              <w:rPr>
                <w:bCs/>
                <w:sz w:val="20"/>
                <w:szCs w:val="20"/>
              </w:rPr>
              <w:t xml:space="preserve">Erinevad </w:t>
            </w:r>
            <w:proofErr w:type="spellStart"/>
            <w:r w:rsidRPr="006017DC">
              <w:rPr>
                <w:bCs/>
                <w:sz w:val="20"/>
                <w:szCs w:val="20"/>
              </w:rPr>
              <w:t>krüptovara</w:t>
            </w:r>
            <w:proofErr w:type="spellEnd"/>
            <w:r w:rsidRPr="006017DC">
              <w:rPr>
                <w:bCs/>
                <w:sz w:val="20"/>
                <w:szCs w:val="20"/>
              </w:rPr>
              <w:t xml:space="preserve"> vormid v.a. </w:t>
            </w:r>
            <w:proofErr w:type="spellStart"/>
            <w:r w:rsidRPr="006017DC">
              <w:rPr>
                <w:bCs/>
                <w:sz w:val="20"/>
                <w:szCs w:val="20"/>
              </w:rPr>
              <w:t>NFT-d</w:t>
            </w:r>
            <w:proofErr w:type="spellEnd"/>
            <w:r w:rsidRPr="006017DC">
              <w:rPr>
                <w:bCs/>
                <w:sz w:val="20"/>
                <w:szCs w:val="20"/>
              </w:rPr>
              <w:t xml:space="preserve">, </w:t>
            </w:r>
            <w:proofErr w:type="spellStart"/>
            <w:r w:rsidRPr="006017DC">
              <w:rPr>
                <w:bCs/>
                <w:sz w:val="20"/>
                <w:szCs w:val="20"/>
              </w:rPr>
              <w:t>DeFI</w:t>
            </w:r>
            <w:proofErr w:type="spellEnd"/>
            <w:r w:rsidRPr="006017DC">
              <w:rPr>
                <w:bCs/>
                <w:sz w:val="20"/>
                <w:szCs w:val="20"/>
              </w:rPr>
              <w:t>-d</w:t>
            </w:r>
          </w:p>
        </w:tc>
        <w:tc>
          <w:tcPr>
            <w:tcW w:w="1879" w:type="dxa"/>
            <w:tcBorders>
              <w:top w:val="single" w:sz="4" w:space="0" w:color="auto"/>
              <w:left w:val="single" w:sz="4" w:space="0" w:color="auto"/>
              <w:bottom w:val="single" w:sz="4" w:space="0" w:color="auto"/>
              <w:right w:val="single" w:sz="4" w:space="0" w:color="auto"/>
            </w:tcBorders>
          </w:tcPr>
          <w:p w14:paraId="29932DBE" w14:textId="77777777" w:rsidR="005508E5" w:rsidRPr="006017DC" w:rsidRDefault="005508E5" w:rsidP="00E672AE">
            <w:pPr>
              <w:spacing w:before="0"/>
              <w:jc w:val="center"/>
              <w:rPr>
                <w:bCs/>
                <w:sz w:val="20"/>
                <w:szCs w:val="20"/>
              </w:rPr>
            </w:pPr>
            <w:r w:rsidRPr="006017DC">
              <w:rPr>
                <w:bCs/>
                <w:sz w:val="20"/>
                <w:szCs w:val="20"/>
              </w:rPr>
              <w:t>Mitte-</w:t>
            </w:r>
            <w:proofErr w:type="spellStart"/>
            <w:r w:rsidRPr="006017DC">
              <w:rPr>
                <w:bCs/>
                <w:sz w:val="20"/>
                <w:szCs w:val="20"/>
              </w:rPr>
              <w:t>MiFID</w:t>
            </w:r>
            <w:proofErr w:type="spellEnd"/>
            <w:r w:rsidRPr="006017DC">
              <w:rPr>
                <w:bCs/>
                <w:sz w:val="20"/>
                <w:szCs w:val="20"/>
              </w:rPr>
              <w:t xml:space="preserve"> väärtpaberid, mis ei kvalifitseeru </w:t>
            </w:r>
            <w:proofErr w:type="spellStart"/>
            <w:r w:rsidRPr="006017DC">
              <w:rPr>
                <w:bCs/>
                <w:sz w:val="20"/>
                <w:szCs w:val="20"/>
              </w:rPr>
              <w:t>krüptovaraks</w:t>
            </w:r>
            <w:proofErr w:type="spellEnd"/>
            <w:r w:rsidRPr="006017DC">
              <w:rPr>
                <w:bCs/>
                <w:sz w:val="20"/>
                <w:szCs w:val="20"/>
              </w:rPr>
              <w:t xml:space="preserve"> ega pakuta finantsplatvormi vahendusel</w:t>
            </w:r>
          </w:p>
        </w:tc>
      </w:tr>
      <w:tr w:rsidR="005508E5" w:rsidRPr="006017DC" w14:paraId="2CA39A7F" w14:textId="77777777" w:rsidTr="00A3112A">
        <w:tc>
          <w:tcPr>
            <w:tcW w:w="1879" w:type="dxa"/>
            <w:tcBorders>
              <w:top w:val="single" w:sz="4" w:space="0" w:color="auto"/>
              <w:left w:val="single" w:sz="4" w:space="0" w:color="auto"/>
              <w:bottom w:val="single" w:sz="4" w:space="0" w:color="auto"/>
              <w:right w:val="single" w:sz="4" w:space="0" w:color="auto"/>
            </w:tcBorders>
          </w:tcPr>
          <w:p w14:paraId="7AAE3442" w14:textId="77777777" w:rsidR="005508E5" w:rsidRPr="00D041BD" w:rsidRDefault="005508E5" w:rsidP="00E672AE">
            <w:pPr>
              <w:spacing w:before="0"/>
              <w:jc w:val="center"/>
              <w:rPr>
                <w:bCs/>
                <w:sz w:val="20"/>
                <w:szCs w:val="20"/>
              </w:rPr>
            </w:pPr>
            <w:r w:rsidRPr="00D041BD">
              <w:rPr>
                <w:bCs/>
                <w:sz w:val="20"/>
                <w:szCs w:val="20"/>
              </w:rPr>
              <w:t>Eelnõu kohaldub osaliselt (eelkõige järelevalve ja vastutuse peatükid)</w:t>
            </w:r>
          </w:p>
        </w:tc>
        <w:tc>
          <w:tcPr>
            <w:tcW w:w="1879" w:type="dxa"/>
            <w:tcBorders>
              <w:top w:val="single" w:sz="4" w:space="0" w:color="auto"/>
              <w:left w:val="single" w:sz="4" w:space="0" w:color="auto"/>
              <w:bottom w:val="single" w:sz="4" w:space="0" w:color="auto"/>
              <w:right w:val="single" w:sz="4" w:space="0" w:color="auto"/>
            </w:tcBorders>
          </w:tcPr>
          <w:p w14:paraId="0817B0E1" w14:textId="77777777" w:rsidR="005508E5" w:rsidRPr="00D041BD" w:rsidRDefault="005508E5" w:rsidP="00E672AE">
            <w:pPr>
              <w:spacing w:before="0"/>
              <w:jc w:val="center"/>
              <w:rPr>
                <w:bCs/>
                <w:sz w:val="20"/>
                <w:szCs w:val="20"/>
              </w:rPr>
            </w:pPr>
            <w:r w:rsidRPr="00D041BD">
              <w:rPr>
                <w:bCs/>
                <w:sz w:val="20"/>
                <w:szCs w:val="20"/>
              </w:rPr>
              <w:t>Eelnõu kohaldub</w:t>
            </w:r>
          </w:p>
        </w:tc>
        <w:tc>
          <w:tcPr>
            <w:tcW w:w="1879" w:type="dxa"/>
            <w:tcBorders>
              <w:top w:val="single" w:sz="4" w:space="0" w:color="auto"/>
              <w:left w:val="single" w:sz="4" w:space="0" w:color="auto"/>
              <w:bottom w:val="single" w:sz="4" w:space="0" w:color="auto"/>
              <w:right w:val="single" w:sz="4" w:space="0" w:color="auto"/>
            </w:tcBorders>
          </w:tcPr>
          <w:p w14:paraId="0FE9669B" w14:textId="77777777" w:rsidR="005508E5" w:rsidRPr="00D041BD" w:rsidRDefault="005508E5" w:rsidP="00E672AE">
            <w:pPr>
              <w:spacing w:before="0"/>
              <w:jc w:val="center"/>
              <w:rPr>
                <w:bCs/>
                <w:sz w:val="20"/>
                <w:szCs w:val="20"/>
              </w:rPr>
            </w:pPr>
            <w:r w:rsidRPr="00D041BD">
              <w:rPr>
                <w:bCs/>
                <w:sz w:val="20"/>
                <w:szCs w:val="20"/>
              </w:rPr>
              <w:t>Eelnõu kohaldub</w:t>
            </w:r>
          </w:p>
        </w:tc>
        <w:tc>
          <w:tcPr>
            <w:tcW w:w="1879" w:type="dxa"/>
            <w:tcBorders>
              <w:top w:val="single" w:sz="4" w:space="0" w:color="auto"/>
              <w:left w:val="single" w:sz="4" w:space="0" w:color="auto"/>
              <w:bottom w:val="single" w:sz="4" w:space="0" w:color="auto"/>
              <w:right w:val="single" w:sz="4" w:space="0" w:color="auto"/>
            </w:tcBorders>
          </w:tcPr>
          <w:p w14:paraId="08120B00" w14:textId="77777777" w:rsidR="005508E5" w:rsidRPr="00D041BD" w:rsidRDefault="005508E5" w:rsidP="00E672AE">
            <w:pPr>
              <w:spacing w:before="0"/>
              <w:jc w:val="center"/>
              <w:rPr>
                <w:bCs/>
                <w:sz w:val="20"/>
                <w:szCs w:val="20"/>
              </w:rPr>
            </w:pPr>
            <w:r w:rsidRPr="00D041BD">
              <w:rPr>
                <w:bCs/>
                <w:sz w:val="20"/>
                <w:szCs w:val="20"/>
              </w:rPr>
              <w:t>Eelnõu kohaldub</w:t>
            </w:r>
          </w:p>
        </w:tc>
        <w:tc>
          <w:tcPr>
            <w:tcW w:w="1879" w:type="dxa"/>
            <w:tcBorders>
              <w:top w:val="single" w:sz="4" w:space="0" w:color="auto"/>
              <w:left w:val="single" w:sz="4" w:space="0" w:color="auto"/>
              <w:bottom w:val="single" w:sz="4" w:space="0" w:color="auto"/>
              <w:right w:val="single" w:sz="4" w:space="0" w:color="auto"/>
            </w:tcBorders>
          </w:tcPr>
          <w:p w14:paraId="373CA570" w14:textId="77777777" w:rsidR="005508E5" w:rsidRPr="006017DC" w:rsidRDefault="005508E5" w:rsidP="00E672AE">
            <w:pPr>
              <w:spacing w:before="0"/>
              <w:jc w:val="center"/>
              <w:rPr>
                <w:bCs/>
                <w:sz w:val="20"/>
                <w:szCs w:val="20"/>
              </w:rPr>
            </w:pPr>
            <w:r w:rsidRPr="006017DC">
              <w:rPr>
                <w:bCs/>
                <w:sz w:val="20"/>
                <w:szCs w:val="20"/>
              </w:rPr>
              <w:t>Eelnõu ei kohaldu</w:t>
            </w:r>
          </w:p>
        </w:tc>
      </w:tr>
    </w:tbl>
    <w:p w14:paraId="1B6AC7B1" w14:textId="77777777" w:rsidR="005508E5" w:rsidRDefault="005508E5" w:rsidP="005508E5">
      <w:pPr>
        <w:spacing w:before="0"/>
        <w:rPr>
          <w:b/>
          <w:sz w:val="22"/>
          <w:szCs w:val="22"/>
        </w:rPr>
      </w:pPr>
    </w:p>
    <w:p w14:paraId="6A7B84B3" w14:textId="77777777" w:rsidR="005508E5" w:rsidRPr="00C526E1" w:rsidRDefault="005508E5" w:rsidP="005508E5">
      <w:pPr>
        <w:spacing w:before="0"/>
        <w:rPr>
          <w:bCs/>
          <w:sz w:val="22"/>
          <w:szCs w:val="22"/>
        </w:rPr>
      </w:pPr>
      <w:r w:rsidRPr="00C526E1">
        <w:rPr>
          <w:bCs/>
          <w:sz w:val="22"/>
          <w:szCs w:val="22"/>
        </w:rPr>
        <w:t>Lisaks</w:t>
      </w:r>
      <w:r>
        <w:rPr>
          <w:bCs/>
          <w:sz w:val="22"/>
          <w:szCs w:val="22"/>
        </w:rPr>
        <w:t xml:space="preserve"> kuna uues (käesolevas) eelnõu versioonis on tehtud mitmeid muudatusi lähtuvalt laekunud tagasisidest, siis on esitatud kokkuvõte peamistest muudatustest järgmises tabelis (antud ülevaade on samas esitatud suhteliselt lihtsustatud kujul ja väga üldistatud tasemel). Nagu tabelist aga näha, siis on eelnõuga muutunud nõuded mitmes punktis nö vähemkoormavamaks ja paindlikumaks, sh on arvestatud rohkem nende sektorite eripärasid.</w:t>
      </w:r>
    </w:p>
    <w:p w14:paraId="1F9EB819" w14:textId="77777777" w:rsidR="005508E5" w:rsidRDefault="005508E5" w:rsidP="005508E5">
      <w:pPr>
        <w:spacing w:before="0"/>
        <w:rPr>
          <w:bCs/>
          <w:iCs/>
          <w:spacing w:val="-5"/>
          <w:sz w:val="22"/>
          <w:szCs w:val="22"/>
          <w:lang w:eastAsia="en-US"/>
        </w:rPr>
      </w:pPr>
    </w:p>
    <w:p w14:paraId="27094E3B" w14:textId="77777777" w:rsidR="005508E5" w:rsidRPr="004523B3" w:rsidRDefault="005508E5" w:rsidP="005508E5">
      <w:pPr>
        <w:spacing w:before="0"/>
        <w:rPr>
          <w:b/>
          <w:iCs/>
          <w:spacing w:val="-5"/>
          <w:sz w:val="20"/>
          <w:szCs w:val="20"/>
          <w:lang w:eastAsia="en-US"/>
        </w:rPr>
      </w:pPr>
      <w:r w:rsidRPr="004523B3">
        <w:rPr>
          <w:b/>
          <w:iCs/>
          <w:spacing w:val="-5"/>
          <w:sz w:val="20"/>
          <w:szCs w:val="20"/>
          <w:lang w:eastAsia="en-US"/>
        </w:rPr>
        <w:t>Tabel 2. Eelnõus uues versioonis tehtud põhilised muudatused võrreldes varasemaga versiooniga</w:t>
      </w:r>
    </w:p>
    <w:tbl>
      <w:tblPr>
        <w:tblW w:w="9499" w:type="dxa"/>
        <w:tblInd w:w="-142" w:type="dxa"/>
        <w:tblLook w:val="04A0" w:firstRow="1" w:lastRow="0" w:firstColumn="1" w:lastColumn="0" w:noHBand="0" w:noVBand="1"/>
      </w:tblPr>
      <w:tblGrid>
        <w:gridCol w:w="2772"/>
        <w:gridCol w:w="3413"/>
        <w:gridCol w:w="3314"/>
      </w:tblGrid>
      <w:tr w:rsidR="005508E5" w:rsidRPr="00C00027" w14:paraId="0212EF87" w14:textId="77777777" w:rsidTr="00A3112A">
        <w:tc>
          <w:tcPr>
            <w:tcW w:w="2269" w:type="dxa"/>
            <w:tcBorders>
              <w:bottom w:val="single" w:sz="4" w:space="0" w:color="auto"/>
            </w:tcBorders>
            <w:shd w:val="pct10" w:color="auto" w:fill="auto"/>
          </w:tcPr>
          <w:p w14:paraId="2B0AFB49" w14:textId="77777777" w:rsidR="005508E5" w:rsidRPr="000E1C84" w:rsidRDefault="005508E5" w:rsidP="00E672AE">
            <w:pPr>
              <w:spacing w:before="0"/>
              <w:jc w:val="center"/>
              <w:rPr>
                <w:b/>
                <w:iCs/>
                <w:spacing w:val="-5"/>
                <w:sz w:val="20"/>
                <w:szCs w:val="20"/>
                <w:lang w:eastAsia="en-US"/>
              </w:rPr>
            </w:pPr>
          </w:p>
        </w:tc>
        <w:tc>
          <w:tcPr>
            <w:tcW w:w="3686" w:type="dxa"/>
            <w:tcBorders>
              <w:bottom w:val="single" w:sz="4" w:space="0" w:color="auto"/>
            </w:tcBorders>
            <w:shd w:val="pct10" w:color="auto" w:fill="auto"/>
          </w:tcPr>
          <w:p w14:paraId="5F56EECB" w14:textId="77777777" w:rsidR="005508E5" w:rsidRPr="000E1C84" w:rsidRDefault="005508E5" w:rsidP="00E672AE">
            <w:pPr>
              <w:spacing w:before="0"/>
              <w:jc w:val="center"/>
              <w:rPr>
                <w:b/>
                <w:iCs/>
                <w:spacing w:val="-5"/>
                <w:sz w:val="20"/>
                <w:szCs w:val="20"/>
                <w:lang w:eastAsia="en-US"/>
              </w:rPr>
            </w:pPr>
            <w:r w:rsidRPr="000E1C84">
              <w:rPr>
                <w:b/>
                <w:iCs/>
                <w:spacing w:val="-5"/>
                <w:sz w:val="20"/>
                <w:szCs w:val="20"/>
                <w:lang w:eastAsia="en-US"/>
              </w:rPr>
              <w:t>Eelmine eelnõu versioon</w:t>
            </w:r>
          </w:p>
        </w:tc>
        <w:tc>
          <w:tcPr>
            <w:tcW w:w="3544" w:type="dxa"/>
            <w:tcBorders>
              <w:bottom w:val="single" w:sz="4" w:space="0" w:color="auto"/>
            </w:tcBorders>
            <w:shd w:val="pct10" w:color="auto" w:fill="auto"/>
          </w:tcPr>
          <w:p w14:paraId="2513C255" w14:textId="77777777" w:rsidR="005508E5" w:rsidRPr="000E1C84" w:rsidRDefault="005508E5" w:rsidP="00E672AE">
            <w:pPr>
              <w:spacing w:before="0"/>
              <w:jc w:val="center"/>
              <w:rPr>
                <w:b/>
                <w:iCs/>
                <w:spacing w:val="-5"/>
                <w:sz w:val="20"/>
                <w:szCs w:val="20"/>
                <w:lang w:eastAsia="en-US"/>
              </w:rPr>
            </w:pPr>
            <w:r w:rsidRPr="000E1C84">
              <w:rPr>
                <w:b/>
                <w:iCs/>
                <w:spacing w:val="-5"/>
                <w:sz w:val="20"/>
                <w:szCs w:val="20"/>
                <w:lang w:eastAsia="en-US"/>
              </w:rPr>
              <w:t>Uus (käesolev) eelnõu versioon</w:t>
            </w:r>
          </w:p>
        </w:tc>
      </w:tr>
      <w:tr w:rsidR="005508E5" w:rsidRPr="00C00027" w14:paraId="3BBCC4C0" w14:textId="77777777" w:rsidTr="00A3112A">
        <w:tc>
          <w:tcPr>
            <w:tcW w:w="2269" w:type="dxa"/>
            <w:tcBorders>
              <w:top w:val="single" w:sz="4" w:space="0" w:color="auto"/>
              <w:left w:val="single" w:sz="4" w:space="0" w:color="auto"/>
              <w:bottom w:val="single" w:sz="4" w:space="0" w:color="auto"/>
              <w:right w:val="single" w:sz="4" w:space="0" w:color="auto"/>
            </w:tcBorders>
          </w:tcPr>
          <w:p w14:paraId="2B7BCDCF"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Kohaldumisala</w:t>
            </w:r>
            <w:r>
              <w:rPr>
                <w:bCs/>
                <w:iCs/>
                <w:spacing w:val="-5"/>
                <w:sz w:val="20"/>
                <w:szCs w:val="20"/>
              </w:rPr>
              <w:t>/definitsioonid</w:t>
            </w:r>
          </w:p>
        </w:tc>
        <w:tc>
          <w:tcPr>
            <w:tcW w:w="3686" w:type="dxa"/>
            <w:tcBorders>
              <w:top w:val="single" w:sz="4" w:space="0" w:color="auto"/>
              <w:left w:val="single" w:sz="4" w:space="0" w:color="auto"/>
              <w:bottom w:val="single" w:sz="4" w:space="0" w:color="auto"/>
              <w:right w:val="single" w:sz="4" w:space="0" w:color="auto"/>
            </w:tcBorders>
          </w:tcPr>
          <w:p w14:paraId="479347C8" w14:textId="77777777" w:rsidR="005508E5" w:rsidRPr="000E1C84" w:rsidRDefault="005508E5" w:rsidP="00E672AE">
            <w:pPr>
              <w:spacing w:before="0"/>
              <w:rPr>
                <w:bCs/>
                <w:iCs/>
                <w:spacing w:val="-5"/>
                <w:sz w:val="20"/>
                <w:szCs w:val="20"/>
                <w:lang w:eastAsia="en-US"/>
              </w:rPr>
            </w:pPr>
            <w:r>
              <w:rPr>
                <w:bCs/>
                <w:iCs/>
                <w:spacing w:val="-5"/>
                <w:sz w:val="20"/>
                <w:szCs w:val="20"/>
                <w:lang w:eastAsia="en-US"/>
              </w:rPr>
              <w:t>Eelnõu lähtus investeerimisinstrumendi mõistest.</w:t>
            </w:r>
          </w:p>
        </w:tc>
        <w:tc>
          <w:tcPr>
            <w:tcW w:w="3544" w:type="dxa"/>
            <w:tcBorders>
              <w:top w:val="single" w:sz="4" w:space="0" w:color="auto"/>
              <w:left w:val="single" w:sz="4" w:space="0" w:color="auto"/>
              <w:bottom w:val="single" w:sz="4" w:space="0" w:color="auto"/>
              <w:right w:val="single" w:sz="4" w:space="0" w:color="auto"/>
            </w:tcBorders>
          </w:tcPr>
          <w:p w14:paraId="78359C5E" w14:textId="77777777" w:rsidR="005508E5" w:rsidRPr="000E1C84" w:rsidRDefault="005508E5" w:rsidP="00E672AE">
            <w:pPr>
              <w:spacing w:before="0"/>
              <w:rPr>
                <w:bCs/>
                <w:iCs/>
                <w:spacing w:val="-5"/>
                <w:sz w:val="20"/>
                <w:szCs w:val="20"/>
                <w:lang w:eastAsia="en-US"/>
              </w:rPr>
            </w:pPr>
            <w:r>
              <w:rPr>
                <w:bCs/>
                <w:iCs/>
                <w:spacing w:val="-5"/>
                <w:sz w:val="20"/>
                <w:szCs w:val="20"/>
                <w:lang w:eastAsia="en-US"/>
              </w:rPr>
              <w:t xml:space="preserve">Investeerimisinstrumendi mõistest on loobutud. Lähtutakse konkreetselt </w:t>
            </w:r>
            <w:proofErr w:type="spellStart"/>
            <w:r>
              <w:rPr>
                <w:bCs/>
                <w:iCs/>
                <w:spacing w:val="-5"/>
                <w:sz w:val="20"/>
                <w:szCs w:val="20"/>
                <w:lang w:eastAsia="en-US"/>
              </w:rPr>
              <w:t>krüptovara</w:t>
            </w:r>
            <w:proofErr w:type="spellEnd"/>
            <w:r>
              <w:rPr>
                <w:bCs/>
                <w:iCs/>
                <w:spacing w:val="-5"/>
                <w:sz w:val="20"/>
                <w:szCs w:val="20"/>
                <w:lang w:eastAsia="en-US"/>
              </w:rPr>
              <w:t xml:space="preserve"> ja </w:t>
            </w:r>
            <w:proofErr w:type="spellStart"/>
            <w:r>
              <w:rPr>
                <w:bCs/>
                <w:iCs/>
                <w:spacing w:val="-5"/>
                <w:sz w:val="20"/>
                <w:szCs w:val="20"/>
                <w:lang w:eastAsia="en-US"/>
              </w:rPr>
              <w:t>ühisrahastuse</w:t>
            </w:r>
            <w:proofErr w:type="spellEnd"/>
            <w:r>
              <w:rPr>
                <w:bCs/>
                <w:iCs/>
                <w:spacing w:val="-5"/>
                <w:sz w:val="20"/>
                <w:szCs w:val="20"/>
                <w:lang w:eastAsia="en-US"/>
              </w:rPr>
              <w:t xml:space="preserve"> määratlusest.</w:t>
            </w:r>
          </w:p>
        </w:tc>
      </w:tr>
      <w:tr w:rsidR="005508E5" w:rsidRPr="00C00027" w14:paraId="17486C30" w14:textId="77777777" w:rsidTr="00A3112A">
        <w:tc>
          <w:tcPr>
            <w:tcW w:w="2269" w:type="dxa"/>
            <w:tcBorders>
              <w:top w:val="single" w:sz="4" w:space="0" w:color="auto"/>
              <w:left w:val="single" w:sz="4" w:space="0" w:color="auto"/>
              <w:bottom w:val="single" w:sz="4" w:space="0" w:color="auto"/>
              <w:right w:val="single" w:sz="4" w:space="0" w:color="auto"/>
            </w:tcBorders>
          </w:tcPr>
          <w:p w14:paraId="53D4C44E"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Teenuseosutaja tegevus välisriigis</w:t>
            </w:r>
          </w:p>
        </w:tc>
        <w:tc>
          <w:tcPr>
            <w:tcW w:w="3686" w:type="dxa"/>
            <w:tcBorders>
              <w:top w:val="single" w:sz="4" w:space="0" w:color="auto"/>
              <w:left w:val="single" w:sz="4" w:space="0" w:color="auto"/>
              <w:bottom w:val="single" w:sz="4" w:space="0" w:color="auto"/>
              <w:right w:val="single" w:sz="4" w:space="0" w:color="auto"/>
            </w:tcBorders>
          </w:tcPr>
          <w:p w14:paraId="247BB3E9" w14:textId="77777777" w:rsidR="005508E5" w:rsidRPr="000E1C84" w:rsidRDefault="005508E5" w:rsidP="00E672AE">
            <w:pPr>
              <w:spacing w:before="0"/>
              <w:rPr>
                <w:bCs/>
                <w:iCs/>
                <w:spacing w:val="-5"/>
                <w:sz w:val="20"/>
                <w:szCs w:val="20"/>
                <w:lang w:eastAsia="en-US"/>
              </w:rPr>
            </w:pPr>
            <w:r>
              <w:rPr>
                <w:bCs/>
                <w:iCs/>
                <w:spacing w:val="-5"/>
                <w:sz w:val="20"/>
                <w:szCs w:val="20"/>
                <w:lang w:eastAsia="en-US"/>
              </w:rPr>
              <w:t>Nähti ette, et FI saab ennetavalt sekkuda ja keelata tegutsemise välisriikides.</w:t>
            </w:r>
          </w:p>
        </w:tc>
        <w:tc>
          <w:tcPr>
            <w:tcW w:w="3544" w:type="dxa"/>
            <w:tcBorders>
              <w:top w:val="single" w:sz="4" w:space="0" w:color="auto"/>
              <w:left w:val="single" w:sz="4" w:space="0" w:color="auto"/>
              <w:bottom w:val="single" w:sz="4" w:space="0" w:color="auto"/>
              <w:right w:val="single" w:sz="4" w:space="0" w:color="auto"/>
            </w:tcBorders>
          </w:tcPr>
          <w:p w14:paraId="38B1C7BD" w14:textId="77777777" w:rsidR="005508E5" w:rsidRPr="000E1C84" w:rsidRDefault="005508E5" w:rsidP="00E672AE">
            <w:pPr>
              <w:spacing w:before="0"/>
              <w:rPr>
                <w:bCs/>
                <w:iCs/>
                <w:spacing w:val="-5"/>
                <w:sz w:val="20"/>
                <w:szCs w:val="20"/>
                <w:lang w:eastAsia="en-US"/>
              </w:rPr>
            </w:pPr>
            <w:r>
              <w:rPr>
                <w:bCs/>
                <w:iCs/>
                <w:spacing w:val="-5"/>
                <w:sz w:val="20"/>
                <w:szCs w:val="20"/>
                <w:lang w:eastAsia="en-US"/>
              </w:rPr>
              <w:t>Uute nõuete kohaselt ei piirata tegevust välisriikides, vajadusel nähakse siiski ette FI sekkumine tagantjärgi.</w:t>
            </w:r>
          </w:p>
        </w:tc>
      </w:tr>
      <w:tr w:rsidR="005508E5" w:rsidRPr="00C00027" w14:paraId="11B3557C" w14:textId="77777777" w:rsidTr="00A3112A">
        <w:tc>
          <w:tcPr>
            <w:tcW w:w="2269" w:type="dxa"/>
            <w:tcBorders>
              <w:top w:val="single" w:sz="4" w:space="0" w:color="auto"/>
              <w:left w:val="single" w:sz="4" w:space="0" w:color="auto"/>
              <w:bottom w:val="single" w:sz="4" w:space="0" w:color="auto"/>
              <w:right w:val="single" w:sz="4" w:space="0" w:color="auto"/>
            </w:tcBorders>
          </w:tcPr>
          <w:p w14:paraId="506B2EB3"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Nõuded juhtidele</w:t>
            </w:r>
          </w:p>
        </w:tc>
        <w:tc>
          <w:tcPr>
            <w:tcW w:w="3686" w:type="dxa"/>
            <w:tcBorders>
              <w:top w:val="single" w:sz="4" w:space="0" w:color="auto"/>
              <w:left w:val="single" w:sz="4" w:space="0" w:color="auto"/>
              <w:bottom w:val="single" w:sz="4" w:space="0" w:color="auto"/>
              <w:right w:val="single" w:sz="4" w:space="0" w:color="auto"/>
            </w:tcBorders>
          </w:tcPr>
          <w:p w14:paraId="3AEB6AE2" w14:textId="77777777" w:rsidR="005508E5" w:rsidRPr="000E1C84" w:rsidRDefault="005508E5" w:rsidP="00E672AE">
            <w:pPr>
              <w:spacing w:before="0"/>
              <w:rPr>
                <w:bCs/>
                <w:iCs/>
                <w:spacing w:val="-5"/>
                <w:sz w:val="20"/>
                <w:szCs w:val="20"/>
                <w:lang w:eastAsia="en-US"/>
              </w:rPr>
            </w:pPr>
            <w:r>
              <w:rPr>
                <w:bCs/>
                <w:iCs/>
                <w:spacing w:val="-5"/>
                <w:sz w:val="20"/>
                <w:szCs w:val="20"/>
                <w:lang w:eastAsia="en-US"/>
              </w:rPr>
              <w:t>Juhatuse ja nõukogu liikmetele olid ette nähtud nö kõrgendatud nõuded nende usaldusväärsusele.</w:t>
            </w:r>
          </w:p>
        </w:tc>
        <w:tc>
          <w:tcPr>
            <w:tcW w:w="3544" w:type="dxa"/>
            <w:tcBorders>
              <w:top w:val="single" w:sz="4" w:space="0" w:color="auto"/>
              <w:left w:val="single" w:sz="4" w:space="0" w:color="auto"/>
              <w:bottom w:val="single" w:sz="4" w:space="0" w:color="auto"/>
              <w:right w:val="single" w:sz="4" w:space="0" w:color="auto"/>
            </w:tcBorders>
          </w:tcPr>
          <w:p w14:paraId="7470427B" w14:textId="77777777" w:rsidR="005508E5" w:rsidRPr="000E1C84" w:rsidRDefault="005508E5" w:rsidP="00E672AE">
            <w:pPr>
              <w:spacing w:before="0"/>
              <w:rPr>
                <w:bCs/>
                <w:iCs/>
                <w:spacing w:val="-5"/>
                <w:sz w:val="20"/>
                <w:szCs w:val="20"/>
                <w:lang w:eastAsia="en-US"/>
              </w:rPr>
            </w:pPr>
            <w:r>
              <w:rPr>
                <w:bCs/>
                <w:iCs/>
                <w:spacing w:val="-5"/>
                <w:sz w:val="20"/>
                <w:szCs w:val="20"/>
                <w:lang w:eastAsia="en-US"/>
              </w:rPr>
              <w:t>Nõuded juhtide usaldusväärsusele jäid sisuliselt samaks. Lisati veel juurde nõue, et juhatuse peab olema vähemalt 2 liiget ja nõukogus 3 liiget. Samuti piiratakse teenuseosutaja juhi töötamist muudes finantsjärelevalve subjektides.</w:t>
            </w:r>
          </w:p>
        </w:tc>
      </w:tr>
      <w:tr w:rsidR="005508E5" w:rsidRPr="00C00027" w14:paraId="64266073" w14:textId="77777777" w:rsidTr="00A3112A">
        <w:tc>
          <w:tcPr>
            <w:tcW w:w="2269" w:type="dxa"/>
            <w:tcBorders>
              <w:top w:val="single" w:sz="4" w:space="0" w:color="auto"/>
              <w:left w:val="single" w:sz="4" w:space="0" w:color="auto"/>
              <w:bottom w:val="single" w:sz="4" w:space="0" w:color="auto"/>
              <w:right w:val="single" w:sz="4" w:space="0" w:color="auto"/>
            </w:tcBorders>
          </w:tcPr>
          <w:p w14:paraId="27E31FA2"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Organisatsioonisisesed nõuded</w:t>
            </w:r>
          </w:p>
        </w:tc>
        <w:tc>
          <w:tcPr>
            <w:tcW w:w="3686" w:type="dxa"/>
            <w:tcBorders>
              <w:top w:val="single" w:sz="4" w:space="0" w:color="auto"/>
              <w:left w:val="single" w:sz="4" w:space="0" w:color="auto"/>
              <w:bottom w:val="single" w:sz="4" w:space="0" w:color="auto"/>
              <w:right w:val="single" w:sz="4" w:space="0" w:color="auto"/>
            </w:tcBorders>
          </w:tcPr>
          <w:p w14:paraId="4F415C6C" w14:textId="77777777" w:rsidR="005508E5" w:rsidRPr="000E1C84" w:rsidRDefault="005508E5" w:rsidP="00E672AE">
            <w:pPr>
              <w:spacing w:before="0"/>
              <w:rPr>
                <w:bCs/>
                <w:iCs/>
                <w:spacing w:val="-5"/>
                <w:sz w:val="20"/>
                <w:szCs w:val="20"/>
                <w:lang w:eastAsia="en-US"/>
              </w:rPr>
            </w:pPr>
            <w:r>
              <w:rPr>
                <w:bCs/>
                <w:iCs/>
                <w:spacing w:val="-5"/>
                <w:sz w:val="20"/>
                <w:szCs w:val="20"/>
                <w:lang w:eastAsia="en-US"/>
              </w:rPr>
              <w:t xml:space="preserve">Nähti ette detailne </w:t>
            </w:r>
            <w:proofErr w:type="spellStart"/>
            <w:r>
              <w:rPr>
                <w:bCs/>
                <w:iCs/>
                <w:spacing w:val="-5"/>
                <w:sz w:val="20"/>
                <w:szCs w:val="20"/>
                <w:lang w:eastAsia="en-US"/>
              </w:rPr>
              <w:t>sise</w:t>
            </w:r>
            <w:proofErr w:type="spellEnd"/>
            <w:r>
              <w:rPr>
                <w:bCs/>
                <w:iCs/>
                <w:spacing w:val="-5"/>
                <w:sz w:val="20"/>
                <w:szCs w:val="20"/>
                <w:lang w:eastAsia="en-US"/>
              </w:rPr>
              <w:t>-eeskirjade kord ja sisekontrolli süsteem, samuti nõuded oma tegevuse edasiandmisele ning huvide konfliktide vältimisele ja maandamisele.</w:t>
            </w:r>
          </w:p>
        </w:tc>
        <w:tc>
          <w:tcPr>
            <w:tcW w:w="3544" w:type="dxa"/>
            <w:tcBorders>
              <w:top w:val="single" w:sz="4" w:space="0" w:color="auto"/>
              <w:left w:val="single" w:sz="4" w:space="0" w:color="auto"/>
              <w:bottom w:val="single" w:sz="4" w:space="0" w:color="auto"/>
              <w:right w:val="single" w:sz="4" w:space="0" w:color="auto"/>
            </w:tcBorders>
          </w:tcPr>
          <w:p w14:paraId="19837B85" w14:textId="77777777" w:rsidR="005508E5" w:rsidRPr="000E1C84" w:rsidRDefault="005508E5" w:rsidP="00E672AE">
            <w:pPr>
              <w:spacing w:before="0"/>
              <w:rPr>
                <w:bCs/>
                <w:iCs/>
                <w:spacing w:val="-5"/>
                <w:sz w:val="20"/>
                <w:szCs w:val="20"/>
                <w:lang w:eastAsia="en-US"/>
              </w:rPr>
            </w:pPr>
            <w:r>
              <w:rPr>
                <w:bCs/>
                <w:iCs/>
                <w:spacing w:val="-5"/>
                <w:sz w:val="20"/>
                <w:szCs w:val="20"/>
                <w:lang w:eastAsia="en-US"/>
              </w:rPr>
              <w:t>Vastavad nõuded on suuresti jäänud samaks, sisekontrolli osa on täiendatud sellega, et sõltuvalt teenuseosutaja suurusest on vajalik ette näha ka siseauditi funktsioon.</w:t>
            </w:r>
          </w:p>
        </w:tc>
      </w:tr>
      <w:tr w:rsidR="005508E5" w:rsidRPr="00C00027" w14:paraId="3E4DC58C" w14:textId="77777777" w:rsidTr="00A3112A">
        <w:tc>
          <w:tcPr>
            <w:tcW w:w="2269" w:type="dxa"/>
            <w:tcBorders>
              <w:top w:val="single" w:sz="4" w:space="0" w:color="auto"/>
              <w:left w:val="single" w:sz="4" w:space="0" w:color="auto"/>
              <w:bottom w:val="single" w:sz="4" w:space="0" w:color="auto"/>
              <w:right w:val="single" w:sz="4" w:space="0" w:color="auto"/>
            </w:tcBorders>
          </w:tcPr>
          <w:p w14:paraId="2F4F1264"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Nõuded teenuse osutamisele</w:t>
            </w:r>
          </w:p>
        </w:tc>
        <w:tc>
          <w:tcPr>
            <w:tcW w:w="3686" w:type="dxa"/>
            <w:tcBorders>
              <w:top w:val="single" w:sz="4" w:space="0" w:color="auto"/>
              <w:left w:val="single" w:sz="4" w:space="0" w:color="auto"/>
              <w:bottom w:val="single" w:sz="4" w:space="0" w:color="auto"/>
              <w:right w:val="single" w:sz="4" w:space="0" w:color="auto"/>
            </w:tcBorders>
          </w:tcPr>
          <w:p w14:paraId="07814E6A" w14:textId="77777777" w:rsidR="005508E5" w:rsidRPr="000E1C84" w:rsidRDefault="005508E5" w:rsidP="00E672AE">
            <w:pPr>
              <w:spacing w:before="0"/>
              <w:rPr>
                <w:bCs/>
                <w:iCs/>
                <w:spacing w:val="-5"/>
                <w:sz w:val="20"/>
                <w:szCs w:val="20"/>
                <w:lang w:eastAsia="en-US"/>
              </w:rPr>
            </w:pPr>
            <w:r>
              <w:rPr>
                <w:bCs/>
                <w:iCs/>
                <w:spacing w:val="-5"/>
                <w:sz w:val="20"/>
                <w:szCs w:val="20"/>
                <w:lang w:eastAsia="en-US"/>
              </w:rPr>
              <w:t>Nähti ette üsna detailsed nõuded teenuse osutamisele.</w:t>
            </w:r>
          </w:p>
        </w:tc>
        <w:tc>
          <w:tcPr>
            <w:tcW w:w="3544" w:type="dxa"/>
            <w:tcBorders>
              <w:top w:val="single" w:sz="4" w:space="0" w:color="auto"/>
              <w:left w:val="single" w:sz="4" w:space="0" w:color="auto"/>
              <w:bottom w:val="single" w:sz="4" w:space="0" w:color="auto"/>
              <w:right w:val="single" w:sz="4" w:space="0" w:color="auto"/>
            </w:tcBorders>
          </w:tcPr>
          <w:p w14:paraId="06A9E1F2" w14:textId="77777777" w:rsidR="005508E5" w:rsidRPr="000E1C84" w:rsidRDefault="005508E5" w:rsidP="00E672AE">
            <w:pPr>
              <w:spacing w:before="0"/>
              <w:rPr>
                <w:bCs/>
                <w:iCs/>
                <w:spacing w:val="-5"/>
                <w:sz w:val="20"/>
                <w:szCs w:val="20"/>
                <w:lang w:eastAsia="en-US"/>
              </w:rPr>
            </w:pPr>
            <w:r>
              <w:rPr>
                <w:bCs/>
                <w:iCs/>
                <w:spacing w:val="-5"/>
                <w:sz w:val="20"/>
                <w:szCs w:val="20"/>
                <w:lang w:eastAsia="en-US"/>
              </w:rPr>
              <w:t>Nõuded teenuse osutamisele on laias laastus uues eelnõu versioonis samad, siiski nt nõuded eelseadistatud investeerimise korral ja tootluse garanteerimisel on muutunud paindlikumaks.</w:t>
            </w:r>
          </w:p>
        </w:tc>
      </w:tr>
      <w:tr w:rsidR="005508E5" w:rsidRPr="00C00027" w14:paraId="5F373F28" w14:textId="77777777" w:rsidTr="00A3112A">
        <w:tc>
          <w:tcPr>
            <w:tcW w:w="2269" w:type="dxa"/>
            <w:tcBorders>
              <w:top w:val="single" w:sz="4" w:space="0" w:color="auto"/>
              <w:left w:val="single" w:sz="4" w:space="0" w:color="auto"/>
              <w:bottom w:val="single" w:sz="4" w:space="0" w:color="auto"/>
              <w:right w:val="single" w:sz="4" w:space="0" w:color="auto"/>
            </w:tcBorders>
          </w:tcPr>
          <w:p w14:paraId="48A07462"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Nõuded põhiteabedokumendi koostamisele</w:t>
            </w:r>
          </w:p>
        </w:tc>
        <w:tc>
          <w:tcPr>
            <w:tcW w:w="3686" w:type="dxa"/>
            <w:tcBorders>
              <w:top w:val="single" w:sz="4" w:space="0" w:color="auto"/>
              <w:left w:val="single" w:sz="4" w:space="0" w:color="auto"/>
              <w:bottom w:val="single" w:sz="4" w:space="0" w:color="auto"/>
              <w:right w:val="single" w:sz="4" w:space="0" w:color="auto"/>
            </w:tcBorders>
          </w:tcPr>
          <w:p w14:paraId="4E9DBC5A" w14:textId="77777777" w:rsidR="005508E5" w:rsidRPr="000E1C84" w:rsidRDefault="005508E5" w:rsidP="00E672AE">
            <w:pPr>
              <w:spacing w:before="0"/>
              <w:rPr>
                <w:bCs/>
                <w:iCs/>
                <w:spacing w:val="-5"/>
                <w:sz w:val="20"/>
                <w:szCs w:val="20"/>
                <w:lang w:eastAsia="en-US"/>
              </w:rPr>
            </w:pPr>
            <w:r>
              <w:rPr>
                <w:bCs/>
                <w:iCs/>
                <w:spacing w:val="-5"/>
                <w:sz w:val="20"/>
                <w:szCs w:val="20"/>
                <w:lang w:eastAsia="en-US"/>
              </w:rPr>
              <w:t xml:space="preserve">Kui pakkumine on vahemikus 1 – 5 mln eurot tuleb põhiteabedokumendist </w:t>
            </w:r>
            <w:proofErr w:type="spellStart"/>
            <w:r>
              <w:rPr>
                <w:bCs/>
                <w:iCs/>
                <w:spacing w:val="-5"/>
                <w:sz w:val="20"/>
                <w:szCs w:val="20"/>
                <w:lang w:eastAsia="en-US"/>
              </w:rPr>
              <w:t>FI-d</w:t>
            </w:r>
            <w:proofErr w:type="spellEnd"/>
            <w:r>
              <w:rPr>
                <w:bCs/>
                <w:iCs/>
                <w:spacing w:val="-5"/>
                <w:sz w:val="20"/>
                <w:szCs w:val="20"/>
                <w:lang w:eastAsia="en-US"/>
              </w:rPr>
              <w:t xml:space="preserve"> teavitada, üle 5 mln pakkumiste korral tuleb saada FI heakskiit.</w:t>
            </w:r>
          </w:p>
        </w:tc>
        <w:tc>
          <w:tcPr>
            <w:tcW w:w="3544" w:type="dxa"/>
            <w:tcBorders>
              <w:top w:val="single" w:sz="4" w:space="0" w:color="auto"/>
              <w:left w:val="single" w:sz="4" w:space="0" w:color="auto"/>
              <w:bottom w:val="single" w:sz="4" w:space="0" w:color="auto"/>
              <w:right w:val="single" w:sz="4" w:space="0" w:color="auto"/>
            </w:tcBorders>
          </w:tcPr>
          <w:p w14:paraId="144F9FFD" w14:textId="77777777" w:rsidR="005508E5" w:rsidRDefault="005508E5" w:rsidP="002B2C7C">
            <w:pPr>
              <w:numPr>
                <w:ilvl w:val="0"/>
                <w:numId w:val="40"/>
              </w:numPr>
              <w:ind w:left="290" w:hanging="290"/>
              <w:rPr>
                <w:bCs/>
                <w:iCs/>
                <w:spacing w:val="-5"/>
                <w:sz w:val="20"/>
                <w:szCs w:val="20"/>
              </w:rPr>
            </w:pPr>
            <w:r w:rsidRPr="00AB1911">
              <w:rPr>
                <w:bCs/>
                <w:iCs/>
                <w:spacing w:val="-5"/>
                <w:sz w:val="20"/>
                <w:szCs w:val="20"/>
              </w:rPr>
              <w:t xml:space="preserve">Alla 5 mln pakkumiste puhul enam </w:t>
            </w:r>
            <w:proofErr w:type="spellStart"/>
            <w:r w:rsidRPr="00AB1911">
              <w:rPr>
                <w:bCs/>
                <w:iCs/>
                <w:spacing w:val="-5"/>
                <w:sz w:val="20"/>
                <w:szCs w:val="20"/>
              </w:rPr>
              <w:t>FI-d</w:t>
            </w:r>
            <w:proofErr w:type="spellEnd"/>
            <w:r w:rsidRPr="00AB1911">
              <w:rPr>
                <w:bCs/>
                <w:iCs/>
                <w:spacing w:val="-5"/>
                <w:sz w:val="20"/>
                <w:szCs w:val="20"/>
              </w:rPr>
              <w:t xml:space="preserve"> teavitama ei pea, säilib kohustus saada üle 5 mln pakkumiste puhul FI heakskiit põhiteabedokumendi osas.</w:t>
            </w:r>
          </w:p>
          <w:p w14:paraId="4DB977D7" w14:textId="77777777" w:rsidR="005508E5" w:rsidRPr="00AB1911" w:rsidRDefault="005508E5" w:rsidP="002B2C7C">
            <w:pPr>
              <w:numPr>
                <w:ilvl w:val="0"/>
                <w:numId w:val="40"/>
              </w:numPr>
              <w:ind w:left="290" w:hanging="290"/>
              <w:rPr>
                <w:bCs/>
                <w:iCs/>
                <w:spacing w:val="-5"/>
                <w:sz w:val="20"/>
                <w:szCs w:val="20"/>
              </w:rPr>
            </w:pPr>
            <w:r>
              <w:rPr>
                <w:bCs/>
                <w:iCs/>
                <w:spacing w:val="-5"/>
                <w:sz w:val="20"/>
                <w:szCs w:val="20"/>
              </w:rPr>
              <w:t xml:space="preserve">Lisaks nähti </w:t>
            </w:r>
            <w:proofErr w:type="spellStart"/>
            <w:r>
              <w:rPr>
                <w:bCs/>
                <w:iCs/>
                <w:spacing w:val="-5"/>
                <w:sz w:val="20"/>
                <w:szCs w:val="20"/>
              </w:rPr>
              <w:t>tarbimiskrediidipõhiste</w:t>
            </w:r>
            <w:proofErr w:type="spellEnd"/>
            <w:r>
              <w:rPr>
                <w:bCs/>
                <w:iCs/>
                <w:spacing w:val="-5"/>
                <w:sz w:val="20"/>
                <w:szCs w:val="20"/>
              </w:rPr>
              <w:t xml:space="preserve"> </w:t>
            </w:r>
            <w:proofErr w:type="spellStart"/>
            <w:r>
              <w:rPr>
                <w:bCs/>
                <w:iCs/>
                <w:spacing w:val="-5"/>
                <w:sz w:val="20"/>
                <w:szCs w:val="20"/>
              </w:rPr>
              <w:t>ühisrahastusprojektide</w:t>
            </w:r>
            <w:proofErr w:type="spellEnd"/>
            <w:r>
              <w:rPr>
                <w:bCs/>
                <w:iCs/>
                <w:spacing w:val="-5"/>
                <w:sz w:val="20"/>
                <w:szCs w:val="20"/>
              </w:rPr>
              <w:t xml:space="preserve"> kohta selgem erisus – eraldiseisvat põhiteabedokumenti koostada ei ole enam vaja.</w:t>
            </w:r>
          </w:p>
        </w:tc>
      </w:tr>
      <w:tr w:rsidR="005508E5" w:rsidRPr="00C00027" w14:paraId="2014B260" w14:textId="77777777" w:rsidTr="00A3112A">
        <w:tc>
          <w:tcPr>
            <w:tcW w:w="2269" w:type="dxa"/>
            <w:tcBorders>
              <w:top w:val="single" w:sz="4" w:space="0" w:color="auto"/>
              <w:left w:val="single" w:sz="4" w:space="0" w:color="auto"/>
              <w:bottom w:val="single" w:sz="4" w:space="0" w:color="auto"/>
              <w:right w:val="single" w:sz="4" w:space="0" w:color="auto"/>
            </w:tcBorders>
          </w:tcPr>
          <w:p w14:paraId="657EC961"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 xml:space="preserve">Nõuded turumanipulatsioonile ja </w:t>
            </w:r>
            <w:proofErr w:type="spellStart"/>
            <w:r w:rsidRPr="000E1C84">
              <w:rPr>
                <w:bCs/>
                <w:iCs/>
                <w:spacing w:val="-5"/>
                <w:sz w:val="20"/>
                <w:szCs w:val="20"/>
              </w:rPr>
              <w:t>siseteabe</w:t>
            </w:r>
            <w:proofErr w:type="spellEnd"/>
            <w:r w:rsidRPr="000E1C84">
              <w:rPr>
                <w:bCs/>
                <w:iCs/>
                <w:spacing w:val="-5"/>
                <w:sz w:val="20"/>
                <w:szCs w:val="20"/>
              </w:rPr>
              <w:t xml:space="preserve"> väärkasutamisele</w:t>
            </w:r>
          </w:p>
        </w:tc>
        <w:tc>
          <w:tcPr>
            <w:tcW w:w="3686" w:type="dxa"/>
            <w:tcBorders>
              <w:top w:val="single" w:sz="4" w:space="0" w:color="auto"/>
              <w:left w:val="single" w:sz="4" w:space="0" w:color="auto"/>
              <w:bottom w:val="single" w:sz="4" w:space="0" w:color="auto"/>
              <w:right w:val="single" w:sz="4" w:space="0" w:color="auto"/>
            </w:tcBorders>
          </w:tcPr>
          <w:p w14:paraId="4C008500" w14:textId="77777777" w:rsidR="005508E5" w:rsidRPr="000E1C84" w:rsidRDefault="005508E5" w:rsidP="00E672AE">
            <w:pPr>
              <w:spacing w:before="0"/>
              <w:rPr>
                <w:bCs/>
                <w:iCs/>
                <w:spacing w:val="-5"/>
                <w:sz w:val="20"/>
                <w:szCs w:val="20"/>
                <w:lang w:eastAsia="en-US"/>
              </w:rPr>
            </w:pPr>
            <w:r>
              <w:rPr>
                <w:bCs/>
                <w:iCs/>
                <w:spacing w:val="-5"/>
                <w:sz w:val="20"/>
                <w:szCs w:val="20"/>
                <w:lang w:eastAsia="en-US"/>
              </w:rPr>
              <w:t>Selle valdkonna jaoks oli eraldi ette nähtud põhjalikud nõuded.</w:t>
            </w:r>
          </w:p>
        </w:tc>
        <w:tc>
          <w:tcPr>
            <w:tcW w:w="3544" w:type="dxa"/>
            <w:tcBorders>
              <w:top w:val="single" w:sz="4" w:space="0" w:color="auto"/>
              <w:left w:val="single" w:sz="4" w:space="0" w:color="auto"/>
              <w:bottom w:val="single" w:sz="4" w:space="0" w:color="auto"/>
              <w:right w:val="single" w:sz="4" w:space="0" w:color="auto"/>
            </w:tcBorders>
          </w:tcPr>
          <w:p w14:paraId="4AFB2704" w14:textId="77777777" w:rsidR="005508E5" w:rsidRPr="000E1C84" w:rsidRDefault="005508E5" w:rsidP="00E672AE">
            <w:pPr>
              <w:spacing w:before="0"/>
              <w:rPr>
                <w:bCs/>
                <w:iCs/>
                <w:spacing w:val="-5"/>
                <w:sz w:val="20"/>
                <w:szCs w:val="20"/>
                <w:lang w:eastAsia="en-US"/>
              </w:rPr>
            </w:pPr>
            <w:r>
              <w:rPr>
                <w:bCs/>
                <w:iCs/>
                <w:spacing w:val="-5"/>
                <w:sz w:val="20"/>
                <w:szCs w:val="20"/>
                <w:lang w:eastAsia="en-US"/>
              </w:rPr>
              <w:t xml:space="preserve">Selle valdkonna reguleerimisest on hetkel loobutud (küll tasub silmas pidada, et tulevane EL </w:t>
            </w:r>
            <w:proofErr w:type="spellStart"/>
            <w:r>
              <w:rPr>
                <w:bCs/>
                <w:iCs/>
                <w:spacing w:val="-5"/>
                <w:sz w:val="20"/>
                <w:szCs w:val="20"/>
                <w:lang w:eastAsia="en-US"/>
              </w:rPr>
              <w:t>krüptovara</w:t>
            </w:r>
            <w:proofErr w:type="spellEnd"/>
            <w:r>
              <w:rPr>
                <w:bCs/>
                <w:iCs/>
                <w:spacing w:val="-5"/>
                <w:sz w:val="20"/>
                <w:szCs w:val="20"/>
                <w:lang w:eastAsia="en-US"/>
              </w:rPr>
              <w:t xml:space="preserve"> regulatsioon need nõuded tulevikus siiski ette näeb).</w:t>
            </w:r>
          </w:p>
        </w:tc>
      </w:tr>
      <w:tr w:rsidR="005508E5" w:rsidRPr="00C00027" w14:paraId="6923ADF5" w14:textId="77777777" w:rsidTr="00A3112A">
        <w:tc>
          <w:tcPr>
            <w:tcW w:w="2269" w:type="dxa"/>
            <w:tcBorders>
              <w:top w:val="single" w:sz="4" w:space="0" w:color="auto"/>
              <w:left w:val="single" w:sz="4" w:space="0" w:color="auto"/>
              <w:bottom w:val="single" w:sz="4" w:space="0" w:color="auto"/>
              <w:right w:val="single" w:sz="4" w:space="0" w:color="auto"/>
            </w:tcBorders>
          </w:tcPr>
          <w:p w14:paraId="550BD242"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Nõuded kapitalile</w:t>
            </w:r>
          </w:p>
        </w:tc>
        <w:tc>
          <w:tcPr>
            <w:tcW w:w="3686" w:type="dxa"/>
            <w:tcBorders>
              <w:top w:val="single" w:sz="4" w:space="0" w:color="auto"/>
              <w:left w:val="single" w:sz="4" w:space="0" w:color="auto"/>
              <w:bottom w:val="single" w:sz="4" w:space="0" w:color="auto"/>
              <w:right w:val="single" w:sz="4" w:space="0" w:color="auto"/>
            </w:tcBorders>
          </w:tcPr>
          <w:p w14:paraId="418E0F75" w14:textId="77777777" w:rsidR="005508E5" w:rsidRPr="00AB1911" w:rsidRDefault="005508E5" w:rsidP="002B2C7C">
            <w:pPr>
              <w:numPr>
                <w:ilvl w:val="0"/>
                <w:numId w:val="41"/>
              </w:numPr>
              <w:ind w:left="240" w:hanging="284"/>
              <w:rPr>
                <w:bCs/>
                <w:iCs/>
                <w:spacing w:val="-5"/>
                <w:sz w:val="20"/>
                <w:szCs w:val="20"/>
              </w:rPr>
            </w:pPr>
            <w:proofErr w:type="spellStart"/>
            <w:r w:rsidRPr="00AB1911">
              <w:rPr>
                <w:bCs/>
                <w:iCs/>
                <w:spacing w:val="-5"/>
                <w:sz w:val="20"/>
                <w:szCs w:val="20"/>
              </w:rPr>
              <w:t>Ühisrahastusteenuseosutajatele</w:t>
            </w:r>
            <w:proofErr w:type="spellEnd"/>
            <w:r w:rsidRPr="00AB1911">
              <w:rPr>
                <w:bCs/>
                <w:iCs/>
                <w:spacing w:val="-5"/>
                <w:sz w:val="20"/>
                <w:szCs w:val="20"/>
              </w:rPr>
              <w:t xml:space="preserve"> kapitalinõude miinimum 25 000 eurot;</w:t>
            </w:r>
          </w:p>
          <w:p w14:paraId="01F3E169" w14:textId="77777777" w:rsidR="005508E5" w:rsidRPr="00AB1911" w:rsidRDefault="005508E5" w:rsidP="002B2C7C">
            <w:pPr>
              <w:numPr>
                <w:ilvl w:val="0"/>
                <w:numId w:val="41"/>
              </w:numPr>
              <w:ind w:left="240" w:hanging="284"/>
              <w:rPr>
                <w:bCs/>
                <w:iCs/>
                <w:spacing w:val="-5"/>
                <w:sz w:val="20"/>
                <w:szCs w:val="20"/>
              </w:rPr>
            </w:pPr>
            <w:proofErr w:type="spellStart"/>
            <w:r w:rsidRPr="00AB1911">
              <w:rPr>
                <w:bCs/>
                <w:iCs/>
                <w:spacing w:val="-5"/>
                <w:sz w:val="20"/>
                <w:szCs w:val="20"/>
              </w:rPr>
              <w:t>Krüptovara</w:t>
            </w:r>
            <w:proofErr w:type="spellEnd"/>
            <w:r w:rsidRPr="00AB1911">
              <w:rPr>
                <w:bCs/>
                <w:iCs/>
                <w:spacing w:val="-5"/>
                <w:sz w:val="20"/>
                <w:szCs w:val="20"/>
              </w:rPr>
              <w:t xml:space="preserve"> teenuse osutajatele kapitalinõude miinimum 350 000 eurot.</w:t>
            </w:r>
          </w:p>
        </w:tc>
        <w:tc>
          <w:tcPr>
            <w:tcW w:w="3544" w:type="dxa"/>
            <w:tcBorders>
              <w:top w:val="single" w:sz="4" w:space="0" w:color="auto"/>
              <w:left w:val="single" w:sz="4" w:space="0" w:color="auto"/>
              <w:bottom w:val="single" w:sz="4" w:space="0" w:color="auto"/>
              <w:right w:val="single" w:sz="4" w:space="0" w:color="auto"/>
            </w:tcBorders>
          </w:tcPr>
          <w:p w14:paraId="041B2DD3" w14:textId="77777777" w:rsidR="005508E5" w:rsidRDefault="005508E5" w:rsidP="002B2C7C">
            <w:pPr>
              <w:numPr>
                <w:ilvl w:val="0"/>
                <w:numId w:val="41"/>
              </w:numPr>
              <w:ind w:left="240" w:hanging="284"/>
              <w:rPr>
                <w:bCs/>
                <w:iCs/>
                <w:spacing w:val="-5"/>
                <w:sz w:val="20"/>
                <w:szCs w:val="20"/>
              </w:rPr>
            </w:pPr>
            <w:proofErr w:type="spellStart"/>
            <w:r w:rsidRPr="00AB1911">
              <w:rPr>
                <w:bCs/>
                <w:iCs/>
                <w:spacing w:val="-5"/>
                <w:sz w:val="20"/>
                <w:szCs w:val="20"/>
              </w:rPr>
              <w:t>Ühisrahastusteenuseosutajatele</w:t>
            </w:r>
            <w:proofErr w:type="spellEnd"/>
            <w:r w:rsidRPr="00AB1911">
              <w:rPr>
                <w:bCs/>
                <w:iCs/>
                <w:spacing w:val="-5"/>
                <w:sz w:val="20"/>
                <w:szCs w:val="20"/>
              </w:rPr>
              <w:t xml:space="preserve"> kapitalinõude miinimum 25 000 eurot;</w:t>
            </w:r>
          </w:p>
          <w:p w14:paraId="21B99F5E" w14:textId="77777777" w:rsidR="005508E5" w:rsidRPr="00AB1911" w:rsidRDefault="005508E5" w:rsidP="002B2C7C">
            <w:pPr>
              <w:numPr>
                <w:ilvl w:val="0"/>
                <w:numId w:val="41"/>
              </w:numPr>
              <w:ind w:left="240" w:hanging="284"/>
              <w:rPr>
                <w:bCs/>
                <w:iCs/>
                <w:spacing w:val="-5"/>
                <w:sz w:val="20"/>
                <w:szCs w:val="20"/>
              </w:rPr>
            </w:pPr>
            <w:proofErr w:type="spellStart"/>
            <w:r w:rsidRPr="00AB1911">
              <w:rPr>
                <w:bCs/>
                <w:iCs/>
                <w:spacing w:val="-5"/>
                <w:sz w:val="20"/>
                <w:szCs w:val="20"/>
              </w:rPr>
              <w:t>Krüptovara</w:t>
            </w:r>
            <w:proofErr w:type="spellEnd"/>
            <w:r w:rsidRPr="00AB1911">
              <w:rPr>
                <w:bCs/>
                <w:iCs/>
                <w:spacing w:val="-5"/>
                <w:sz w:val="20"/>
                <w:szCs w:val="20"/>
              </w:rPr>
              <w:t xml:space="preserve"> teenuse osutajatele kapitalinõude miinimum </w:t>
            </w:r>
            <w:r>
              <w:rPr>
                <w:bCs/>
                <w:iCs/>
                <w:spacing w:val="-5"/>
                <w:sz w:val="20"/>
                <w:szCs w:val="20"/>
              </w:rPr>
              <w:t>sõltuvalt teenuse liigist 50 000 – 1</w:t>
            </w:r>
            <w:r w:rsidRPr="00AB1911">
              <w:rPr>
                <w:bCs/>
                <w:iCs/>
                <w:spacing w:val="-5"/>
                <w:sz w:val="20"/>
                <w:szCs w:val="20"/>
              </w:rPr>
              <w:t>50</w:t>
            </w:r>
            <w:r>
              <w:rPr>
                <w:bCs/>
                <w:iCs/>
                <w:spacing w:val="-5"/>
                <w:sz w:val="20"/>
                <w:szCs w:val="20"/>
              </w:rPr>
              <w:t xml:space="preserve"> </w:t>
            </w:r>
            <w:r w:rsidRPr="00AB1911">
              <w:rPr>
                <w:bCs/>
                <w:iCs/>
                <w:spacing w:val="-5"/>
                <w:sz w:val="20"/>
                <w:szCs w:val="20"/>
              </w:rPr>
              <w:t>000 eurot.</w:t>
            </w:r>
          </w:p>
        </w:tc>
      </w:tr>
      <w:tr w:rsidR="005508E5" w:rsidRPr="00C00027" w14:paraId="65F716AF" w14:textId="77777777" w:rsidTr="00A3112A">
        <w:tc>
          <w:tcPr>
            <w:tcW w:w="2269" w:type="dxa"/>
            <w:tcBorders>
              <w:top w:val="single" w:sz="4" w:space="0" w:color="auto"/>
              <w:left w:val="single" w:sz="4" w:space="0" w:color="auto"/>
              <w:bottom w:val="single" w:sz="4" w:space="0" w:color="auto"/>
              <w:right w:val="single" w:sz="4" w:space="0" w:color="auto"/>
            </w:tcBorders>
          </w:tcPr>
          <w:p w14:paraId="18D57246" w14:textId="77777777" w:rsidR="005508E5" w:rsidRPr="000E1C84" w:rsidRDefault="005508E5" w:rsidP="002B2C7C">
            <w:pPr>
              <w:numPr>
                <w:ilvl w:val="0"/>
                <w:numId w:val="39"/>
              </w:numPr>
              <w:ind w:left="318" w:hanging="284"/>
              <w:rPr>
                <w:bCs/>
                <w:iCs/>
                <w:spacing w:val="-5"/>
                <w:sz w:val="20"/>
                <w:szCs w:val="20"/>
              </w:rPr>
            </w:pPr>
            <w:r w:rsidRPr="000E1C84">
              <w:rPr>
                <w:bCs/>
                <w:iCs/>
                <w:spacing w:val="-5"/>
                <w:sz w:val="20"/>
                <w:szCs w:val="20"/>
              </w:rPr>
              <w:t>Muu</w:t>
            </w:r>
          </w:p>
        </w:tc>
        <w:tc>
          <w:tcPr>
            <w:tcW w:w="3686" w:type="dxa"/>
            <w:tcBorders>
              <w:top w:val="single" w:sz="4" w:space="0" w:color="auto"/>
              <w:left w:val="single" w:sz="4" w:space="0" w:color="auto"/>
              <w:bottom w:val="single" w:sz="4" w:space="0" w:color="auto"/>
              <w:right w:val="single" w:sz="4" w:space="0" w:color="auto"/>
            </w:tcBorders>
          </w:tcPr>
          <w:p w14:paraId="4F8DB68E" w14:textId="77777777" w:rsidR="005508E5" w:rsidRPr="000E1C84" w:rsidRDefault="005508E5" w:rsidP="00E672AE">
            <w:pPr>
              <w:spacing w:before="0"/>
              <w:rPr>
                <w:bCs/>
                <w:iCs/>
                <w:spacing w:val="-5"/>
                <w:sz w:val="20"/>
                <w:szCs w:val="20"/>
                <w:lang w:eastAsia="en-US"/>
              </w:rPr>
            </w:pPr>
            <w:r>
              <w:rPr>
                <w:bCs/>
                <w:iCs/>
                <w:spacing w:val="-5"/>
                <w:sz w:val="20"/>
                <w:szCs w:val="20"/>
                <w:lang w:eastAsia="en-US"/>
              </w:rPr>
              <w:t>Registripidamisele ja registripidajale olid ette nähtud suhteliselt detailsed nõuded.</w:t>
            </w:r>
          </w:p>
        </w:tc>
        <w:tc>
          <w:tcPr>
            <w:tcW w:w="3544" w:type="dxa"/>
            <w:tcBorders>
              <w:top w:val="single" w:sz="4" w:space="0" w:color="auto"/>
              <w:left w:val="single" w:sz="4" w:space="0" w:color="auto"/>
              <w:bottom w:val="single" w:sz="4" w:space="0" w:color="auto"/>
              <w:right w:val="single" w:sz="4" w:space="0" w:color="auto"/>
            </w:tcBorders>
          </w:tcPr>
          <w:p w14:paraId="0AA1383C" w14:textId="77777777" w:rsidR="005508E5" w:rsidRPr="000E1C84" w:rsidRDefault="005508E5" w:rsidP="00E672AE">
            <w:pPr>
              <w:spacing w:before="0"/>
              <w:rPr>
                <w:bCs/>
                <w:iCs/>
                <w:spacing w:val="-5"/>
                <w:sz w:val="20"/>
                <w:szCs w:val="20"/>
                <w:lang w:eastAsia="en-US"/>
              </w:rPr>
            </w:pPr>
            <w:r>
              <w:rPr>
                <w:bCs/>
                <w:iCs/>
                <w:spacing w:val="-5"/>
                <w:sz w:val="20"/>
                <w:szCs w:val="20"/>
                <w:lang w:eastAsia="en-US"/>
              </w:rPr>
              <w:t>Registripidamise nõuded muutusid paindlikumaks, uus eelnõu versioon lähtub pigem üldisemalt andmete säilitamise reeglitest (sh tehingute registreerimisest). Sh ei reguleerita plokiahela kasutamise viisi ehk eelnõu muutus rohkem tehnoloogianeutraalsemaks.</w:t>
            </w:r>
          </w:p>
        </w:tc>
      </w:tr>
    </w:tbl>
    <w:p w14:paraId="532E1CF4" w14:textId="77777777" w:rsidR="005508E5" w:rsidRDefault="005508E5" w:rsidP="005508E5">
      <w:pPr>
        <w:spacing w:before="0"/>
        <w:rPr>
          <w:bCs/>
          <w:iCs/>
          <w:spacing w:val="-5"/>
          <w:sz w:val="22"/>
          <w:szCs w:val="22"/>
          <w:lang w:eastAsia="en-US"/>
        </w:rPr>
      </w:pPr>
    </w:p>
    <w:p w14:paraId="2B198D44" w14:textId="77777777" w:rsidR="005508E5" w:rsidRDefault="005508E5" w:rsidP="005508E5">
      <w:pPr>
        <w:spacing w:before="0"/>
        <w:rPr>
          <w:bCs/>
          <w:iCs/>
          <w:spacing w:val="-5"/>
          <w:sz w:val="22"/>
          <w:szCs w:val="22"/>
          <w:lang w:eastAsia="en-US"/>
        </w:rPr>
      </w:pPr>
    </w:p>
    <w:p w14:paraId="0E4D2E44" w14:textId="77777777" w:rsidR="005508E5" w:rsidRPr="003E1FE8" w:rsidRDefault="005508E5" w:rsidP="005508E5">
      <w:pPr>
        <w:keepNext/>
        <w:keepLines/>
        <w:numPr>
          <w:ilvl w:val="1"/>
          <w:numId w:val="9"/>
        </w:numPr>
        <w:spacing w:before="0"/>
        <w:ind w:hanging="765"/>
        <w:jc w:val="left"/>
        <w:outlineLvl w:val="1"/>
        <w:rPr>
          <w:rFonts w:eastAsiaTheme="majorEastAsia"/>
          <w:b/>
          <w:bCs/>
          <w:sz w:val="22"/>
          <w:szCs w:val="22"/>
          <w:lang w:eastAsia="en-US"/>
        </w:rPr>
      </w:pPr>
      <w:r w:rsidRPr="003E1FE8">
        <w:rPr>
          <w:rFonts w:eastAsiaTheme="majorEastAsia"/>
          <w:b/>
          <w:bCs/>
          <w:sz w:val="22"/>
          <w:szCs w:val="22"/>
          <w:lang w:eastAsia="en-US"/>
        </w:rPr>
        <w:t>Märkused</w:t>
      </w:r>
    </w:p>
    <w:p w14:paraId="41F4A1E6" w14:textId="77777777" w:rsidR="005508E5" w:rsidRDefault="005508E5" w:rsidP="005508E5">
      <w:pPr>
        <w:spacing w:before="0"/>
        <w:rPr>
          <w:sz w:val="22"/>
          <w:szCs w:val="22"/>
        </w:rPr>
      </w:pPr>
      <w:r w:rsidRPr="009E2F88">
        <w:rPr>
          <w:sz w:val="22"/>
          <w:szCs w:val="22"/>
        </w:rPr>
        <w:t xml:space="preserve">Rahandusministeeriumi arengukavas </w:t>
      </w:r>
      <w:r>
        <w:rPr>
          <w:sz w:val="22"/>
          <w:szCs w:val="22"/>
        </w:rPr>
        <w:t xml:space="preserve">(finantspoliitika programmis) </w:t>
      </w:r>
      <w:r w:rsidRPr="009E2F88">
        <w:rPr>
          <w:sz w:val="22"/>
          <w:szCs w:val="22"/>
        </w:rPr>
        <w:t>aastate 20</w:t>
      </w:r>
      <w:r>
        <w:rPr>
          <w:sz w:val="22"/>
          <w:szCs w:val="22"/>
        </w:rPr>
        <w:t>22</w:t>
      </w:r>
      <w:r w:rsidRPr="009E2F88">
        <w:rPr>
          <w:sz w:val="22"/>
          <w:szCs w:val="22"/>
        </w:rPr>
        <w:t>–20</w:t>
      </w:r>
      <w:r>
        <w:rPr>
          <w:sz w:val="22"/>
          <w:szCs w:val="22"/>
        </w:rPr>
        <w:t>25</w:t>
      </w:r>
      <w:r w:rsidRPr="009E2F88">
        <w:rPr>
          <w:sz w:val="22"/>
          <w:szCs w:val="22"/>
        </w:rPr>
        <w:t xml:space="preserve"> kohta on </w:t>
      </w:r>
      <w:r>
        <w:rPr>
          <w:sz w:val="22"/>
          <w:szCs w:val="22"/>
        </w:rPr>
        <w:t>märgitud</w:t>
      </w:r>
      <w:r w:rsidRPr="009E2F88">
        <w:rPr>
          <w:sz w:val="22"/>
          <w:szCs w:val="22"/>
        </w:rPr>
        <w:t xml:space="preserve"> (lk </w:t>
      </w:r>
      <w:r>
        <w:rPr>
          <w:sz w:val="22"/>
          <w:szCs w:val="22"/>
        </w:rPr>
        <w:t>2</w:t>
      </w:r>
      <w:r w:rsidRPr="009E2F88">
        <w:rPr>
          <w:sz w:val="22"/>
          <w:szCs w:val="22"/>
        </w:rPr>
        <w:t>)</w:t>
      </w:r>
      <w:r w:rsidRPr="002C131F">
        <w:rPr>
          <w:rFonts w:eastAsiaTheme="minorEastAsia"/>
          <w:sz w:val="22"/>
          <w:szCs w:val="22"/>
        </w:rPr>
        <w:footnoteReference w:id="2"/>
      </w:r>
      <w:r>
        <w:rPr>
          <w:sz w:val="22"/>
          <w:szCs w:val="22"/>
        </w:rPr>
        <w:t xml:space="preserve">, et </w:t>
      </w:r>
      <w:r w:rsidRPr="00AA5071">
        <w:t xml:space="preserve"> </w:t>
      </w:r>
      <w:r>
        <w:t>vastava p</w:t>
      </w:r>
      <w:r w:rsidRPr="00AA5071">
        <w:rPr>
          <w:sz w:val="22"/>
          <w:szCs w:val="22"/>
        </w:rPr>
        <w:t>oliitika eesmärk on saavutada (finants)tehingute tegemiseks keskkond, kus võimalikult laial</w:t>
      </w:r>
      <w:r>
        <w:rPr>
          <w:sz w:val="22"/>
          <w:szCs w:val="22"/>
        </w:rPr>
        <w:t xml:space="preserve"> </w:t>
      </w:r>
      <w:r w:rsidRPr="00AA5071">
        <w:rPr>
          <w:sz w:val="22"/>
          <w:szCs w:val="22"/>
        </w:rPr>
        <w:t>avalikkusel oleks piisav usaldusväärne info majandustehingute kohta, usaldus finantsteenuste vastu</w:t>
      </w:r>
      <w:r>
        <w:rPr>
          <w:sz w:val="22"/>
          <w:szCs w:val="22"/>
        </w:rPr>
        <w:t xml:space="preserve"> </w:t>
      </w:r>
      <w:r w:rsidRPr="00AA5071">
        <w:rPr>
          <w:sz w:val="22"/>
          <w:szCs w:val="22"/>
        </w:rPr>
        <w:t>ning neil oleks finantstoodete kasutamisele mõistliku hinnaga ligipääs. Samuti ligipääs piiriülestele</w:t>
      </w:r>
      <w:r>
        <w:rPr>
          <w:sz w:val="22"/>
          <w:szCs w:val="22"/>
        </w:rPr>
        <w:t xml:space="preserve"> </w:t>
      </w:r>
      <w:r w:rsidRPr="00AA5071">
        <w:rPr>
          <w:sz w:val="22"/>
          <w:szCs w:val="22"/>
        </w:rPr>
        <w:t xml:space="preserve">teenustele. </w:t>
      </w:r>
      <w:r>
        <w:rPr>
          <w:sz w:val="22"/>
          <w:szCs w:val="22"/>
        </w:rPr>
        <w:t xml:space="preserve">Sellel programmi lk 8 on ühe tegevusena esitatud, et Rahandusministeerium töötab välja </w:t>
      </w:r>
      <w:proofErr w:type="spellStart"/>
      <w:r>
        <w:rPr>
          <w:sz w:val="22"/>
          <w:szCs w:val="22"/>
        </w:rPr>
        <w:t>krüptovarade</w:t>
      </w:r>
      <w:proofErr w:type="spellEnd"/>
      <w:r>
        <w:rPr>
          <w:sz w:val="22"/>
          <w:szCs w:val="22"/>
        </w:rPr>
        <w:t xml:space="preserve"> ja </w:t>
      </w:r>
      <w:proofErr w:type="spellStart"/>
      <w:r>
        <w:rPr>
          <w:sz w:val="22"/>
          <w:szCs w:val="22"/>
        </w:rPr>
        <w:t>ühisrahastuse</w:t>
      </w:r>
      <w:proofErr w:type="spellEnd"/>
      <w:r>
        <w:rPr>
          <w:sz w:val="22"/>
          <w:szCs w:val="22"/>
        </w:rPr>
        <w:t xml:space="preserve"> regulatsiooni, et tagada</w:t>
      </w:r>
      <w:r w:rsidRPr="00493462">
        <w:rPr>
          <w:sz w:val="22"/>
          <w:szCs w:val="22"/>
        </w:rPr>
        <w:t xml:space="preserve"> piisav investorikaitse tase ja võrd</w:t>
      </w:r>
      <w:r>
        <w:rPr>
          <w:sz w:val="22"/>
          <w:szCs w:val="22"/>
        </w:rPr>
        <w:t>n</w:t>
      </w:r>
      <w:r w:rsidRPr="00493462">
        <w:rPr>
          <w:sz w:val="22"/>
          <w:szCs w:val="22"/>
        </w:rPr>
        <w:t>e kohtlemi</w:t>
      </w:r>
      <w:r>
        <w:rPr>
          <w:sz w:val="22"/>
          <w:szCs w:val="22"/>
        </w:rPr>
        <w:t>ne erinevate teenusepakkujate vahel</w:t>
      </w:r>
      <w:r w:rsidRPr="00493462">
        <w:rPr>
          <w:sz w:val="22"/>
          <w:szCs w:val="22"/>
        </w:rPr>
        <w:t>.</w:t>
      </w:r>
    </w:p>
    <w:p w14:paraId="60F3BB0F" w14:textId="77777777" w:rsidR="005508E5" w:rsidRPr="00952EF5" w:rsidRDefault="005508E5" w:rsidP="005508E5">
      <w:pPr>
        <w:spacing w:before="0"/>
        <w:rPr>
          <w:b/>
          <w:bCs/>
          <w:sz w:val="22"/>
          <w:szCs w:val="22"/>
        </w:rPr>
      </w:pPr>
      <w:r w:rsidRPr="009E2F88">
        <w:rPr>
          <w:sz w:val="22"/>
          <w:szCs w:val="22"/>
        </w:rPr>
        <w:t>Lisaks on Vabariigi Valitsuse aastate 20</w:t>
      </w:r>
      <w:r>
        <w:rPr>
          <w:sz w:val="22"/>
          <w:szCs w:val="22"/>
        </w:rPr>
        <w:t>21</w:t>
      </w:r>
      <w:r w:rsidRPr="009E2F88">
        <w:rPr>
          <w:sz w:val="22"/>
          <w:szCs w:val="22"/>
        </w:rPr>
        <w:t>–2023 tegevusprogrammi</w:t>
      </w:r>
      <w:r>
        <w:rPr>
          <w:sz w:val="22"/>
          <w:szCs w:val="22"/>
        </w:rPr>
        <w:t xml:space="preserve"> </w:t>
      </w:r>
      <w:r w:rsidRPr="009E2F88">
        <w:rPr>
          <w:sz w:val="22"/>
          <w:szCs w:val="22"/>
        </w:rPr>
        <w:t xml:space="preserve">punktis </w:t>
      </w:r>
      <w:r>
        <w:rPr>
          <w:sz w:val="22"/>
          <w:szCs w:val="22"/>
        </w:rPr>
        <w:t>3.24</w:t>
      </w:r>
      <w:r w:rsidRPr="009E2F88">
        <w:rPr>
          <w:sz w:val="22"/>
          <w:szCs w:val="22"/>
        </w:rPr>
        <w:t xml:space="preserve"> tehtud Rahandusministeeriumile ülesandeks </w:t>
      </w:r>
      <w:r>
        <w:rPr>
          <w:sz w:val="22"/>
          <w:szCs w:val="22"/>
        </w:rPr>
        <w:t>töötada välja</w:t>
      </w:r>
      <w:r w:rsidRPr="009E2F88">
        <w:rPr>
          <w:sz w:val="22"/>
          <w:szCs w:val="22"/>
        </w:rPr>
        <w:t xml:space="preserve"> </w:t>
      </w:r>
      <w:proofErr w:type="spellStart"/>
      <w:r w:rsidRPr="009E2F88">
        <w:rPr>
          <w:sz w:val="22"/>
          <w:szCs w:val="22"/>
        </w:rPr>
        <w:t>krüptovarade</w:t>
      </w:r>
      <w:proofErr w:type="spellEnd"/>
      <w:r w:rsidRPr="009E2F88">
        <w:rPr>
          <w:sz w:val="22"/>
          <w:szCs w:val="22"/>
        </w:rPr>
        <w:t xml:space="preserve"> ja </w:t>
      </w:r>
      <w:proofErr w:type="spellStart"/>
      <w:r w:rsidRPr="009E2F88">
        <w:rPr>
          <w:sz w:val="22"/>
          <w:szCs w:val="22"/>
        </w:rPr>
        <w:t>ühisrahastuse</w:t>
      </w:r>
      <w:proofErr w:type="spellEnd"/>
      <w:r w:rsidRPr="009E2F88">
        <w:rPr>
          <w:sz w:val="22"/>
          <w:szCs w:val="22"/>
        </w:rPr>
        <w:t xml:space="preserve"> regul</w:t>
      </w:r>
      <w:r>
        <w:rPr>
          <w:sz w:val="22"/>
          <w:szCs w:val="22"/>
        </w:rPr>
        <w:t>atsioon</w:t>
      </w:r>
      <w:r w:rsidRPr="009E2F88">
        <w:rPr>
          <w:sz w:val="22"/>
          <w:szCs w:val="22"/>
        </w:rPr>
        <w:t>.</w:t>
      </w:r>
      <w:r>
        <w:rPr>
          <w:rFonts w:eastAsiaTheme="minorEastAsia"/>
          <w:sz w:val="22"/>
          <w:szCs w:val="22"/>
        </w:rPr>
        <w:footnoteReference w:id="3"/>
      </w:r>
      <w:r>
        <w:rPr>
          <w:sz w:val="22"/>
          <w:szCs w:val="22"/>
        </w:rPr>
        <w:t xml:space="preserve"> </w:t>
      </w:r>
      <w:r w:rsidRPr="00952EF5">
        <w:rPr>
          <w:b/>
          <w:bCs/>
          <w:sz w:val="22"/>
          <w:szCs w:val="22"/>
        </w:rPr>
        <w:t>Vastavalt sellele tuleb eelnõu esitada Vabariigi Valitsusele heakskiitmiseks 2022. a. augustis.</w:t>
      </w:r>
    </w:p>
    <w:p w14:paraId="015C2BBC" w14:textId="77777777" w:rsidR="005508E5" w:rsidRDefault="005508E5" w:rsidP="005508E5">
      <w:pPr>
        <w:tabs>
          <w:tab w:val="center" w:pos="4536"/>
          <w:tab w:val="right" w:pos="9072"/>
        </w:tabs>
        <w:spacing w:before="0"/>
        <w:rPr>
          <w:sz w:val="22"/>
          <w:szCs w:val="22"/>
        </w:rPr>
      </w:pPr>
    </w:p>
    <w:p w14:paraId="48067362" w14:textId="77777777" w:rsidR="005508E5" w:rsidRDefault="005508E5" w:rsidP="005508E5">
      <w:pPr>
        <w:spacing w:before="0"/>
        <w:rPr>
          <w:sz w:val="22"/>
          <w:szCs w:val="22"/>
        </w:rPr>
      </w:pPr>
      <w:r>
        <w:rPr>
          <w:sz w:val="22"/>
          <w:szCs w:val="22"/>
        </w:rPr>
        <w:t xml:space="preserve">Samuti tuleb märkida, et </w:t>
      </w:r>
      <w:proofErr w:type="spellStart"/>
      <w:r>
        <w:rPr>
          <w:sz w:val="22"/>
          <w:szCs w:val="22"/>
        </w:rPr>
        <w:t>ühisrahastuse</w:t>
      </w:r>
      <w:proofErr w:type="spellEnd"/>
      <w:r>
        <w:rPr>
          <w:sz w:val="22"/>
          <w:szCs w:val="22"/>
        </w:rPr>
        <w:t xml:space="preserve"> valdkond on EL-i tasemel juba reguleeritud, kuid seda üksnes osaliselt.  Ehk EL </w:t>
      </w:r>
      <w:proofErr w:type="spellStart"/>
      <w:r>
        <w:rPr>
          <w:sz w:val="22"/>
          <w:szCs w:val="22"/>
        </w:rPr>
        <w:t>ühisrahatuse</w:t>
      </w:r>
      <w:proofErr w:type="spellEnd"/>
      <w:r>
        <w:rPr>
          <w:sz w:val="22"/>
          <w:szCs w:val="22"/>
        </w:rPr>
        <w:t xml:space="preserve"> regulatsioon kohaldub üksnes ühele </w:t>
      </w:r>
      <w:proofErr w:type="spellStart"/>
      <w:r>
        <w:rPr>
          <w:sz w:val="22"/>
          <w:szCs w:val="22"/>
        </w:rPr>
        <w:t>ühisrahastuse</w:t>
      </w:r>
      <w:proofErr w:type="spellEnd"/>
      <w:r>
        <w:rPr>
          <w:sz w:val="22"/>
          <w:szCs w:val="22"/>
        </w:rPr>
        <w:t xml:space="preserve"> valdkonnale – ettevõtetesse investeerimisel. Nt tarbijakrediiti vahendavad </w:t>
      </w:r>
      <w:proofErr w:type="spellStart"/>
      <w:r>
        <w:rPr>
          <w:sz w:val="22"/>
          <w:szCs w:val="22"/>
        </w:rPr>
        <w:t>ühisrahastusplatvormid</w:t>
      </w:r>
      <w:proofErr w:type="spellEnd"/>
      <w:r>
        <w:rPr>
          <w:sz w:val="22"/>
          <w:szCs w:val="22"/>
        </w:rPr>
        <w:t xml:space="preserve"> on EL </w:t>
      </w:r>
      <w:proofErr w:type="spellStart"/>
      <w:r>
        <w:rPr>
          <w:sz w:val="22"/>
          <w:szCs w:val="22"/>
        </w:rPr>
        <w:t>ühisrahastuse</w:t>
      </w:r>
      <w:proofErr w:type="spellEnd"/>
      <w:r>
        <w:rPr>
          <w:sz w:val="22"/>
          <w:szCs w:val="22"/>
        </w:rPr>
        <w:t xml:space="preserve"> regulatsiooni kohaldumisala alt välistatud. Seepärast reguleeribki käesolev eelnõu eelkõige EL </w:t>
      </w:r>
      <w:proofErr w:type="spellStart"/>
      <w:r>
        <w:rPr>
          <w:sz w:val="22"/>
          <w:szCs w:val="22"/>
        </w:rPr>
        <w:t>ühisrahastuse</w:t>
      </w:r>
      <w:proofErr w:type="spellEnd"/>
      <w:r>
        <w:rPr>
          <w:sz w:val="22"/>
          <w:szCs w:val="22"/>
        </w:rPr>
        <w:t xml:space="preserve"> regulatsiooni alt välistatud </w:t>
      </w:r>
      <w:proofErr w:type="spellStart"/>
      <w:r>
        <w:rPr>
          <w:sz w:val="22"/>
          <w:szCs w:val="22"/>
        </w:rPr>
        <w:t>ühisrahastusplatvorme</w:t>
      </w:r>
      <w:proofErr w:type="spellEnd"/>
      <w:r>
        <w:rPr>
          <w:sz w:val="22"/>
          <w:szCs w:val="22"/>
        </w:rPr>
        <w:t xml:space="preserve">. </w:t>
      </w:r>
    </w:p>
    <w:p w14:paraId="3A855743" w14:textId="77777777" w:rsidR="005508E5" w:rsidRPr="009E2F88" w:rsidRDefault="005508E5" w:rsidP="005508E5">
      <w:pPr>
        <w:tabs>
          <w:tab w:val="center" w:pos="4536"/>
          <w:tab w:val="right" w:pos="9072"/>
        </w:tabs>
        <w:spacing w:before="0"/>
        <w:rPr>
          <w:sz w:val="22"/>
          <w:szCs w:val="22"/>
          <w:lang w:eastAsia="en-US"/>
        </w:rPr>
      </w:pPr>
    </w:p>
    <w:p w14:paraId="2871706B" w14:textId="77777777" w:rsidR="005508E5" w:rsidRPr="009E2F88" w:rsidRDefault="005508E5" w:rsidP="005508E5">
      <w:pPr>
        <w:tabs>
          <w:tab w:val="center" w:pos="4536"/>
          <w:tab w:val="right" w:pos="9072"/>
        </w:tabs>
        <w:spacing w:before="0"/>
        <w:rPr>
          <w:sz w:val="22"/>
          <w:szCs w:val="22"/>
          <w:lang w:eastAsia="en-US"/>
        </w:rPr>
      </w:pPr>
      <w:r>
        <w:rPr>
          <w:sz w:val="22"/>
          <w:szCs w:val="22"/>
          <w:lang w:eastAsia="en-US"/>
        </w:rPr>
        <w:t>Seega on e</w:t>
      </w:r>
      <w:r w:rsidRPr="009E2F88">
        <w:rPr>
          <w:sz w:val="22"/>
          <w:szCs w:val="22"/>
          <w:lang w:eastAsia="en-US"/>
        </w:rPr>
        <w:t>elnõu seotud osaliselt EL õiguse rakendamisega:</w:t>
      </w:r>
    </w:p>
    <w:p w14:paraId="22F292DD" w14:textId="77777777" w:rsidR="005508E5" w:rsidRPr="009E2F88" w:rsidRDefault="005508E5" w:rsidP="002B2C7C">
      <w:pPr>
        <w:numPr>
          <w:ilvl w:val="0"/>
          <w:numId w:val="17"/>
        </w:numPr>
        <w:spacing w:before="0"/>
        <w:ind w:left="284" w:hanging="284"/>
        <w:contextualSpacing/>
        <w:rPr>
          <w:sz w:val="22"/>
          <w:szCs w:val="22"/>
          <w:lang w:eastAsia="en-US"/>
        </w:rPr>
      </w:pPr>
      <w:r w:rsidRPr="009E2F88">
        <w:rPr>
          <w:sz w:val="22"/>
          <w:szCs w:val="22"/>
          <w:lang w:eastAsia="en-US"/>
        </w:rPr>
        <w:t>Euroopa Parlamendi ja nõukogu määrus (EL) 2020/1503,</w:t>
      </w:r>
      <w:r w:rsidRPr="00FF7296">
        <w:t xml:space="preserve"> </w:t>
      </w:r>
      <w:r w:rsidRPr="00FF7296">
        <w:rPr>
          <w:sz w:val="22"/>
          <w:szCs w:val="22"/>
          <w:lang w:eastAsia="en-US"/>
        </w:rPr>
        <w:t xml:space="preserve">mis käsitleb ettevõtjatele Euroopa </w:t>
      </w:r>
      <w:proofErr w:type="spellStart"/>
      <w:r w:rsidRPr="00FF7296">
        <w:rPr>
          <w:sz w:val="22"/>
          <w:szCs w:val="22"/>
          <w:lang w:eastAsia="en-US"/>
        </w:rPr>
        <w:t>ühisrahastusteenuse</w:t>
      </w:r>
      <w:proofErr w:type="spellEnd"/>
      <w:r w:rsidRPr="00FF7296">
        <w:rPr>
          <w:sz w:val="22"/>
          <w:szCs w:val="22"/>
          <w:lang w:eastAsia="en-US"/>
        </w:rPr>
        <w:t xml:space="preserve"> osutajaid ning millega muudetakse määrust (EL) 2017/1129 ja direktiivi (EL) 2019/1937 (ELT L 347, 20.10.2020, lk 1–49)</w:t>
      </w:r>
      <w:r w:rsidRPr="009E2F88">
        <w:rPr>
          <w:sz w:val="22"/>
          <w:szCs w:val="22"/>
          <w:lang w:eastAsia="en-US"/>
        </w:rPr>
        <w:t>;</w:t>
      </w:r>
    </w:p>
    <w:p w14:paraId="4EF8E188" w14:textId="77777777" w:rsidR="005508E5" w:rsidRPr="00A80C67" w:rsidRDefault="005508E5" w:rsidP="002B2C7C">
      <w:pPr>
        <w:numPr>
          <w:ilvl w:val="0"/>
          <w:numId w:val="17"/>
        </w:numPr>
        <w:spacing w:before="0"/>
        <w:ind w:left="284" w:hanging="284"/>
        <w:contextualSpacing/>
        <w:rPr>
          <w:sz w:val="22"/>
          <w:szCs w:val="22"/>
          <w:lang w:eastAsia="en-US"/>
        </w:rPr>
      </w:pPr>
      <w:r w:rsidRPr="009E2F88">
        <w:rPr>
          <w:sz w:val="22"/>
          <w:szCs w:val="22"/>
          <w:lang w:eastAsia="en-US"/>
        </w:rPr>
        <w:t xml:space="preserve">Euroopa Parlamendi ja nõukogu </w:t>
      </w:r>
      <w:r w:rsidRPr="009E2F88">
        <w:rPr>
          <w:sz w:val="22"/>
          <w:szCs w:val="22"/>
        </w:rPr>
        <w:t xml:space="preserve">direktiiv (EL) </w:t>
      </w:r>
      <w:r w:rsidRPr="009E2F88">
        <w:rPr>
          <w:sz w:val="22"/>
          <w:szCs w:val="22"/>
          <w:lang w:eastAsia="en-US"/>
        </w:rPr>
        <w:t>2020/1504,</w:t>
      </w:r>
      <w:r w:rsidRPr="00FF7296">
        <w:t xml:space="preserve"> </w:t>
      </w:r>
      <w:r w:rsidRPr="00FF7296">
        <w:rPr>
          <w:sz w:val="22"/>
          <w:szCs w:val="22"/>
          <w:lang w:eastAsia="en-US"/>
        </w:rPr>
        <w:t>millega muudetakse direktiivi 2014/65/EL finantsinstrumentide turgude kohta (ELT L 347, 20.10.2020, lk 50—51)</w:t>
      </w:r>
      <w:r w:rsidRPr="00F10A73">
        <w:rPr>
          <w:sz w:val="22"/>
          <w:szCs w:val="22"/>
          <w:lang w:eastAsia="en-US"/>
        </w:rPr>
        <w:t>.</w:t>
      </w:r>
    </w:p>
    <w:p w14:paraId="3CF0EF8E" w14:textId="77777777" w:rsidR="005508E5" w:rsidRDefault="005508E5" w:rsidP="005508E5">
      <w:pPr>
        <w:tabs>
          <w:tab w:val="center" w:pos="4536"/>
          <w:tab w:val="right" w:pos="9072"/>
        </w:tabs>
        <w:spacing w:before="0"/>
        <w:rPr>
          <w:sz w:val="22"/>
          <w:szCs w:val="22"/>
          <w:lang w:eastAsia="en-US"/>
        </w:rPr>
      </w:pPr>
    </w:p>
    <w:p w14:paraId="0222E991" w14:textId="77777777" w:rsidR="005508E5" w:rsidRDefault="005508E5" w:rsidP="005508E5">
      <w:pPr>
        <w:tabs>
          <w:tab w:val="center" w:pos="4536"/>
          <w:tab w:val="right" w:pos="9072"/>
        </w:tabs>
        <w:spacing w:before="0"/>
        <w:rPr>
          <w:sz w:val="22"/>
          <w:szCs w:val="22"/>
          <w:lang w:eastAsia="en-US"/>
        </w:rPr>
      </w:pPr>
      <w:r>
        <w:rPr>
          <w:sz w:val="22"/>
          <w:szCs w:val="22"/>
          <w:lang w:eastAsia="en-US"/>
        </w:rPr>
        <w:t>Eelnimetatud määrus ja direktiiv rakendusid 10. novembril 2021. a. Vastavad sätted on üle võetud eelkõige väärtpaberituru seadusega, kuid käesoleva eelnõuga tunnistatakse need sätted kehtetuks ja need saavad sisalduma käesolevas eelnõus.</w:t>
      </w:r>
    </w:p>
    <w:p w14:paraId="1066FE06" w14:textId="77777777" w:rsidR="005508E5" w:rsidRDefault="005508E5" w:rsidP="005508E5">
      <w:pPr>
        <w:tabs>
          <w:tab w:val="center" w:pos="4536"/>
          <w:tab w:val="right" w:pos="9072"/>
        </w:tabs>
        <w:spacing w:before="0"/>
        <w:rPr>
          <w:sz w:val="22"/>
          <w:szCs w:val="22"/>
          <w:lang w:eastAsia="en-US"/>
        </w:rPr>
      </w:pPr>
    </w:p>
    <w:p w14:paraId="5A2BF550" w14:textId="77777777" w:rsidR="005508E5" w:rsidRDefault="005508E5" w:rsidP="005508E5">
      <w:pPr>
        <w:tabs>
          <w:tab w:val="center" w:pos="4536"/>
          <w:tab w:val="right" w:pos="9072"/>
        </w:tabs>
        <w:spacing w:before="0"/>
        <w:rPr>
          <w:sz w:val="22"/>
          <w:szCs w:val="22"/>
          <w:lang w:eastAsia="en-US"/>
        </w:rPr>
      </w:pPr>
      <w:r>
        <w:rPr>
          <w:sz w:val="22"/>
          <w:szCs w:val="22"/>
          <w:lang w:eastAsia="en-US"/>
        </w:rPr>
        <w:t xml:space="preserve">Lisaks on </w:t>
      </w:r>
      <w:proofErr w:type="spellStart"/>
      <w:r>
        <w:rPr>
          <w:sz w:val="22"/>
          <w:szCs w:val="22"/>
          <w:lang w:eastAsia="en-US"/>
        </w:rPr>
        <w:t>EL-s</w:t>
      </w:r>
      <w:proofErr w:type="spellEnd"/>
      <w:r>
        <w:rPr>
          <w:sz w:val="22"/>
          <w:szCs w:val="22"/>
          <w:lang w:eastAsia="en-US"/>
        </w:rPr>
        <w:t xml:space="preserve"> väljatöötamisel nn </w:t>
      </w:r>
      <w:proofErr w:type="spellStart"/>
      <w:r>
        <w:rPr>
          <w:sz w:val="22"/>
          <w:szCs w:val="22"/>
          <w:lang w:eastAsia="en-US"/>
        </w:rPr>
        <w:t>krüptovarade</w:t>
      </w:r>
      <w:proofErr w:type="spellEnd"/>
      <w:r>
        <w:rPr>
          <w:sz w:val="22"/>
          <w:szCs w:val="22"/>
          <w:lang w:eastAsia="en-US"/>
        </w:rPr>
        <w:t xml:space="preserve"> regulatsioon. Põhimõtteliselt on selle sisu liikmesriikide vahel kokku lepitud</w:t>
      </w:r>
      <w:r>
        <w:rPr>
          <w:rFonts w:eastAsiaTheme="minorEastAsia"/>
          <w:sz w:val="22"/>
          <w:szCs w:val="22"/>
          <w:lang w:eastAsia="en-US"/>
        </w:rPr>
        <w:footnoteReference w:id="4"/>
      </w:r>
      <w:r>
        <w:rPr>
          <w:sz w:val="22"/>
          <w:szCs w:val="22"/>
          <w:lang w:eastAsia="en-US"/>
        </w:rPr>
        <w:t>, kuid selle jõustumise ja rakendumise ajakava ei ole aga veel lõplikult selgunud (tõenäoliselt on see aastal 2025).</w:t>
      </w:r>
    </w:p>
    <w:p w14:paraId="636ED354" w14:textId="77777777" w:rsidR="005508E5" w:rsidRPr="009E2F88" w:rsidRDefault="005508E5" w:rsidP="005508E5">
      <w:pPr>
        <w:tabs>
          <w:tab w:val="center" w:pos="4536"/>
          <w:tab w:val="right" w:pos="9072"/>
        </w:tabs>
        <w:spacing w:before="0"/>
        <w:rPr>
          <w:sz w:val="22"/>
          <w:szCs w:val="22"/>
          <w:lang w:eastAsia="en-US"/>
        </w:rPr>
      </w:pPr>
    </w:p>
    <w:p w14:paraId="2DAE327B" w14:textId="77777777" w:rsidR="005508E5" w:rsidRPr="0005585D" w:rsidRDefault="005508E5" w:rsidP="005508E5">
      <w:pPr>
        <w:spacing w:before="0"/>
        <w:ind w:right="-64"/>
        <w:rPr>
          <w:sz w:val="22"/>
          <w:szCs w:val="22"/>
          <w:lang w:eastAsia="en-US"/>
        </w:rPr>
      </w:pPr>
      <w:r w:rsidRPr="0005585D">
        <w:rPr>
          <w:sz w:val="22"/>
          <w:szCs w:val="22"/>
          <w:lang w:eastAsia="en-US"/>
        </w:rPr>
        <w:t>Eelnõuga muudetakse:</w:t>
      </w:r>
    </w:p>
    <w:p w14:paraId="0ED360EB"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 xml:space="preserve">Finantsinspektsiooni seadust (edaspidi </w:t>
      </w:r>
      <w:r w:rsidRPr="004523B3">
        <w:rPr>
          <w:i/>
          <w:sz w:val="22"/>
          <w:szCs w:val="22"/>
          <w:lang w:eastAsia="en-US"/>
        </w:rPr>
        <w:t>FIS</w:t>
      </w:r>
      <w:r w:rsidRPr="004523B3">
        <w:rPr>
          <w:sz w:val="22"/>
          <w:szCs w:val="22"/>
          <w:lang w:eastAsia="en-US"/>
        </w:rPr>
        <w:t>) (RT I, 29.03.2022, 8);</w:t>
      </w:r>
    </w:p>
    <w:p w14:paraId="5E39CEBE"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kindlustustegevuse seadust (</w:t>
      </w:r>
      <w:r w:rsidRPr="004523B3">
        <w:rPr>
          <w:sz w:val="22"/>
          <w:szCs w:val="22"/>
        </w:rPr>
        <w:t>RT I, 29.03.2022, 4</w:t>
      </w:r>
      <w:r w:rsidRPr="004523B3">
        <w:rPr>
          <w:sz w:val="22"/>
          <w:szCs w:val="22"/>
          <w:lang w:eastAsia="en-US"/>
        </w:rPr>
        <w:t>);</w:t>
      </w:r>
    </w:p>
    <w:p w14:paraId="6ABD31C7"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 xml:space="preserve">krediidiandjate ja –vahendajate seadust (edaspidi </w:t>
      </w:r>
      <w:r w:rsidRPr="004523B3">
        <w:rPr>
          <w:i/>
          <w:sz w:val="22"/>
          <w:szCs w:val="22"/>
          <w:lang w:eastAsia="en-US"/>
        </w:rPr>
        <w:t>KAVS</w:t>
      </w:r>
      <w:r w:rsidRPr="004523B3">
        <w:rPr>
          <w:sz w:val="22"/>
          <w:szCs w:val="22"/>
          <w:lang w:eastAsia="en-US"/>
        </w:rPr>
        <w:t>) (RT I, 03.06.2022, 18);</w:t>
      </w:r>
    </w:p>
    <w:p w14:paraId="772B8890"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rPr>
        <w:t xml:space="preserve">krediidiasutuse seadust (edaspidi </w:t>
      </w:r>
      <w:r w:rsidRPr="004523B3">
        <w:rPr>
          <w:i/>
          <w:iCs/>
          <w:sz w:val="22"/>
          <w:szCs w:val="22"/>
        </w:rPr>
        <w:t>KAS</w:t>
      </w:r>
      <w:r w:rsidRPr="004523B3">
        <w:rPr>
          <w:sz w:val="22"/>
          <w:szCs w:val="22"/>
        </w:rPr>
        <w:t>) (RT I, 20.06.2022, 11);</w:t>
      </w:r>
      <w:r w:rsidRPr="004523B3" w:rsidDel="00C162FC">
        <w:rPr>
          <w:sz w:val="22"/>
          <w:szCs w:val="22"/>
        </w:rPr>
        <w:t xml:space="preserve"> </w:t>
      </w:r>
    </w:p>
    <w:p w14:paraId="5C230462"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makseasutuste ja e-raha asutuste seadust (RT I, 10.07.2020, 21);</w:t>
      </w:r>
    </w:p>
    <w:p w14:paraId="466BF80C"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shd w:val="clear" w:color="auto" w:fill="FFFFFF" w:themeFill="background1"/>
          <w:lang w:eastAsia="en-US"/>
        </w:rPr>
        <w:t xml:space="preserve">rahapesu ja terrorismi rahastamise tõkestamise </w:t>
      </w:r>
      <w:proofErr w:type="spellStart"/>
      <w:r w:rsidRPr="004523B3">
        <w:rPr>
          <w:sz w:val="22"/>
          <w:szCs w:val="22"/>
          <w:shd w:val="clear" w:color="auto" w:fill="FFFFFF" w:themeFill="background1"/>
          <w:lang w:eastAsia="en-US"/>
        </w:rPr>
        <w:t>tõkestamise</w:t>
      </w:r>
      <w:proofErr w:type="spellEnd"/>
      <w:r w:rsidRPr="004523B3">
        <w:rPr>
          <w:sz w:val="22"/>
          <w:szCs w:val="22"/>
          <w:shd w:val="clear" w:color="auto" w:fill="FFFFFF" w:themeFill="background1"/>
          <w:lang w:eastAsia="en-US"/>
        </w:rPr>
        <w:t xml:space="preserve"> seadust (edaspidi </w:t>
      </w:r>
      <w:proofErr w:type="spellStart"/>
      <w:r w:rsidRPr="004523B3">
        <w:rPr>
          <w:sz w:val="22"/>
          <w:szCs w:val="22"/>
          <w:shd w:val="clear" w:color="auto" w:fill="FFFFFF" w:themeFill="background1"/>
          <w:lang w:eastAsia="en-US"/>
        </w:rPr>
        <w:t>RahaPTS</w:t>
      </w:r>
      <w:proofErr w:type="spellEnd"/>
      <w:r w:rsidRPr="004523B3">
        <w:rPr>
          <w:sz w:val="22"/>
          <w:szCs w:val="22"/>
          <w:shd w:val="clear" w:color="auto" w:fill="FFFFFF" w:themeFill="background1"/>
          <w:lang w:eastAsia="en-US"/>
        </w:rPr>
        <w:t>)</w:t>
      </w:r>
      <w:r w:rsidRPr="004523B3">
        <w:rPr>
          <w:sz w:val="22"/>
          <w:szCs w:val="22"/>
          <w:lang w:eastAsia="en-US"/>
        </w:rPr>
        <w:t xml:space="preserve"> (RT I, 12.03.2022, 19);</w:t>
      </w:r>
    </w:p>
    <w:p w14:paraId="3717B309"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 xml:space="preserve">rahvusvahelise sanktsiooni seadust (edaspidi </w:t>
      </w:r>
      <w:proofErr w:type="spellStart"/>
      <w:r w:rsidRPr="004523B3">
        <w:rPr>
          <w:i/>
          <w:sz w:val="22"/>
          <w:szCs w:val="22"/>
          <w:lang w:eastAsia="en-US"/>
        </w:rPr>
        <w:t>RSanS</w:t>
      </w:r>
      <w:proofErr w:type="spellEnd"/>
      <w:r w:rsidRPr="004523B3">
        <w:rPr>
          <w:b/>
          <w:i/>
          <w:sz w:val="22"/>
          <w:szCs w:val="22"/>
          <w:lang w:eastAsia="en-US"/>
        </w:rPr>
        <w:t xml:space="preserve">) </w:t>
      </w:r>
      <w:r w:rsidRPr="004523B3">
        <w:rPr>
          <w:sz w:val="22"/>
          <w:szCs w:val="22"/>
          <w:lang w:eastAsia="en-US"/>
        </w:rPr>
        <w:t>(RT I, 08.03.2022, 3);</w:t>
      </w:r>
      <w:r w:rsidRPr="004523B3">
        <w:rPr>
          <w:b/>
          <w:sz w:val="22"/>
          <w:szCs w:val="22"/>
          <w:lang w:eastAsia="en-US"/>
        </w:rPr>
        <w:t xml:space="preserve"> </w:t>
      </w:r>
    </w:p>
    <w:p w14:paraId="233C2F79"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color w:val="000000" w:themeColor="text1"/>
          <w:sz w:val="22"/>
          <w:szCs w:val="22"/>
          <w:lang w:eastAsia="en-US"/>
        </w:rPr>
        <w:t xml:space="preserve">majandustegevuse seadustiku üldosa seadust </w:t>
      </w:r>
      <w:r w:rsidRPr="004523B3">
        <w:rPr>
          <w:sz w:val="22"/>
          <w:szCs w:val="22"/>
          <w:lang w:eastAsia="en-US"/>
        </w:rPr>
        <w:t xml:space="preserve">(edaspidi </w:t>
      </w:r>
      <w:proofErr w:type="spellStart"/>
      <w:r w:rsidRPr="004523B3">
        <w:rPr>
          <w:i/>
          <w:sz w:val="22"/>
          <w:szCs w:val="22"/>
          <w:lang w:eastAsia="en-US"/>
        </w:rPr>
        <w:t>MsÜS</w:t>
      </w:r>
      <w:proofErr w:type="spellEnd"/>
      <w:r w:rsidRPr="004523B3">
        <w:rPr>
          <w:sz w:val="22"/>
          <w:szCs w:val="22"/>
          <w:lang w:eastAsia="en-US"/>
        </w:rPr>
        <w:t>) (RT I, 06.04.2021, 5);</w:t>
      </w:r>
    </w:p>
    <w:p w14:paraId="56F5E835" w14:textId="77777777" w:rsidR="005508E5" w:rsidRPr="004523B3" w:rsidRDefault="005508E5" w:rsidP="002B2C7C">
      <w:pPr>
        <w:numPr>
          <w:ilvl w:val="0"/>
          <w:numId w:val="18"/>
        </w:numPr>
        <w:spacing w:before="0"/>
        <w:ind w:left="284" w:right="-62" w:hanging="284"/>
        <w:contextualSpacing/>
        <w:jc w:val="left"/>
        <w:rPr>
          <w:sz w:val="22"/>
          <w:szCs w:val="22"/>
          <w:lang w:eastAsia="en-US"/>
        </w:rPr>
      </w:pPr>
      <w:r w:rsidRPr="004523B3">
        <w:rPr>
          <w:sz w:val="22"/>
          <w:szCs w:val="22"/>
          <w:lang w:eastAsia="en-US"/>
        </w:rPr>
        <w:t xml:space="preserve">väärtpaberite registri pidamise seadust (edaspidi </w:t>
      </w:r>
      <w:r w:rsidRPr="004523B3">
        <w:rPr>
          <w:i/>
          <w:sz w:val="22"/>
          <w:szCs w:val="22"/>
          <w:lang w:eastAsia="en-US"/>
        </w:rPr>
        <w:t>EVKS</w:t>
      </w:r>
      <w:r w:rsidRPr="004523B3">
        <w:rPr>
          <w:sz w:val="22"/>
          <w:szCs w:val="22"/>
          <w:lang w:eastAsia="en-US"/>
        </w:rPr>
        <w:t>) (RT I, 07.12.2021, 15);</w:t>
      </w:r>
    </w:p>
    <w:p w14:paraId="32DA1C63" w14:textId="77777777" w:rsidR="005508E5" w:rsidRPr="004523B3" w:rsidRDefault="005508E5" w:rsidP="002B2C7C">
      <w:pPr>
        <w:numPr>
          <w:ilvl w:val="0"/>
          <w:numId w:val="18"/>
        </w:numPr>
        <w:spacing w:before="0"/>
        <w:ind w:left="284" w:right="-62" w:hanging="284"/>
        <w:jc w:val="left"/>
        <w:rPr>
          <w:sz w:val="22"/>
          <w:szCs w:val="22"/>
          <w:lang w:eastAsia="en-US"/>
        </w:rPr>
      </w:pPr>
      <w:r w:rsidRPr="004523B3">
        <w:rPr>
          <w:sz w:val="22"/>
          <w:szCs w:val="22"/>
          <w:lang w:eastAsia="en-US"/>
        </w:rPr>
        <w:t xml:space="preserve">väärtpaberituru seadust (edaspidi </w:t>
      </w:r>
      <w:r w:rsidRPr="004523B3">
        <w:rPr>
          <w:i/>
          <w:sz w:val="22"/>
          <w:szCs w:val="22"/>
          <w:lang w:eastAsia="en-US"/>
        </w:rPr>
        <w:t>VPTS</w:t>
      </w:r>
      <w:r w:rsidRPr="004523B3">
        <w:rPr>
          <w:sz w:val="22"/>
          <w:szCs w:val="22"/>
          <w:lang w:eastAsia="en-US"/>
        </w:rPr>
        <w:t>) (</w:t>
      </w:r>
      <w:r w:rsidRPr="004523B3">
        <w:rPr>
          <w:sz w:val="22"/>
          <w:szCs w:val="22"/>
        </w:rPr>
        <w:t>RT I, 29.03.2022, 13</w:t>
      </w:r>
      <w:r w:rsidRPr="004523B3">
        <w:rPr>
          <w:sz w:val="22"/>
          <w:szCs w:val="22"/>
          <w:lang w:eastAsia="en-US"/>
        </w:rPr>
        <w:t>).</w:t>
      </w:r>
    </w:p>
    <w:p w14:paraId="747FC15A" w14:textId="77777777" w:rsidR="005508E5" w:rsidRPr="009E2F88" w:rsidRDefault="005508E5" w:rsidP="005508E5">
      <w:pPr>
        <w:spacing w:before="0"/>
        <w:ind w:left="714" w:right="-62"/>
        <w:contextualSpacing/>
        <w:rPr>
          <w:sz w:val="22"/>
          <w:szCs w:val="22"/>
          <w:lang w:eastAsia="en-US"/>
        </w:rPr>
      </w:pPr>
    </w:p>
    <w:p w14:paraId="64298D28" w14:textId="77777777" w:rsidR="005508E5" w:rsidRPr="009E2F88" w:rsidRDefault="005508E5" w:rsidP="005508E5">
      <w:pPr>
        <w:spacing w:before="0"/>
        <w:ind w:right="-64"/>
        <w:rPr>
          <w:sz w:val="22"/>
          <w:szCs w:val="22"/>
          <w:lang w:eastAsia="en-US"/>
        </w:rPr>
      </w:pPr>
      <w:r w:rsidRPr="009E2F88">
        <w:rPr>
          <w:sz w:val="22"/>
          <w:szCs w:val="22"/>
          <w:lang w:eastAsia="en-US"/>
        </w:rPr>
        <w:t>Eelnõu vastuvõtmiseks on vajalik Riigikogu poolthäälte enamus.</w:t>
      </w:r>
    </w:p>
    <w:p w14:paraId="2919344A" w14:textId="77777777" w:rsidR="005508E5" w:rsidRPr="003E1FE8" w:rsidRDefault="005508E5" w:rsidP="00A3112A">
      <w:pPr>
        <w:keepNext/>
        <w:keepLines/>
        <w:numPr>
          <w:ilvl w:val="1"/>
          <w:numId w:val="9"/>
        </w:numPr>
        <w:spacing w:before="0"/>
        <w:ind w:left="426" w:hanging="426"/>
        <w:jc w:val="left"/>
        <w:outlineLvl w:val="1"/>
        <w:rPr>
          <w:rFonts w:eastAsiaTheme="majorEastAsia"/>
          <w:b/>
          <w:bCs/>
          <w:sz w:val="22"/>
          <w:szCs w:val="22"/>
          <w:lang w:eastAsia="en-US"/>
        </w:rPr>
      </w:pPr>
      <w:r w:rsidRPr="003E1FE8">
        <w:rPr>
          <w:rFonts w:eastAsiaTheme="majorEastAsia"/>
          <w:b/>
          <w:bCs/>
          <w:sz w:val="22"/>
          <w:szCs w:val="22"/>
          <w:lang w:eastAsia="en-US"/>
        </w:rPr>
        <w:t>Eelnõu ettevalmistaja</w:t>
      </w:r>
    </w:p>
    <w:p w14:paraId="2593AA47" w14:textId="77777777" w:rsidR="00A3112A" w:rsidRDefault="00A3112A" w:rsidP="005508E5">
      <w:pPr>
        <w:spacing w:before="0"/>
        <w:rPr>
          <w:sz w:val="22"/>
          <w:szCs w:val="22"/>
        </w:rPr>
      </w:pPr>
    </w:p>
    <w:p w14:paraId="46F7BEEB" w14:textId="00144B26" w:rsidR="005508E5" w:rsidRPr="009E2F88" w:rsidRDefault="005508E5" w:rsidP="005508E5">
      <w:pPr>
        <w:spacing w:before="0"/>
        <w:rPr>
          <w:sz w:val="22"/>
          <w:szCs w:val="22"/>
        </w:rPr>
      </w:pPr>
      <w:r w:rsidRPr="009E2F88">
        <w:rPr>
          <w:sz w:val="22"/>
          <w:szCs w:val="22"/>
        </w:rPr>
        <w:lastRenderedPageBreak/>
        <w:t>Eelnõu ja seletuskirja on koostanud Rahandusministeeriumi finantst</w:t>
      </w:r>
      <w:r>
        <w:rPr>
          <w:sz w:val="22"/>
          <w:szCs w:val="22"/>
        </w:rPr>
        <w:t>eenuste</w:t>
      </w:r>
      <w:r w:rsidRPr="009E2F88">
        <w:rPr>
          <w:sz w:val="22"/>
          <w:szCs w:val="22"/>
        </w:rPr>
        <w:t xml:space="preserve"> poliitika osakonna</w:t>
      </w:r>
      <w:r w:rsidRPr="009E2F88" w:rsidDel="00C80090">
        <w:rPr>
          <w:sz w:val="22"/>
          <w:szCs w:val="22"/>
        </w:rPr>
        <w:t xml:space="preserve"> </w:t>
      </w:r>
      <w:r>
        <w:rPr>
          <w:sz w:val="22"/>
          <w:szCs w:val="22"/>
        </w:rPr>
        <w:t>nõunikud</w:t>
      </w:r>
      <w:r w:rsidRPr="009E2F88">
        <w:rPr>
          <w:sz w:val="22"/>
          <w:szCs w:val="22"/>
        </w:rPr>
        <w:t xml:space="preserve"> Paula Etti (</w:t>
      </w:r>
      <w:r>
        <w:rPr>
          <w:sz w:val="22"/>
          <w:szCs w:val="22"/>
        </w:rPr>
        <w:t>teenistussuhe peatatud</w:t>
      </w:r>
      <w:r w:rsidRPr="009E2F88">
        <w:rPr>
          <w:sz w:val="22"/>
          <w:szCs w:val="22"/>
        </w:rPr>
        <w:t xml:space="preserve">), Kristen Leppik (611 </w:t>
      </w:r>
      <w:r>
        <w:rPr>
          <w:sz w:val="22"/>
          <w:szCs w:val="22"/>
        </w:rPr>
        <w:t>3093</w:t>
      </w:r>
      <w:r w:rsidRPr="009E2F88">
        <w:rPr>
          <w:sz w:val="22"/>
          <w:szCs w:val="22"/>
        </w:rPr>
        <w:t xml:space="preserve">, </w:t>
      </w:r>
      <w:hyperlink r:id="rId8" w:history="1">
        <w:r w:rsidRPr="009E2F88">
          <w:rPr>
            <w:color w:val="0000FF"/>
            <w:sz w:val="22"/>
            <w:szCs w:val="22"/>
            <w:u w:val="single"/>
          </w:rPr>
          <w:t>kristen.leppik@fin.ee</w:t>
        </w:r>
      </w:hyperlink>
      <w:r>
        <w:rPr>
          <w:sz w:val="22"/>
          <w:szCs w:val="22"/>
        </w:rPr>
        <w:t>), Janika Aben</w:t>
      </w:r>
      <w:r w:rsidRPr="009E2F88">
        <w:rPr>
          <w:sz w:val="22"/>
          <w:szCs w:val="22"/>
        </w:rPr>
        <w:t xml:space="preserve"> </w:t>
      </w:r>
      <w:r>
        <w:rPr>
          <w:sz w:val="22"/>
          <w:szCs w:val="22"/>
        </w:rPr>
        <w:t xml:space="preserve">(teenistussuhe peatatud), </w:t>
      </w:r>
      <w:r w:rsidRPr="009E2F88">
        <w:rPr>
          <w:sz w:val="22"/>
          <w:szCs w:val="22"/>
        </w:rPr>
        <w:t xml:space="preserve">Kristiina Kubja (611 </w:t>
      </w:r>
      <w:r>
        <w:rPr>
          <w:sz w:val="22"/>
          <w:szCs w:val="22"/>
        </w:rPr>
        <w:t>3658</w:t>
      </w:r>
      <w:r w:rsidRPr="009E2F88">
        <w:rPr>
          <w:sz w:val="22"/>
          <w:szCs w:val="22"/>
        </w:rPr>
        <w:t xml:space="preserve">, </w:t>
      </w:r>
      <w:hyperlink r:id="rId9" w:history="1">
        <w:r w:rsidR="00A3112A" w:rsidRPr="00635BFF">
          <w:rPr>
            <w:rStyle w:val="Hyperlink"/>
            <w:sz w:val="22"/>
            <w:szCs w:val="22"/>
          </w:rPr>
          <w:t>Kristiina.kubja@fin.ee</w:t>
        </w:r>
      </w:hyperlink>
      <w:r w:rsidRPr="009E2F88">
        <w:rPr>
          <w:sz w:val="22"/>
          <w:szCs w:val="22"/>
        </w:rPr>
        <w:t>)</w:t>
      </w:r>
      <w:r>
        <w:rPr>
          <w:sz w:val="22"/>
          <w:szCs w:val="22"/>
        </w:rPr>
        <w:t xml:space="preserve"> </w:t>
      </w:r>
      <w:r w:rsidRPr="009E2F88">
        <w:rPr>
          <w:sz w:val="22"/>
          <w:szCs w:val="22"/>
        </w:rPr>
        <w:t xml:space="preserve">ja sama osakonna juhataja </w:t>
      </w:r>
      <w:r>
        <w:rPr>
          <w:sz w:val="22"/>
          <w:szCs w:val="22"/>
        </w:rPr>
        <w:t xml:space="preserve">asetäitja </w:t>
      </w:r>
      <w:r w:rsidRPr="009E2F88">
        <w:rPr>
          <w:sz w:val="22"/>
          <w:szCs w:val="22"/>
        </w:rPr>
        <w:t xml:space="preserve">Thomas Auväärt (611 3633, </w:t>
      </w:r>
      <w:hyperlink r:id="rId10" w:history="1">
        <w:r w:rsidRPr="009E2F88">
          <w:rPr>
            <w:color w:val="0000FF"/>
            <w:sz w:val="22"/>
            <w:szCs w:val="22"/>
            <w:u w:val="single"/>
          </w:rPr>
          <w:t>thomas.auvaart@fin.ee</w:t>
        </w:r>
      </w:hyperlink>
      <w:r w:rsidRPr="009E2F88">
        <w:rPr>
          <w:sz w:val="22"/>
          <w:szCs w:val="22"/>
        </w:rPr>
        <w:t xml:space="preserve">). </w:t>
      </w:r>
    </w:p>
    <w:p w14:paraId="29641484" w14:textId="77777777" w:rsidR="005508E5" w:rsidRPr="009E2F88" w:rsidRDefault="005508E5" w:rsidP="005508E5">
      <w:pPr>
        <w:spacing w:before="0"/>
        <w:rPr>
          <w:sz w:val="22"/>
          <w:szCs w:val="22"/>
        </w:rPr>
      </w:pPr>
    </w:p>
    <w:p w14:paraId="7F73C8F1" w14:textId="77777777" w:rsidR="005508E5" w:rsidRPr="000765A7" w:rsidRDefault="005508E5" w:rsidP="005508E5">
      <w:pPr>
        <w:spacing w:before="0"/>
        <w:rPr>
          <w:sz w:val="22"/>
          <w:szCs w:val="22"/>
        </w:rPr>
      </w:pPr>
      <w:r w:rsidRPr="000765A7">
        <w:rPr>
          <w:sz w:val="22"/>
          <w:szCs w:val="22"/>
        </w:rPr>
        <w:t xml:space="preserve">Eelnõu on keeleliselt toimetanud Rahandusministeeriumi </w:t>
      </w:r>
      <w:r>
        <w:rPr>
          <w:sz w:val="22"/>
          <w:szCs w:val="22"/>
        </w:rPr>
        <w:t xml:space="preserve">personali- ja </w:t>
      </w:r>
      <w:r w:rsidRPr="000765A7">
        <w:rPr>
          <w:sz w:val="22"/>
          <w:szCs w:val="22"/>
        </w:rPr>
        <w:t xml:space="preserve">õigusosakonna keeletoimetaja Sirje Lilover (611 3638, </w:t>
      </w:r>
      <w:hyperlink r:id="rId11" w:history="1">
        <w:r w:rsidRPr="000765A7">
          <w:rPr>
            <w:rStyle w:val="Heading8Char"/>
            <w:sz w:val="22"/>
            <w:szCs w:val="22"/>
          </w:rPr>
          <w:t>sirje.lilover@fin.ee</w:t>
        </w:r>
      </w:hyperlink>
      <w:r w:rsidRPr="000765A7">
        <w:rPr>
          <w:sz w:val="22"/>
          <w:szCs w:val="22"/>
        </w:rPr>
        <w:t xml:space="preserve">). Eelnõu </w:t>
      </w:r>
      <w:r>
        <w:rPr>
          <w:sz w:val="22"/>
          <w:szCs w:val="22"/>
        </w:rPr>
        <w:t xml:space="preserve">ja seletuskirja </w:t>
      </w:r>
      <w:r w:rsidRPr="000765A7">
        <w:rPr>
          <w:sz w:val="22"/>
          <w:szCs w:val="22"/>
        </w:rPr>
        <w:t xml:space="preserve">juriidilist kvaliteeti kontrollis </w:t>
      </w:r>
      <w:r>
        <w:rPr>
          <w:sz w:val="22"/>
          <w:szCs w:val="22"/>
        </w:rPr>
        <w:t xml:space="preserve">sama </w:t>
      </w:r>
      <w:r w:rsidRPr="000765A7">
        <w:rPr>
          <w:sz w:val="22"/>
          <w:szCs w:val="22"/>
        </w:rPr>
        <w:t xml:space="preserve">osakonna nõunik Agnes Peterson (611 3161, </w:t>
      </w:r>
      <w:hyperlink r:id="rId12" w:history="1">
        <w:r w:rsidRPr="000765A7">
          <w:rPr>
            <w:rStyle w:val="Heading8Char"/>
            <w:sz w:val="22"/>
            <w:szCs w:val="22"/>
          </w:rPr>
          <w:t>agnes.peterson@fin.ee</w:t>
        </w:r>
      </w:hyperlink>
      <w:r w:rsidRPr="000765A7">
        <w:rPr>
          <w:sz w:val="22"/>
          <w:szCs w:val="22"/>
        </w:rPr>
        <w:t>).</w:t>
      </w:r>
    </w:p>
    <w:p w14:paraId="17F0C036" w14:textId="77777777" w:rsidR="005508E5" w:rsidRDefault="005508E5" w:rsidP="005508E5">
      <w:pPr>
        <w:spacing w:before="0"/>
        <w:rPr>
          <w:sz w:val="22"/>
          <w:szCs w:val="22"/>
        </w:rPr>
      </w:pPr>
    </w:p>
    <w:p w14:paraId="0A0A986F" w14:textId="77777777" w:rsidR="005508E5" w:rsidRPr="00137E34" w:rsidRDefault="005508E5" w:rsidP="005508E5">
      <w:pPr>
        <w:pStyle w:val="Heading1"/>
        <w:numPr>
          <w:ilvl w:val="0"/>
          <w:numId w:val="9"/>
        </w:numPr>
        <w:rPr>
          <w:sz w:val="22"/>
          <w:szCs w:val="22"/>
          <w:lang w:val="et-EE"/>
        </w:rPr>
      </w:pPr>
      <w:r w:rsidRPr="00137E34">
        <w:rPr>
          <w:sz w:val="22"/>
          <w:szCs w:val="22"/>
          <w:lang w:val="et-EE"/>
        </w:rPr>
        <w:t>S</w:t>
      </w:r>
      <w:r>
        <w:rPr>
          <w:sz w:val="22"/>
          <w:szCs w:val="22"/>
          <w:lang w:val="et-EE"/>
        </w:rPr>
        <w:t>eaduse eesmärk</w:t>
      </w:r>
    </w:p>
    <w:p w14:paraId="6CAA1B41" w14:textId="77777777" w:rsidR="005508E5" w:rsidRPr="001861E3" w:rsidRDefault="005508E5" w:rsidP="005508E5">
      <w:pPr>
        <w:numPr>
          <w:ilvl w:val="1"/>
          <w:numId w:val="9"/>
        </w:numPr>
        <w:ind w:left="426" w:hanging="426"/>
        <w:rPr>
          <w:b/>
          <w:sz w:val="22"/>
          <w:szCs w:val="22"/>
        </w:rPr>
      </w:pPr>
      <w:r w:rsidRPr="001861E3">
        <w:rPr>
          <w:b/>
          <w:sz w:val="22"/>
          <w:szCs w:val="22"/>
        </w:rPr>
        <w:t>Reguleerimise vajadus</w:t>
      </w:r>
    </w:p>
    <w:p w14:paraId="7274A614" w14:textId="77777777" w:rsidR="00A3112A" w:rsidRDefault="00A3112A" w:rsidP="005508E5">
      <w:pPr>
        <w:spacing w:before="0"/>
        <w:rPr>
          <w:sz w:val="22"/>
          <w:szCs w:val="22"/>
          <w:lang w:eastAsia="en-US"/>
        </w:rPr>
      </w:pPr>
    </w:p>
    <w:p w14:paraId="54E47729" w14:textId="14ED6627" w:rsidR="005508E5" w:rsidRPr="00B774AC" w:rsidRDefault="005508E5" w:rsidP="005508E5">
      <w:pPr>
        <w:spacing w:before="0"/>
        <w:rPr>
          <w:sz w:val="22"/>
          <w:szCs w:val="22"/>
          <w:lang w:eastAsia="en-US"/>
        </w:rPr>
      </w:pPr>
      <w:r w:rsidRPr="00B774AC">
        <w:rPr>
          <w:sz w:val="22"/>
          <w:szCs w:val="22"/>
          <w:lang w:eastAsia="en-US"/>
        </w:rPr>
        <w:t xml:space="preserve">Investeerimise ja kapitali kaasamise põhimõtted ei ole aja jooksul oluliselt muutunud. Muutunud on aga tehnoloogia arengust tulenevad investeerimisvõimalused, mis on kapitali kaasamist lihtsustanud. Tehnoloogiline innovatsioon muudab seega ühiskonda ja ka ärimudeleid. Turule tulevad uued finantstehnoloogiad ja need mõjutavad omakorda ka finantsteenuste arengut, sh milliseid teenuseid osutatakse ja millisel viisil neid pakutakse. Uus tehnoloogia kätkeb nii võimalusi kui ka ohtusid, seetõttu on oluline, et ühelt poolt toetatakse innovatsiooniga tegelemist ja uute teenuste loomist, ja teiselt poolt kaitstakse eelnevaga seotud soovimatute tagajärgede eest. </w:t>
      </w:r>
    </w:p>
    <w:p w14:paraId="5BBC451F" w14:textId="77777777" w:rsidR="005508E5" w:rsidRPr="00B774AC" w:rsidRDefault="005508E5" w:rsidP="005508E5">
      <w:pPr>
        <w:spacing w:before="0"/>
        <w:rPr>
          <w:sz w:val="22"/>
          <w:szCs w:val="22"/>
          <w:lang w:eastAsia="en-US"/>
        </w:rPr>
      </w:pPr>
    </w:p>
    <w:p w14:paraId="60B49F4F" w14:textId="77777777" w:rsidR="005508E5" w:rsidRPr="00B774AC" w:rsidRDefault="005508E5" w:rsidP="005508E5">
      <w:pPr>
        <w:spacing w:before="0"/>
        <w:rPr>
          <w:b/>
          <w:sz w:val="22"/>
          <w:szCs w:val="22"/>
          <w:lang w:eastAsia="en-US"/>
        </w:rPr>
      </w:pPr>
      <w:r w:rsidRPr="00B774AC">
        <w:rPr>
          <w:b/>
          <w:sz w:val="22"/>
          <w:szCs w:val="22"/>
          <w:lang w:eastAsia="en-US"/>
        </w:rPr>
        <w:t xml:space="preserve">Samas ei ole kehtiv regulatsioon uudsete võimalustega sammu pidanud, mistõttu kaasneb vajadus laiendada investorkaitset ka kapitali kaasamise mudelitele, mis </w:t>
      </w:r>
      <w:r>
        <w:rPr>
          <w:b/>
          <w:sz w:val="22"/>
          <w:szCs w:val="22"/>
          <w:lang w:eastAsia="en-US"/>
        </w:rPr>
        <w:t>jäävad kehtiva</w:t>
      </w:r>
      <w:r w:rsidRPr="00B774AC">
        <w:rPr>
          <w:b/>
          <w:sz w:val="22"/>
          <w:szCs w:val="22"/>
          <w:lang w:eastAsia="en-US"/>
        </w:rPr>
        <w:t xml:space="preserve"> </w:t>
      </w:r>
      <w:r>
        <w:rPr>
          <w:b/>
          <w:sz w:val="22"/>
          <w:szCs w:val="22"/>
          <w:lang w:eastAsia="en-US"/>
        </w:rPr>
        <w:t>regulatsiooni kohalda</w:t>
      </w:r>
      <w:r w:rsidRPr="00B774AC">
        <w:rPr>
          <w:b/>
          <w:sz w:val="22"/>
          <w:szCs w:val="22"/>
          <w:lang w:eastAsia="en-US"/>
        </w:rPr>
        <w:t xml:space="preserve">misalast </w:t>
      </w:r>
      <w:r>
        <w:rPr>
          <w:b/>
          <w:sz w:val="22"/>
          <w:szCs w:val="22"/>
          <w:lang w:eastAsia="en-US"/>
        </w:rPr>
        <w:t>välja</w:t>
      </w:r>
      <w:r w:rsidRPr="00B774AC">
        <w:rPr>
          <w:b/>
          <w:sz w:val="22"/>
          <w:szCs w:val="22"/>
          <w:lang w:eastAsia="en-US"/>
        </w:rPr>
        <w:t xml:space="preserve">. </w:t>
      </w:r>
    </w:p>
    <w:p w14:paraId="0C508CDE" w14:textId="77777777" w:rsidR="005508E5" w:rsidRPr="00B774AC" w:rsidRDefault="005508E5" w:rsidP="005508E5">
      <w:pPr>
        <w:spacing w:before="0"/>
        <w:rPr>
          <w:sz w:val="22"/>
          <w:szCs w:val="22"/>
          <w:lang w:eastAsia="en-US"/>
        </w:rPr>
      </w:pPr>
    </w:p>
    <w:p w14:paraId="0938DB19" w14:textId="77777777" w:rsidR="005508E5" w:rsidRPr="00B774AC" w:rsidRDefault="005508E5" w:rsidP="005508E5">
      <w:pPr>
        <w:spacing w:before="0"/>
        <w:rPr>
          <w:rFonts w:eastAsiaTheme="minorHAnsi"/>
          <w:sz w:val="22"/>
          <w:szCs w:val="22"/>
          <w:lang w:eastAsia="en-US"/>
        </w:rPr>
      </w:pPr>
      <w:r w:rsidRPr="00B774AC">
        <w:rPr>
          <w:rFonts w:eastAsiaTheme="minorHAnsi"/>
          <w:sz w:val="22"/>
          <w:szCs w:val="22"/>
          <w:lang w:eastAsia="en-US"/>
        </w:rPr>
        <w:t>Eesti Pank viitab oma 2018. aasta esimese poolaasta finantsstabiilsuse ülevaates</w:t>
      </w:r>
      <w:r w:rsidRPr="006521CB">
        <w:rPr>
          <w:rFonts w:eastAsiaTheme="minorHAnsi"/>
          <w:bCs/>
          <w:sz w:val="22"/>
          <w:szCs w:val="22"/>
          <w:vertAlign w:val="superscript"/>
          <w:lang w:eastAsia="en-US"/>
        </w:rPr>
        <w:footnoteReference w:id="5"/>
      </w:r>
      <w:r w:rsidRPr="005143BE">
        <w:rPr>
          <w:rFonts w:eastAsiaTheme="minorHAnsi"/>
          <w:sz w:val="22"/>
          <w:szCs w:val="22"/>
          <w:lang w:eastAsia="en-US"/>
        </w:rPr>
        <w:t>,</w:t>
      </w:r>
      <w:r w:rsidRPr="00B774AC">
        <w:rPr>
          <w:rFonts w:eastAsiaTheme="minorHAnsi"/>
          <w:sz w:val="22"/>
          <w:szCs w:val="22"/>
          <w:lang w:eastAsia="en-US"/>
        </w:rPr>
        <w:t xml:space="preserve"> et näiteks </w:t>
      </w:r>
      <w:proofErr w:type="spellStart"/>
      <w:r w:rsidRPr="00B774AC">
        <w:rPr>
          <w:rFonts w:eastAsiaTheme="minorHAnsi"/>
          <w:b/>
          <w:sz w:val="22"/>
          <w:szCs w:val="22"/>
          <w:lang w:eastAsia="en-US"/>
        </w:rPr>
        <w:t>krüptovarade</w:t>
      </w:r>
      <w:proofErr w:type="spellEnd"/>
      <w:r w:rsidRPr="00B774AC">
        <w:rPr>
          <w:rFonts w:eastAsiaTheme="minorHAnsi"/>
          <w:b/>
          <w:sz w:val="22"/>
          <w:szCs w:val="22"/>
          <w:lang w:eastAsia="en-US"/>
        </w:rPr>
        <w:t xml:space="preserve"> puhul puuduvad nii tarbijatel kui ka investoritel reguleeritud finantsteenuste ja investeeringutega kaasnevad õiguslikud garantiid ja tagatised</w:t>
      </w:r>
      <w:r w:rsidRPr="00B774AC">
        <w:rPr>
          <w:rFonts w:eastAsiaTheme="minorHAnsi"/>
          <w:sz w:val="22"/>
          <w:szCs w:val="22"/>
          <w:lang w:eastAsia="en-US"/>
        </w:rPr>
        <w:t>. See tähendab näiteks</w:t>
      </w:r>
      <w:r>
        <w:rPr>
          <w:rFonts w:eastAsiaTheme="minorHAnsi"/>
          <w:sz w:val="22"/>
          <w:szCs w:val="22"/>
          <w:lang w:eastAsia="en-US"/>
        </w:rPr>
        <w:t xml:space="preserve"> seda</w:t>
      </w:r>
      <w:r w:rsidRPr="00B774AC">
        <w:rPr>
          <w:rFonts w:eastAsiaTheme="minorHAnsi"/>
          <w:sz w:val="22"/>
          <w:szCs w:val="22"/>
          <w:lang w:eastAsia="en-US"/>
        </w:rPr>
        <w:t>, et kui digitaalse rahakoti pakkuja lõpetab oma tegevuse ükskõik millisel põhjusel (</w:t>
      </w:r>
      <w:r>
        <w:rPr>
          <w:rFonts w:eastAsiaTheme="minorHAnsi"/>
          <w:sz w:val="22"/>
          <w:szCs w:val="22"/>
          <w:lang w:eastAsia="en-US"/>
        </w:rPr>
        <w:t xml:space="preserve">nt </w:t>
      </w:r>
      <w:proofErr w:type="spellStart"/>
      <w:r w:rsidRPr="00B774AC">
        <w:rPr>
          <w:rFonts w:eastAsiaTheme="minorHAnsi"/>
          <w:sz w:val="22"/>
          <w:szCs w:val="22"/>
          <w:lang w:eastAsia="en-US"/>
        </w:rPr>
        <w:t>küberrünnak</w:t>
      </w:r>
      <w:proofErr w:type="spellEnd"/>
      <w:r w:rsidRPr="00B774AC">
        <w:rPr>
          <w:rFonts w:eastAsiaTheme="minorHAnsi"/>
          <w:sz w:val="22"/>
          <w:szCs w:val="22"/>
          <w:lang w:eastAsia="en-US"/>
        </w:rPr>
        <w:t>, suutmatus tä</w:t>
      </w:r>
      <w:r>
        <w:rPr>
          <w:rFonts w:eastAsiaTheme="minorHAnsi"/>
          <w:sz w:val="22"/>
          <w:szCs w:val="22"/>
          <w:lang w:eastAsia="en-US"/>
        </w:rPr>
        <w:t xml:space="preserve">ita eeskirju või </w:t>
      </w:r>
      <w:r w:rsidRPr="00B774AC">
        <w:rPr>
          <w:rFonts w:eastAsiaTheme="minorHAnsi"/>
          <w:sz w:val="22"/>
          <w:szCs w:val="22"/>
          <w:lang w:eastAsia="en-US"/>
        </w:rPr>
        <w:t xml:space="preserve">muud ärilised probleemid), ei pruugi kliendid saada oma </w:t>
      </w:r>
      <w:proofErr w:type="spellStart"/>
      <w:r w:rsidRPr="00B774AC">
        <w:rPr>
          <w:rFonts w:eastAsiaTheme="minorHAnsi"/>
          <w:sz w:val="22"/>
          <w:szCs w:val="22"/>
          <w:lang w:eastAsia="en-US"/>
        </w:rPr>
        <w:t>krüptovara</w:t>
      </w:r>
      <w:proofErr w:type="spellEnd"/>
      <w:r w:rsidRPr="00B774AC">
        <w:rPr>
          <w:rFonts w:eastAsiaTheme="minorHAnsi"/>
          <w:sz w:val="22"/>
          <w:szCs w:val="22"/>
          <w:lang w:eastAsia="en-US"/>
        </w:rPr>
        <w:t xml:space="preserve"> enam kasutada ega ka rahaks vahetada. Samas toob Eesti Pank eelviidatud ülevaates välja </w:t>
      </w:r>
      <w:r>
        <w:rPr>
          <w:rFonts w:eastAsiaTheme="minorHAnsi"/>
          <w:sz w:val="22"/>
          <w:szCs w:val="22"/>
          <w:lang w:eastAsia="en-US"/>
        </w:rPr>
        <w:t xml:space="preserve">ka </w:t>
      </w:r>
      <w:r w:rsidRPr="00B774AC">
        <w:rPr>
          <w:rFonts w:eastAsiaTheme="minorHAnsi"/>
          <w:sz w:val="22"/>
          <w:szCs w:val="22"/>
          <w:lang w:eastAsia="en-US"/>
        </w:rPr>
        <w:t>uudsete tehnoloogiate</w:t>
      </w:r>
      <w:r>
        <w:rPr>
          <w:rFonts w:eastAsiaTheme="minorHAnsi"/>
          <w:sz w:val="22"/>
          <w:szCs w:val="22"/>
          <w:lang w:eastAsia="en-US"/>
        </w:rPr>
        <w:t>ga</w:t>
      </w:r>
      <w:r w:rsidRPr="00B774AC">
        <w:rPr>
          <w:rFonts w:eastAsiaTheme="minorHAnsi"/>
          <w:sz w:val="22"/>
          <w:szCs w:val="22"/>
          <w:lang w:eastAsia="en-US"/>
        </w:rPr>
        <w:t xml:space="preserve"> </w:t>
      </w:r>
      <w:r>
        <w:rPr>
          <w:rFonts w:eastAsiaTheme="minorHAnsi"/>
          <w:sz w:val="22"/>
          <w:szCs w:val="22"/>
          <w:lang w:eastAsia="en-US"/>
        </w:rPr>
        <w:t>seonduvaid</w:t>
      </w:r>
      <w:r w:rsidRPr="00B774AC">
        <w:rPr>
          <w:rFonts w:eastAsiaTheme="minorHAnsi"/>
          <w:sz w:val="22"/>
          <w:szCs w:val="22"/>
          <w:lang w:eastAsia="en-US"/>
        </w:rPr>
        <w:t xml:space="preserve"> </w:t>
      </w:r>
      <w:r>
        <w:rPr>
          <w:rFonts w:eastAsiaTheme="minorHAnsi"/>
          <w:sz w:val="22"/>
          <w:szCs w:val="22"/>
          <w:lang w:eastAsia="en-US"/>
        </w:rPr>
        <w:t>positiivseid külgi</w:t>
      </w:r>
      <w:r w:rsidRPr="00B774AC">
        <w:rPr>
          <w:rFonts w:eastAsiaTheme="minorHAnsi"/>
          <w:sz w:val="22"/>
          <w:szCs w:val="22"/>
          <w:lang w:eastAsia="en-US"/>
        </w:rPr>
        <w:t xml:space="preserve">, märkides, et kuigi </w:t>
      </w:r>
      <w:proofErr w:type="spellStart"/>
      <w:r w:rsidRPr="00B774AC">
        <w:rPr>
          <w:rFonts w:eastAsiaTheme="minorHAnsi"/>
          <w:sz w:val="22"/>
          <w:szCs w:val="22"/>
          <w:lang w:eastAsia="en-US"/>
        </w:rPr>
        <w:t>krüptovaraga</w:t>
      </w:r>
      <w:proofErr w:type="spellEnd"/>
      <w:r w:rsidRPr="00B774AC">
        <w:rPr>
          <w:rFonts w:eastAsiaTheme="minorHAnsi"/>
          <w:sz w:val="22"/>
          <w:szCs w:val="22"/>
          <w:lang w:eastAsia="en-US"/>
        </w:rPr>
        <w:t xml:space="preserve"> kauplemine põhjustab teatud riske, ei tohiks alahinnata nende aluseks oleva tehnoloogia pakutavaid võimalusi. </w:t>
      </w:r>
    </w:p>
    <w:p w14:paraId="6539F545" w14:textId="77777777" w:rsidR="005508E5" w:rsidRPr="00B774AC" w:rsidRDefault="005508E5" w:rsidP="005508E5">
      <w:pPr>
        <w:spacing w:before="0"/>
        <w:rPr>
          <w:rFonts w:eastAsiaTheme="minorHAnsi"/>
          <w:sz w:val="22"/>
          <w:szCs w:val="22"/>
          <w:lang w:eastAsia="en-US"/>
        </w:rPr>
      </w:pPr>
    </w:p>
    <w:p w14:paraId="7B8331D4" w14:textId="77777777" w:rsidR="005508E5" w:rsidRPr="00B774AC" w:rsidRDefault="005508E5" w:rsidP="005508E5">
      <w:pPr>
        <w:spacing w:before="0"/>
        <w:rPr>
          <w:rFonts w:eastAsiaTheme="minorHAnsi"/>
          <w:sz w:val="22"/>
          <w:szCs w:val="22"/>
          <w:lang w:eastAsia="en-US"/>
        </w:rPr>
      </w:pPr>
      <w:r w:rsidRPr="00B774AC">
        <w:rPr>
          <w:rFonts w:eastAsiaTheme="minorHAnsi"/>
          <w:sz w:val="22"/>
          <w:szCs w:val="22"/>
          <w:lang w:eastAsia="en-US"/>
        </w:rPr>
        <w:t xml:space="preserve">Seoses </w:t>
      </w:r>
      <w:proofErr w:type="spellStart"/>
      <w:r w:rsidRPr="00B774AC">
        <w:rPr>
          <w:rFonts w:eastAsiaTheme="minorHAnsi"/>
          <w:sz w:val="22"/>
          <w:szCs w:val="22"/>
          <w:lang w:eastAsia="en-US"/>
        </w:rPr>
        <w:t>ühisrahastusega</w:t>
      </w:r>
      <w:proofErr w:type="spellEnd"/>
      <w:r w:rsidRPr="00B774AC">
        <w:rPr>
          <w:rFonts w:eastAsiaTheme="minorHAnsi"/>
          <w:sz w:val="22"/>
          <w:szCs w:val="22"/>
          <w:lang w:eastAsia="en-US"/>
        </w:rPr>
        <w:t xml:space="preserve"> märgib Eesti Pank 2020. aasta esimese poolaasta finantsstabiilsuse ülevaates</w:t>
      </w:r>
      <w:r w:rsidRPr="002E36ED">
        <w:rPr>
          <w:rFonts w:eastAsiaTheme="minorHAnsi"/>
          <w:bCs/>
          <w:sz w:val="22"/>
          <w:szCs w:val="22"/>
          <w:vertAlign w:val="superscript"/>
          <w:lang w:eastAsia="en-US"/>
        </w:rPr>
        <w:footnoteReference w:id="6"/>
      </w:r>
      <w:r w:rsidRPr="00B774AC">
        <w:rPr>
          <w:rFonts w:eastAsiaTheme="minorHAnsi"/>
          <w:sz w:val="22"/>
          <w:szCs w:val="22"/>
          <w:lang w:eastAsia="en-US"/>
        </w:rPr>
        <w:t xml:space="preserve">, et </w:t>
      </w:r>
      <w:proofErr w:type="spellStart"/>
      <w:r w:rsidRPr="00B774AC">
        <w:rPr>
          <w:rFonts w:eastAsiaTheme="minorHAnsi"/>
          <w:sz w:val="22"/>
          <w:szCs w:val="22"/>
          <w:lang w:eastAsia="en-US"/>
        </w:rPr>
        <w:t>ühisrahastusse</w:t>
      </w:r>
      <w:proofErr w:type="spellEnd"/>
      <w:r w:rsidRPr="00B774AC">
        <w:rPr>
          <w:rFonts w:eastAsiaTheme="minorHAnsi"/>
          <w:sz w:val="22"/>
          <w:szCs w:val="22"/>
          <w:lang w:eastAsia="en-US"/>
        </w:rPr>
        <w:t xml:space="preserve"> investeerimine on madala sisenemisbarjääriga </w:t>
      </w:r>
      <w:r>
        <w:rPr>
          <w:rFonts w:eastAsiaTheme="minorHAnsi"/>
          <w:sz w:val="22"/>
          <w:szCs w:val="22"/>
          <w:lang w:eastAsia="en-US"/>
        </w:rPr>
        <w:t xml:space="preserve">ja see on </w:t>
      </w:r>
      <w:r w:rsidRPr="00B774AC">
        <w:rPr>
          <w:rFonts w:eastAsiaTheme="minorHAnsi"/>
          <w:sz w:val="22"/>
          <w:szCs w:val="22"/>
          <w:lang w:eastAsia="en-US"/>
        </w:rPr>
        <w:t xml:space="preserve">mitmekesistanud keskmise investori profiili, samas võib </w:t>
      </w:r>
      <w:proofErr w:type="spellStart"/>
      <w:r w:rsidRPr="00B774AC">
        <w:rPr>
          <w:rFonts w:eastAsiaTheme="minorHAnsi"/>
          <w:sz w:val="22"/>
          <w:szCs w:val="22"/>
          <w:lang w:eastAsia="en-US"/>
        </w:rPr>
        <w:t>ühisrahastuse</w:t>
      </w:r>
      <w:proofErr w:type="spellEnd"/>
      <w:r w:rsidRPr="00B774AC">
        <w:rPr>
          <w:rFonts w:eastAsiaTheme="minorHAnsi"/>
          <w:sz w:val="22"/>
          <w:szCs w:val="22"/>
          <w:lang w:eastAsia="en-US"/>
        </w:rPr>
        <w:t xml:space="preserve"> investorite seas olla enam lühemaajalise kogemusega investoreid. Ülevaates märgitakse, </w:t>
      </w:r>
      <w:r w:rsidRPr="00B774AC">
        <w:rPr>
          <w:rFonts w:eastAsiaTheme="minorHAnsi"/>
          <w:b/>
          <w:sz w:val="22"/>
          <w:szCs w:val="22"/>
          <w:lang w:eastAsia="en-US"/>
        </w:rPr>
        <w:t xml:space="preserve">et </w:t>
      </w:r>
      <w:proofErr w:type="spellStart"/>
      <w:r w:rsidRPr="00B774AC">
        <w:rPr>
          <w:rFonts w:eastAsiaTheme="minorHAnsi"/>
          <w:b/>
          <w:sz w:val="22"/>
          <w:szCs w:val="22"/>
          <w:lang w:eastAsia="en-US"/>
        </w:rPr>
        <w:t>ühisrahastus</w:t>
      </w:r>
      <w:proofErr w:type="spellEnd"/>
      <w:r w:rsidRPr="00B774AC">
        <w:rPr>
          <w:rFonts w:eastAsiaTheme="minorHAnsi"/>
          <w:b/>
          <w:sz w:val="22"/>
          <w:szCs w:val="22"/>
          <w:lang w:eastAsia="en-US"/>
        </w:rPr>
        <w:t xml:space="preserve"> on praegu vähereguleeritud valdkond, kus reeglid võivad jääda segaseks, puudub investorikaitse </w:t>
      </w:r>
      <w:r>
        <w:rPr>
          <w:rFonts w:eastAsiaTheme="minorHAnsi"/>
          <w:b/>
          <w:sz w:val="22"/>
          <w:szCs w:val="22"/>
          <w:lang w:eastAsia="en-US"/>
        </w:rPr>
        <w:t>ja</w:t>
      </w:r>
      <w:r w:rsidRPr="00B774AC">
        <w:rPr>
          <w:rFonts w:eastAsiaTheme="minorHAnsi"/>
          <w:b/>
          <w:sz w:val="22"/>
          <w:szCs w:val="22"/>
          <w:lang w:eastAsia="en-US"/>
        </w:rPr>
        <w:t xml:space="preserve"> rahastuse </w:t>
      </w:r>
      <w:r>
        <w:rPr>
          <w:rFonts w:eastAsiaTheme="minorHAnsi"/>
          <w:b/>
          <w:sz w:val="22"/>
          <w:szCs w:val="22"/>
          <w:lang w:eastAsia="en-US"/>
        </w:rPr>
        <w:t>taotlejate</w:t>
      </w:r>
      <w:r w:rsidRPr="00B774AC">
        <w:rPr>
          <w:rFonts w:eastAsiaTheme="minorHAnsi"/>
          <w:b/>
          <w:sz w:val="22"/>
          <w:szCs w:val="22"/>
          <w:lang w:eastAsia="en-US"/>
        </w:rPr>
        <w:t xml:space="preserve"> regulaarne kohustus oma finantsseisu kajastada</w:t>
      </w:r>
      <w:r w:rsidRPr="00B774AC">
        <w:rPr>
          <w:rFonts w:eastAsiaTheme="minorHAnsi"/>
          <w:sz w:val="22"/>
          <w:szCs w:val="22"/>
          <w:lang w:eastAsia="en-US"/>
        </w:rPr>
        <w:t xml:space="preserve">. Suurem osa Eestis tegutsevatest </w:t>
      </w:r>
      <w:proofErr w:type="spellStart"/>
      <w:r w:rsidRPr="00B774AC">
        <w:rPr>
          <w:rFonts w:eastAsiaTheme="minorHAnsi"/>
          <w:sz w:val="22"/>
          <w:szCs w:val="22"/>
          <w:lang w:eastAsia="en-US"/>
        </w:rPr>
        <w:t>ühisrahastusettevõtetest</w:t>
      </w:r>
      <w:proofErr w:type="spellEnd"/>
      <w:r w:rsidRPr="00B774AC">
        <w:rPr>
          <w:rFonts w:eastAsiaTheme="minorHAnsi"/>
          <w:sz w:val="22"/>
          <w:szCs w:val="22"/>
          <w:lang w:eastAsia="en-US"/>
        </w:rPr>
        <w:t xml:space="preserve"> pakub raha kaasamise võimalusi juriidilistele isikutele ega anna finantseeringut oma nimel, tegeledes osapoolte </w:t>
      </w:r>
      <w:proofErr w:type="spellStart"/>
      <w:r w:rsidRPr="00B774AC">
        <w:rPr>
          <w:rFonts w:eastAsiaTheme="minorHAnsi"/>
          <w:sz w:val="22"/>
          <w:szCs w:val="22"/>
          <w:lang w:eastAsia="en-US"/>
        </w:rPr>
        <w:t>kokkuviimisega</w:t>
      </w:r>
      <w:proofErr w:type="spellEnd"/>
      <w:r w:rsidRPr="00B774AC">
        <w:rPr>
          <w:rFonts w:eastAsiaTheme="minorHAnsi"/>
          <w:sz w:val="22"/>
          <w:szCs w:val="22"/>
          <w:lang w:eastAsia="en-US"/>
        </w:rPr>
        <w:t xml:space="preserve">. Nii ei pruugi </w:t>
      </w:r>
      <w:proofErr w:type="spellStart"/>
      <w:r w:rsidRPr="00B774AC">
        <w:rPr>
          <w:rFonts w:eastAsiaTheme="minorHAnsi"/>
          <w:sz w:val="22"/>
          <w:szCs w:val="22"/>
          <w:lang w:eastAsia="en-US"/>
        </w:rPr>
        <w:t>ühisrahastusettevõtja</w:t>
      </w:r>
      <w:proofErr w:type="spellEnd"/>
      <w:r w:rsidRPr="00B774AC">
        <w:rPr>
          <w:rFonts w:eastAsiaTheme="minorHAnsi"/>
          <w:sz w:val="22"/>
          <w:szCs w:val="22"/>
          <w:lang w:eastAsia="en-US"/>
        </w:rPr>
        <w:t xml:space="preserve"> omada Finantsinspektsiooni krediidivahendaja tegevusluba ega kuuluda tegevuse poolest </w:t>
      </w:r>
      <w:r>
        <w:rPr>
          <w:rFonts w:eastAsiaTheme="minorHAnsi"/>
          <w:sz w:val="22"/>
          <w:szCs w:val="22"/>
          <w:lang w:eastAsia="en-US"/>
        </w:rPr>
        <w:t xml:space="preserve">KAVS </w:t>
      </w:r>
      <w:r w:rsidRPr="00B774AC">
        <w:rPr>
          <w:rFonts w:eastAsiaTheme="minorHAnsi"/>
          <w:sz w:val="22"/>
          <w:szCs w:val="22"/>
          <w:lang w:eastAsia="en-US"/>
        </w:rPr>
        <w:t>kohaldamisalasse. Arusaamatusi võib tekkida ka juhul, kui kasutajatingimused lubavad rahastamise tingimusi ja tähtaega projekti kestel muuta.</w:t>
      </w:r>
    </w:p>
    <w:p w14:paraId="731B8314" w14:textId="77777777" w:rsidR="005508E5" w:rsidRPr="00B774AC" w:rsidRDefault="005508E5" w:rsidP="005508E5">
      <w:pPr>
        <w:spacing w:before="0"/>
        <w:rPr>
          <w:rFonts w:eastAsiaTheme="minorHAnsi"/>
          <w:sz w:val="22"/>
          <w:szCs w:val="22"/>
          <w:lang w:eastAsia="en-US"/>
        </w:rPr>
      </w:pPr>
    </w:p>
    <w:p w14:paraId="01809A38" w14:textId="77777777" w:rsidR="005508E5" w:rsidRDefault="005508E5" w:rsidP="005508E5">
      <w:pPr>
        <w:spacing w:before="0"/>
        <w:rPr>
          <w:sz w:val="22"/>
          <w:szCs w:val="22"/>
        </w:rPr>
      </w:pPr>
      <w:r w:rsidRPr="00B774AC">
        <w:rPr>
          <w:sz w:val="22"/>
          <w:szCs w:val="22"/>
          <w:lang w:eastAsia="en-US"/>
        </w:rPr>
        <w:t>Finantsinspektsioon tegi juba 2016. a septembris ettepaneku</w:t>
      </w:r>
      <w:r w:rsidRPr="00B774AC">
        <w:rPr>
          <w:bCs/>
          <w:sz w:val="22"/>
          <w:szCs w:val="22"/>
          <w:vertAlign w:val="superscript"/>
          <w:lang w:eastAsia="en-US"/>
        </w:rPr>
        <w:footnoteReference w:id="7"/>
      </w:r>
      <w:r w:rsidRPr="00B774AC">
        <w:rPr>
          <w:sz w:val="22"/>
          <w:szCs w:val="22"/>
          <w:lang w:eastAsia="en-US"/>
        </w:rPr>
        <w:t xml:space="preserve">, </w:t>
      </w:r>
      <w:r>
        <w:rPr>
          <w:sz w:val="22"/>
          <w:szCs w:val="22"/>
          <w:lang w:eastAsia="en-US"/>
        </w:rPr>
        <w:t xml:space="preserve">mil </w:t>
      </w:r>
      <w:r w:rsidRPr="00B774AC">
        <w:rPr>
          <w:sz w:val="22"/>
          <w:szCs w:val="22"/>
          <w:lang w:eastAsia="en-US"/>
        </w:rPr>
        <w:t xml:space="preserve">viisil </w:t>
      </w:r>
      <w:proofErr w:type="spellStart"/>
      <w:r w:rsidRPr="00B774AC">
        <w:rPr>
          <w:sz w:val="22"/>
          <w:szCs w:val="22"/>
          <w:lang w:eastAsia="en-US"/>
        </w:rPr>
        <w:t>ühisrahastust</w:t>
      </w:r>
      <w:proofErr w:type="spellEnd"/>
      <w:r w:rsidRPr="00B774AC">
        <w:rPr>
          <w:sz w:val="22"/>
          <w:szCs w:val="22"/>
          <w:lang w:eastAsia="en-US"/>
        </w:rPr>
        <w:t xml:space="preserve"> reguleerida. </w:t>
      </w:r>
      <w:r w:rsidRPr="00B774AC">
        <w:rPr>
          <w:sz w:val="22"/>
          <w:szCs w:val="22"/>
        </w:rPr>
        <w:t xml:space="preserve">Rahandusministeerium </w:t>
      </w:r>
      <w:r>
        <w:rPr>
          <w:sz w:val="22"/>
          <w:szCs w:val="22"/>
        </w:rPr>
        <w:t>on koostanud ja avalikustanud 2019. a</w:t>
      </w:r>
      <w:r w:rsidRPr="00B774AC">
        <w:rPr>
          <w:sz w:val="22"/>
          <w:szCs w:val="22"/>
        </w:rPr>
        <w:t xml:space="preserve"> novembris väljatöötamiskavatsuse</w:t>
      </w:r>
      <w:r>
        <w:rPr>
          <w:sz w:val="22"/>
          <w:szCs w:val="22"/>
        </w:rPr>
        <w:t xml:space="preserve"> (</w:t>
      </w:r>
      <w:r w:rsidRPr="00B774AC">
        <w:rPr>
          <w:sz w:val="22"/>
          <w:szCs w:val="22"/>
        </w:rPr>
        <w:t xml:space="preserve">edaspidi </w:t>
      </w:r>
      <w:r w:rsidRPr="00B774AC">
        <w:rPr>
          <w:i/>
          <w:sz w:val="22"/>
          <w:szCs w:val="22"/>
        </w:rPr>
        <w:t>VTK</w:t>
      </w:r>
      <w:r w:rsidRPr="00B774AC">
        <w:rPr>
          <w:sz w:val="22"/>
          <w:szCs w:val="22"/>
        </w:rPr>
        <w:t>)</w:t>
      </w:r>
      <w:r w:rsidRPr="00B774AC">
        <w:rPr>
          <w:bCs/>
          <w:sz w:val="22"/>
          <w:szCs w:val="22"/>
          <w:vertAlign w:val="superscript"/>
        </w:rPr>
        <w:footnoteReference w:id="8"/>
      </w:r>
      <w:r w:rsidRPr="00B774AC">
        <w:rPr>
          <w:sz w:val="22"/>
          <w:szCs w:val="22"/>
        </w:rPr>
        <w:t xml:space="preserve">, </w:t>
      </w:r>
      <w:r>
        <w:rPr>
          <w:sz w:val="22"/>
          <w:szCs w:val="22"/>
        </w:rPr>
        <w:t xml:space="preserve">et </w:t>
      </w:r>
      <w:r w:rsidRPr="00B774AC">
        <w:rPr>
          <w:sz w:val="22"/>
          <w:szCs w:val="22"/>
        </w:rPr>
        <w:t>selgita</w:t>
      </w:r>
      <w:r>
        <w:rPr>
          <w:sz w:val="22"/>
          <w:szCs w:val="22"/>
        </w:rPr>
        <w:t>da</w:t>
      </w:r>
      <w:r w:rsidRPr="00B774AC">
        <w:rPr>
          <w:sz w:val="22"/>
          <w:szCs w:val="22"/>
        </w:rPr>
        <w:t xml:space="preserve"> välja, kas ja kuidas uusi kapitali kaasamise viise (eelkõige </w:t>
      </w:r>
      <w:proofErr w:type="spellStart"/>
      <w:r w:rsidRPr="00B774AC">
        <w:rPr>
          <w:sz w:val="22"/>
          <w:szCs w:val="22"/>
        </w:rPr>
        <w:t>krüptovaradega</w:t>
      </w:r>
      <w:proofErr w:type="spellEnd"/>
      <w:r w:rsidRPr="00B774AC">
        <w:rPr>
          <w:sz w:val="22"/>
          <w:szCs w:val="22"/>
        </w:rPr>
        <w:t xml:space="preserve"> seonduvat) reguleerida.</w:t>
      </w:r>
      <w:r>
        <w:rPr>
          <w:sz w:val="22"/>
          <w:szCs w:val="22"/>
        </w:rPr>
        <w:t xml:space="preserve"> </w:t>
      </w:r>
      <w:r w:rsidRPr="00B774AC">
        <w:rPr>
          <w:sz w:val="22"/>
          <w:szCs w:val="22"/>
        </w:rPr>
        <w:t xml:space="preserve">Tagasiside põhjal saab asuda seisukohale, et </w:t>
      </w:r>
      <w:r>
        <w:rPr>
          <w:sz w:val="22"/>
          <w:szCs w:val="22"/>
        </w:rPr>
        <w:t>valdavalt</w:t>
      </w:r>
      <w:r w:rsidRPr="00B774AC">
        <w:rPr>
          <w:sz w:val="22"/>
          <w:szCs w:val="22"/>
        </w:rPr>
        <w:t xml:space="preserve"> toetatakse vastava </w:t>
      </w:r>
      <w:r w:rsidRPr="00B774AC">
        <w:rPr>
          <w:sz w:val="22"/>
          <w:szCs w:val="22"/>
        </w:rPr>
        <w:lastRenderedPageBreak/>
        <w:t>valdkonna põhjalikumat reguleerimist (kokkuvõte laekunud tagasisidest on esitatud käesoleva seletuskirja lisas nr 2).</w:t>
      </w:r>
    </w:p>
    <w:p w14:paraId="3DA904E0" w14:textId="77777777" w:rsidR="005508E5" w:rsidRPr="00B774AC" w:rsidRDefault="005508E5" w:rsidP="005508E5">
      <w:pPr>
        <w:spacing w:before="0"/>
        <w:rPr>
          <w:rFonts w:eastAsiaTheme="minorHAnsi"/>
          <w:sz w:val="22"/>
          <w:szCs w:val="22"/>
          <w:lang w:eastAsia="en-US"/>
        </w:rPr>
      </w:pPr>
    </w:p>
    <w:p w14:paraId="182CD780" w14:textId="77777777" w:rsidR="005508E5" w:rsidRDefault="005508E5" w:rsidP="005508E5">
      <w:pPr>
        <w:spacing w:before="0"/>
        <w:rPr>
          <w:rFonts w:eastAsiaTheme="minorHAnsi"/>
          <w:sz w:val="22"/>
          <w:szCs w:val="22"/>
          <w:lang w:eastAsia="en-US"/>
        </w:rPr>
      </w:pPr>
      <w:r w:rsidRPr="00B774AC">
        <w:rPr>
          <w:rFonts w:eastAsiaTheme="minorHAnsi"/>
          <w:sz w:val="22"/>
          <w:szCs w:val="22"/>
          <w:lang w:eastAsia="en-US"/>
        </w:rPr>
        <w:t>Kokkuvõttes – kapitali kaasamine Eestis (samuti ka mujal) uute innovaatiliste lahenduste kaudu on aastatega järjest kasvanud. Sellisel viisil kapitali kaasamine on samas reguleeritud kas osaliselt või ei ole tih</w:t>
      </w:r>
      <w:r>
        <w:rPr>
          <w:rFonts w:eastAsiaTheme="minorHAnsi"/>
          <w:sz w:val="22"/>
          <w:szCs w:val="22"/>
          <w:lang w:eastAsia="en-US"/>
        </w:rPr>
        <w:t>ti selge, kas väärtpaberituru või muu</w:t>
      </w:r>
      <w:r w:rsidRPr="00B774AC">
        <w:rPr>
          <w:rFonts w:eastAsiaTheme="minorHAnsi"/>
          <w:sz w:val="22"/>
          <w:szCs w:val="22"/>
          <w:lang w:eastAsia="en-US"/>
        </w:rPr>
        <w:t xml:space="preserve"> regulatsioon kohaldub või mitte. Seetõttu ei pruugi investorite õigused olla piisavalt kaitstud. Kui sellisel kapitali kaasamisel ei järgita piisavaid investorkaitse nõudeid, näiteks ei avalikustata kaalutletud investeerimisotsuse tegemiseks piisavat teavet, sh </w:t>
      </w:r>
      <w:r>
        <w:rPr>
          <w:rFonts w:eastAsiaTheme="minorHAnsi"/>
          <w:sz w:val="22"/>
          <w:szCs w:val="22"/>
          <w:lang w:eastAsia="en-US"/>
        </w:rPr>
        <w:t>kaasnevaid riske,</w:t>
      </w:r>
      <w:r w:rsidRPr="00B774AC">
        <w:rPr>
          <w:rFonts w:eastAsiaTheme="minorHAnsi"/>
          <w:sz w:val="22"/>
          <w:szCs w:val="22"/>
          <w:lang w:eastAsia="en-US"/>
        </w:rPr>
        <w:t xml:space="preserve"> on suur tõenäosus, et investeeritud summa kaotab ebapiisava teabe tõttu oluliselt oma väärtust või investor jääb sootuks oma investeeritud summast ilma.</w:t>
      </w:r>
    </w:p>
    <w:p w14:paraId="0B540B71" w14:textId="77777777" w:rsidR="005508E5" w:rsidRDefault="005508E5" w:rsidP="005508E5">
      <w:pPr>
        <w:spacing w:before="0"/>
        <w:rPr>
          <w:rFonts w:eastAsiaTheme="minorHAnsi"/>
          <w:sz w:val="22"/>
          <w:szCs w:val="22"/>
          <w:lang w:eastAsia="en-US"/>
        </w:rPr>
      </w:pPr>
    </w:p>
    <w:p w14:paraId="32479B89" w14:textId="77777777" w:rsidR="005508E5" w:rsidRDefault="005508E5" w:rsidP="005508E5">
      <w:pPr>
        <w:spacing w:before="0"/>
        <w:rPr>
          <w:rFonts w:eastAsiaTheme="minorHAnsi"/>
          <w:sz w:val="22"/>
          <w:szCs w:val="22"/>
          <w:lang w:eastAsia="en-US"/>
        </w:rPr>
      </w:pPr>
      <w:r>
        <w:rPr>
          <w:rFonts w:eastAsiaTheme="minorHAnsi"/>
          <w:sz w:val="22"/>
          <w:szCs w:val="22"/>
          <w:lang w:eastAsia="en-US"/>
        </w:rPr>
        <w:t xml:space="preserve">Ka </w:t>
      </w:r>
      <w:r w:rsidRPr="00AB1D76">
        <w:rPr>
          <w:rFonts w:eastAsiaTheme="minorHAnsi"/>
          <w:sz w:val="22"/>
          <w:szCs w:val="22"/>
          <w:lang w:eastAsia="en-US"/>
        </w:rPr>
        <w:t xml:space="preserve">Finantsinspektsioon juhib </w:t>
      </w:r>
      <w:r>
        <w:rPr>
          <w:rFonts w:eastAsiaTheme="minorHAnsi"/>
          <w:sz w:val="22"/>
          <w:szCs w:val="22"/>
          <w:lang w:eastAsia="en-US"/>
        </w:rPr>
        <w:t xml:space="preserve">oma veebilehel </w:t>
      </w:r>
      <w:r w:rsidRPr="00AB1D76">
        <w:rPr>
          <w:rFonts w:eastAsiaTheme="minorHAnsi"/>
          <w:sz w:val="22"/>
          <w:szCs w:val="22"/>
          <w:lang w:eastAsia="en-US"/>
        </w:rPr>
        <w:t>tähelepanu</w:t>
      </w:r>
      <w:r>
        <w:rPr>
          <w:rFonts w:eastAsiaTheme="minorHAnsi"/>
          <w:sz w:val="22"/>
          <w:szCs w:val="22"/>
          <w:lang w:eastAsia="en-US"/>
        </w:rPr>
        <w:t xml:space="preserve"> sellele</w:t>
      </w:r>
      <w:r w:rsidRPr="00AB1D76">
        <w:rPr>
          <w:rFonts w:eastAsiaTheme="minorHAnsi"/>
          <w:sz w:val="22"/>
          <w:szCs w:val="22"/>
          <w:lang w:eastAsia="en-US"/>
        </w:rPr>
        <w:t>, et virtuaalraha valdkond on reguleerimata ala ning finantsjärelevalve asutused ei tee virtuaalraha skeemide üle järelevalvet.</w:t>
      </w:r>
      <w:r>
        <w:rPr>
          <w:rFonts w:eastAsiaTheme="minorHAnsi"/>
          <w:sz w:val="22"/>
          <w:szCs w:val="22"/>
          <w:lang w:eastAsia="en-US"/>
        </w:rPr>
        <w:footnoteReference w:id="9"/>
      </w:r>
      <w:r>
        <w:rPr>
          <w:rFonts w:eastAsiaTheme="minorHAnsi"/>
          <w:sz w:val="22"/>
          <w:szCs w:val="22"/>
          <w:lang w:eastAsia="en-US"/>
        </w:rPr>
        <w:t xml:space="preserve"> Muuhulgas viitab Finantsinspektsioon kolme EL järelevalveasutuse poolt avaltatud hoiatusele, kus tuuakse seoses </w:t>
      </w:r>
      <w:proofErr w:type="spellStart"/>
      <w:r>
        <w:rPr>
          <w:rFonts w:eastAsiaTheme="minorHAnsi"/>
          <w:sz w:val="22"/>
          <w:szCs w:val="22"/>
          <w:lang w:eastAsia="en-US"/>
        </w:rPr>
        <w:t>krüptovaradega</w:t>
      </w:r>
      <w:proofErr w:type="spellEnd"/>
      <w:r>
        <w:rPr>
          <w:rFonts w:eastAsiaTheme="minorHAnsi"/>
          <w:sz w:val="22"/>
          <w:szCs w:val="22"/>
          <w:lang w:eastAsia="en-US"/>
        </w:rPr>
        <w:t xml:space="preserve"> välja järgmised riskid:</w:t>
      </w:r>
    </w:p>
    <w:p w14:paraId="00269411" w14:textId="77777777" w:rsidR="005508E5" w:rsidRPr="00C71DDD" w:rsidRDefault="005508E5" w:rsidP="002B2C7C">
      <w:pPr>
        <w:numPr>
          <w:ilvl w:val="0"/>
          <w:numId w:val="37"/>
        </w:numPr>
        <w:ind w:left="284" w:hanging="284"/>
        <w:rPr>
          <w:rFonts w:eastAsiaTheme="minorHAnsi"/>
          <w:sz w:val="22"/>
          <w:szCs w:val="22"/>
        </w:rPr>
      </w:pPr>
      <w:r>
        <w:rPr>
          <w:rFonts w:eastAsiaTheme="minorHAnsi"/>
          <w:sz w:val="22"/>
          <w:szCs w:val="22"/>
        </w:rPr>
        <w:t>ä</w:t>
      </w:r>
      <w:r w:rsidRPr="00C71DDD">
        <w:rPr>
          <w:rFonts w:eastAsiaTheme="minorHAnsi"/>
          <w:sz w:val="22"/>
          <w:szCs w:val="22"/>
        </w:rPr>
        <w:t xml:space="preserve">ärmine volatiilsus ja </w:t>
      </w:r>
      <w:r>
        <w:rPr>
          <w:rFonts w:eastAsiaTheme="minorHAnsi"/>
          <w:sz w:val="22"/>
          <w:szCs w:val="22"/>
        </w:rPr>
        <w:t xml:space="preserve">nn </w:t>
      </w:r>
      <w:r w:rsidRPr="00C71DDD">
        <w:rPr>
          <w:rFonts w:eastAsiaTheme="minorHAnsi"/>
          <w:sz w:val="22"/>
          <w:szCs w:val="22"/>
        </w:rPr>
        <w:t>mulli oht</w:t>
      </w:r>
      <w:r>
        <w:rPr>
          <w:rFonts w:eastAsiaTheme="minorHAnsi"/>
          <w:sz w:val="22"/>
          <w:szCs w:val="22"/>
        </w:rPr>
        <w:t>;</w:t>
      </w:r>
    </w:p>
    <w:p w14:paraId="630AF39D" w14:textId="77777777" w:rsidR="005508E5" w:rsidRPr="00C71DDD" w:rsidRDefault="005508E5" w:rsidP="002B2C7C">
      <w:pPr>
        <w:numPr>
          <w:ilvl w:val="0"/>
          <w:numId w:val="37"/>
        </w:numPr>
        <w:ind w:left="284" w:hanging="284"/>
        <w:rPr>
          <w:rFonts w:eastAsiaTheme="minorHAnsi"/>
          <w:sz w:val="22"/>
          <w:szCs w:val="22"/>
        </w:rPr>
      </w:pPr>
      <w:r>
        <w:rPr>
          <w:rFonts w:eastAsiaTheme="minorHAnsi"/>
          <w:sz w:val="22"/>
          <w:szCs w:val="22"/>
        </w:rPr>
        <w:t>regulatiivse k</w:t>
      </w:r>
      <w:r w:rsidRPr="00C71DDD">
        <w:rPr>
          <w:rFonts w:eastAsiaTheme="minorHAnsi"/>
          <w:sz w:val="22"/>
          <w:szCs w:val="22"/>
        </w:rPr>
        <w:t>aitse puudumine</w:t>
      </w:r>
      <w:r>
        <w:rPr>
          <w:rFonts w:eastAsiaTheme="minorHAnsi"/>
          <w:sz w:val="22"/>
          <w:szCs w:val="22"/>
        </w:rPr>
        <w:t>;</w:t>
      </w:r>
    </w:p>
    <w:p w14:paraId="3630CB05" w14:textId="77777777" w:rsidR="005508E5" w:rsidRPr="00C71DDD" w:rsidRDefault="005508E5" w:rsidP="002B2C7C">
      <w:pPr>
        <w:numPr>
          <w:ilvl w:val="0"/>
          <w:numId w:val="37"/>
        </w:numPr>
        <w:ind w:left="284" w:hanging="284"/>
        <w:rPr>
          <w:rFonts w:eastAsiaTheme="minorHAnsi"/>
          <w:sz w:val="22"/>
          <w:szCs w:val="22"/>
        </w:rPr>
      </w:pPr>
      <w:r>
        <w:rPr>
          <w:rFonts w:eastAsiaTheme="minorHAnsi"/>
          <w:sz w:val="22"/>
          <w:szCs w:val="22"/>
        </w:rPr>
        <w:t>v</w:t>
      </w:r>
      <w:r w:rsidRPr="00C71DDD">
        <w:rPr>
          <w:rFonts w:eastAsiaTheme="minorHAnsi"/>
          <w:sz w:val="22"/>
          <w:szCs w:val="22"/>
        </w:rPr>
        <w:t xml:space="preserve">äljumisvõimaluste puudumine – </w:t>
      </w:r>
      <w:r>
        <w:rPr>
          <w:rFonts w:eastAsiaTheme="minorHAnsi"/>
          <w:sz w:val="22"/>
          <w:szCs w:val="22"/>
        </w:rPr>
        <w:t xml:space="preserve">ei pruugi olla võimalik </w:t>
      </w:r>
      <w:r w:rsidRPr="00C71DDD">
        <w:rPr>
          <w:rFonts w:eastAsiaTheme="minorHAnsi"/>
          <w:sz w:val="22"/>
          <w:szCs w:val="22"/>
        </w:rPr>
        <w:t>vahetada seda traditsioonilise valuuta (näiteks euro) vastu</w:t>
      </w:r>
      <w:r>
        <w:rPr>
          <w:rFonts w:eastAsiaTheme="minorHAnsi"/>
          <w:sz w:val="22"/>
          <w:szCs w:val="22"/>
        </w:rPr>
        <w:t>;</w:t>
      </w:r>
    </w:p>
    <w:p w14:paraId="08E93FC8" w14:textId="77777777" w:rsidR="005508E5" w:rsidRPr="00C71DDD" w:rsidRDefault="005508E5" w:rsidP="002B2C7C">
      <w:pPr>
        <w:numPr>
          <w:ilvl w:val="0"/>
          <w:numId w:val="37"/>
        </w:numPr>
        <w:ind w:left="284" w:hanging="284"/>
        <w:rPr>
          <w:rFonts w:eastAsiaTheme="minorHAnsi"/>
          <w:sz w:val="22"/>
          <w:szCs w:val="22"/>
        </w:rPr>
      </w:pPr>
      <w:r>
        <w:rPr>
          <w:rFonts w:eastAsiaTheme="minorHAnsi"/>
          <w:sz w:val="22"/>
          <w:szCs w:val="22"/>
        </w:rPr>
        <w:t>h</w:t>
      </w:r>
      <w:r w:rsidRPr="00C71DDD">
        <w:rPr>
          <w:rFonts w:eastAsiaTheme="minorHAnsi"/>
          <w:sz w:val="22"/>
          <w:szCs w:val="22"/>
        </w:rPr>
        <w:t>inna läbipaistvuse puudumine –</w:t>
      </w:r>
      <w:r>
        <w:rPr>
          <w:rFonts w:eastAsiaTheme="minorHAnsi"/>
          <w:sz w:val="22"/>
          <w:szCs w:val="22"/>
        </w:rPr>
        <w:t xml:space="preserve"> </w:t>
      </w:r>
      <w:r w:rsidRPr="00C71DDD">
        <w:rPr>
          <w:rFonts w:eastAsiaTheme="minorHAnsi"/>
          <w:sz w:val="22"/>
          <w:szCs w:val="22"/>
        </w:rPr>
        <w:t>virtuaalvaluuta ostmisel või müümisel õiglas</w:t>
      </w:r>
      <w:r>
        <w:rPr>
          <w:rFonts w:eastAsiaTheme="minorHAnsi"/>
          <w:sz w:val="22"/>
          <w:szCs w:val="22"/>
        </w:rPr>
        <w:t>e</w:t>
      </w:r>
      <w:r w:rsidRPr="00C71DDD">
        <w:rPr>
          <w:rFonts w:eastAsiaTheme="minorHAnsi"/>
          <w:sz w:val="22"/>
          <w:szCs w:val="22"/>
        </w:rPr>
        <w:t xml:space="preserve"> ja täpse hin</w:t>
      </w:r>
      <w:r>
        <w:rPr>
          <w:rFonts w:eastAsiaTheme="minorHAnsi"/>
          <w:sz w:val="22"/>
          <w:szCs w:val="22"/>
        </w:rPr>
        <w:t>na avaldamine ei pruugi olla läbipaistev;</w:t>
      </w:r>
    </w:p>
    <w:p w14:paraId="7740A1A3" w14:textId="77777777" w:rsidR="005508E5" w:rsidRPr="00C71DDD" w:rsidRDefault="005508E5" w:rsidP="002B2C7C">
      <w:pPr>
        <w:numPr>
          <w:ilvl w:val="0"/>
          <w:numId w:val="37"/>
        </w:numPr>
        <w:ind w:left="284" w:hanging="284"/>
        <w:rPr>
          <w:rFonts w:eastAsiaTheme="minorHAnsi"/>
          <w:sz w:val="22"/>
          <w:szCs w:val="22"/>
        </w:rPr>
      </w:pPr>
      <w:r>
        <w:rPr>
          <w:rFonts w:eastAsiaTheme="minorHAnsi"/>
          <w:sz w:val="22"/>
          <w:szCs w:val="22"/>
        </w:rPr>
        <w:t>t</w:t>
      </w:r>
      <w:r w:rsidRPr="00C71DDD">
        <w:rPr>
          <w:rFonts w:eastAsiaTheme="minorHAnsi"/>
          <w:sz w:val="22"/>
          <w:szCs w:val="22"/>
        </w:rPr>
        <w:t xml:space="preserve">egevuse </w:t>
      </w:r>
      <w:r>
        <w:rPr>
          <w:rFonts w:eastAsiaTheme="minorHAnsi"/>
          <w:sz w:val="22"/>
          <w:szCs w:val="22"/>
        </w:rPr>
        <w:t xml:space="preserve">(või vastava kauplemisplatvormi) </w:t>
      </w:r>
      <w:r w:rsidRPr="00C71DDD">
        <w:rPr>
          <w:rFonts w:eastAsiaTheme="minorHAnsi"/>
          <w:sz w:val="22"/>
          <w:szCs w:val="22"/>
        </w:rPr>
        <w:t>katkestused</w:t>
      </w:r>
      <w:r>
        <w:rPr>
          <w:rFonts w:eastAsiaTheme="minorHAnsi"/>
          <w:sz w:val="22"/>
          <w:szCs w:val="22"/>
        </w:rPr>
        <w:t>;</w:t>
      </w:r>
    </w:p>
    <w:p w14:paraId="0585DD15" w14:textId="77777777" w:rsidR="005508E5" w:rsidRDefault="005508E5" w:rsidP="002B2C7C">
      <w:pPr>
        <w:numPr>
          <w:ilvl w:val="0"/>
          <w:numId w:val="37"/>
        </w:numPr>
        <w:ind w:left="284" w:hanging="284"/>
        <w:rPr>
          <w:rFonts w:eastAsiaTheme="minorHAnsi"/>
          <w:sz w:val="22"/>
          <w:szCs w:val="22"/>
        </w:rPr>
      </w:pPr>
      <w:r>
        <w:rPr>
          <w:rFonts w:eastAsiaTheme="minorHAnsi"/>
          <w:sz w:val="22"/>
          <w:szCs w:val="22"/>
        </w:rPr>
        <w:t>e</w:t>
      </w:r>
      <w:r w:rsidRPr="00C71DDD">
        <w:rPr>
          <w:rFonts w:eastAsiaTheme="minorHAnsi"/>
          <w:sz w:val="22"/>
          <w:szCs w:val="22"/>
        </w:rPr>
        <w:t xml:space="preserve">ksitav teave – </w:t>
      </w:r>
      <w:r>
        <w:rPr>
          <w:rFonts w:eastAsiaTheme="minorHAnsi"/>
          <w:sz w:val="22"/>
          <w:szCs w:val="22"/>
        </w:rPr>
        <w:t>mh teave võib olla</w:t>
      </w:r>
      <w:r w:rsidRPr="00C71DDD">
        <w:rPr>
          <w:rFonts w:eastAsiaTheme="minorHAnsi"/>
          <w:sz w:val="22"/>
          <w:szCs w:val="22"/>
        </w:rPr>
        <w:t xml:space="preserve"> puudulik, raskesti mõistetav</w:t>
      </w:r>
      <w:r>
        <w:rPr>
          <w:rFonts w:eastAsiaTheme="minorHAnsi"/>
          <w:sz w:val="22"/>
          <w:szCs w:val="22"/>
        </w:rPr>
        <w:t xml:space="preserve"> või</w:t>
      </w:r>
      <w:r w:rsidRPr="00C71DDD">
        <w:rPr>
          <w:rFonts w:eastAsiaTheme="minorHAnsi"/>
          <w:sz w:val="22"/>
          <w:szCs w:val="22"/>
        </w:rPr>
        <w:t xml:space="preserve"> ei kajasta piisavalt </w:t>
      </w:r>
      <w:r>
        <w:rPr>
          <w:rFonts w:eastAsiaTheme="minorHAnsi"/>
          <w:sz w:val="22"/>
          <w:szCs w:val="22"/>
        </w:rPr>
        <w:t>vastava varaga seotud</w:t>
      </w:r>
      <w:r w:rsidRPr="00C71DDD">
        <w:rPr>
          <w:rFonts w:eastAsiaTheme="minorHAnsi"/>
          <w:sz w:val="22"/>
          <w:szCs w:val="22"/>
        </w:rPr>
        <w:t xml:space="preserve"> riske</w:t>
      </w:r>
      <w:r>
        <w:rPr>
          <w:rFonts w:eastAsiaTheme="minorHAnsi"/>
          <w:sz w:val="22"/>
          <w:szCs w:val="22"/>
        </w:rPr>
        <w:t>;</w:t>
      </w:r>
    </w:p>
    <w:p w14:paraId="7B7F33A2" w14:textId="77777777" w:rsidR="005508E5" w:rsidRPr="009515C4" w:rsidRDefault="005508E5" w:rsidP="002B2C7C">
      <w:pPr>
        <w:numPr>
          <w:ilvl w:val="0"/>
          <w:numId w:val="37"/>
        </w:numPr>
        <w:ind w:left="284" w:hanging="284"/>
        <w:rPr>
          <w:rFonts w:eastAsiaTheme="minorHAnsi"/>
          <w:sz w:val="22"/>
          <w:szCs w:val="22"/>
        </w:rPr>
      </w:pPr>
      <w:r w:rsidRPr="009515C4">
        <w:rPr>
          <w:rFonts w:eastAsiaTheme="minorHAnsi"/>
          <w:sz w:val="22"/>
          <w:szCs w:val="22"/>
        </w:rPr>
        <w:t xml:space="preserve">selle varaklassi ebasobivus </w:t>
      </w:r>
      <w:r>
        <w:rPr>
          <w:rFonts w:eastAsiaTheme="minorHAnsi"/>
          <w:sz w:val="22"/>
          <w:szCs w:val="22"/>
        </w:rPr>
        <w:t xml:space="preserve">nt nii lühiajaliseks </w:t>
      </w:r>
      <w:r w:rsidRPr="009515C4">
        <w:rPr>
          <w:rFonts w:eastAsiaTheme="minorHAnsi"/>
          <w:sz w:val="22"/>
          <w:szCs w:val="22"/>
        </w:rPr>
        <w:t xml:space="preserve">investeeringuks või vanaduspensioni kavandamiseks – </w:t>
      </w:r>
      <w:r>
        <w:rPr>
          <w:rFonts w:eastAsiaTheme="minorHAnsi"/>
          <w:sz w:val="22"/>
          <w:szCs w:val="22"/>
        </w:rPr>
        <w:t xml:space="preserve">eelkõige tänu </w:t>
      </w:r>
      <w:proofErr w:type="spellStart"/>
      <w:r>
        <w:rPr>
          <w:rFonts w:eastAsiaTheme="minorHAnsi"/>
          <w:sz w:val="22"/>
          <w:szCs w:val="22"/>
        </w:rPr>
        <w:t>krüptovara</w:t>
      </w:r>
      <w:proofErr w:type="spellEnd"/>
      <w:r w:rsidRPr="009515C4">
        <w:rPr>
          <w:rFonts w:eastAsiaTheme="minorHAnsi"/>
          <w:sz w:val="22"/>
          <w:szCs w:val="22"/>
        </w:rPr>
        <w:t xml:space="preserve"> suur</w:t>
      </w:r>
      <w:r>
        <w:rPr>
          <w:rFonts w:eastAsiaTheme="minorHAnsi"/>
          <w:sz w:val="22"/>
          <w:szCs w:val="22"/>
        </w:rPr>
        <w:t>ele</w:t>
      </w:r>
      <w:r w:rsidRPr="009515C4">
        <w:rPr>
          <w:rFonts w:eastAsiaTheme="minorHAnsi"/>
          <w:sz w:val="22"/>
          <w:szCs w:val="22"/>
        </w:rPr>
        <w:t xml:space="preserve"> volatiilsus</w:t>
      </w:r>
      <w:r>
        <w:rPr>
          <w:rFonts w:eastAsiaTheme="minorHAnsi"/>
          <w:sz w:val="22"/>
          <w:szCs w:val="22"/>
        </w:rPr>
        <w:t>ele</w:t>
      </w:r>
      <w:r w:rsidRPr="009515C4">
        <w:rPr>
          <w:rFonts w:eastAsiaTheme="minorHAnsi"/>
          <w:sz w:val="22"/>
          <w:szCs w:val="22"/>
        </w:rPr>
        <w:t>.</w:t>
      </w:r>
    </w:p>
    <w:p w14:paraId="59ECD938" w14:textId="77777777" w:rsidR="005508E5" w:rsidRPr="00B774AC" w:rsidRDefault="005508E5" w:rsidP="005508E5">
      <w:pPr>
        <w:spacing w:before="0"/>
        <w:rPr>
          <w:rFonts w:eastAsiaTheme="minorHAnsi"/>
          <w:sz w:val="22"/>
          <w:szCs w:val="22"/>
          <w:lang w:eastAsia="en-US"/>
        </w:rPr>
      </w:pPr>
    </w:p>
    <w:p w14:paraId="6E560D7C" w14:textId="77777777" w:rsidR="005508E5" w:rsidRPr="00B774AC" w:rsidRDefault="005508E5" w:rsidP="005508E5">
      <w:pPr>
        <w:spacing w:before="0"/>
        <w:rPr>
          <w:sz w:val="22"/>
          <w:szCs w:val="22"/>
        </w:rPr>
      </w:pPr>
      <w:r w:rsidRPr="00B774AC">
        <w:rPr>
          <w:sz w:val="22"/>
          <w:szCs w:val="22"/>
        </w:rPr>
        <w:t>Tulenevalt eeltoodust võib</w:t>
      </w:r>
      <w:r>
        <w:rPr>
          <w:sz w:val="22"/>
          <w:szCs w:val="22"/>
        </w:rPr>
        <w:t xml:space="preserve"> käesoleva eelnõu eesmärgid</w:t>
      </w:r>
      <w:r w:rsidRPr="00B774AC">
        <w:rPr>
          <w:sz w:val="22"/>
          <w:szCs w:val="22"/>
        </w:rPr>
        <w:t xml:space="preserve"> üldiselt jagada järgmisteks: </w:t>
      </w:r>
    </w:p>
    <w:p w14:paraId="76504D92" w14:textId="77777777" w:rsidR="005508E5" w:rsidRPr="00B774AC" w:rsidRDefault="005508E5" w:rsidP="005508E5">
      <w:pPr>
        <w:spacing w:before="0"/>
        <w:rPr>
          <w:sz w:val="22"/>
          <w:szCs w:val="22"/>
        </w:rPr>
      </w:pPr>
    </w:p>
    <w:p w14:paraId="01BCE03D" w14:textId="77777777" w:rsidR="005508E5" w:rsidRPr="00B774AC" w:rsidRDefault="005508E5" w:rsidP="002B2C7C">
      <w:pPr>
        <w:numPr>
          <w:ilvl w:val="0"/>
          <w:numId w:val="16"/>
        </w:numPr>
        <w:spacing w:before="0"/>
        <w:ind w:left="284" w:hanging="284"/>
        <w:contextualSpacing/>
        <w:rPr>
          <w:sz w:val="22"/>
          <w:szCs w:val="22"/>
        </w:rPr>
      </w:pPr>
      <w:r w:rsidRPr="00B774AC">
        <w:rPr>
          <w:b/>
          <w:sz w:val="22"/>
          <w:szCs w:val="22"/>
        </w:rPr>
        <w:t>RISKIDE MAANDAMINE</w:t>
      </w:r>
      <w:r w:rsidRPr="00B774AC">
        <w:rPr>
          <w:sz w:val="22"/>
          <w:szCs w:val="22"/>
        </w:rPr>
        <w:t xml:space="preserve"> – investoritele tagatakse primaarne kaitse, eelkõige sätestatakse vajaliku teabe avalikustamise kohustus, samas säilitades investoritele investeerimisotsuste tegemisel piisav paind</w:t>
      </w:r>
      <w:r>
        <w:rPr>
          <w:sz w:val="22"/>
          <w:szCs w:val="22"/>
        </w:rPr>
        <w:t>likkus. Kapitalikaasajatele ja -</w:t>
      </w:r>
      <w:r w:rsidRPr="00B774AC">
        <w:rPr>
          <w:sz w:val="22"/>
          <w:szCs w:val="22"/>
        </w:rPr>
        <w:t xml:space="preserve">vahendajatele kehtestatakse vajalikud tegevusnõuded, sh tegevusloa nõue ning nõuded nende juhtide pädevusele ja mainele, nõuded kapitalile ja varade hoidmisele, riskide maandamise nõuded jne; </w:t>
      </w:r>
    </w:p>
    <w:p w14:paraId="45F343ED" w14:textId="77777777" w:rsidR="005508E5" w:rsidRPr="00B774AC" w:rsidRDefault="005508E5" w:rsidP="005508E5">
      <w:pPr>
        <w:spacing w:before="0"/>
        <w:ind w:left="284"/>
        <w:contextualSpacing/>
        <w:rPr>
          <w:sz w:val="22"/>
          <w:szCs w:val="22"/>
        </w:rPr>
      </w:pPr>
    </w:p>
    <w:p w14:paraId="2081A4AF" w14:textId="77777777" w:rsidR="005508E5" w:rsidRPr="00B774AC" w:rsidRDefault="005508E5" w:rsidP="002B2C7C">
      <w:pPr>
        <w:numPr>
          <w:ilvl w:val="0"/>
          <w:numId w:val="16"/>
        </w:numPr>
        <w:spacing w:before="0"/>
        <w:ind w:left="284" w:hanging="284"/>
        <w:contextualSpacing/>
        <w:rPr>
          <w:sz w:val="22"/>
          <w:szCs w:val="22"/>
        </w:rPr>
      </w:pPr>
      <w:r w:rsidRPr="00B774AC">
        <w:rPr>
          <w:b/>
          <w:sz w:val="22"/>
          <w:szCs w:val="22"/>
        </w:rPr>
        <w:t>SUUREM ÕIGUSSELGUS</w:t>
      </w:r>
      <w:r w:rsidRPr="00B774AC">
        <w:rPr>
          <w:sz w:val="22"/>
          <w:szCs w:val="22"/>
        </w:rPr>
        <w:t xml:space="preserve"> – uue regulatsiooniga soovitakse kapitali kaasamist uutel viisidel muuta senisest õiguskindlamaks. Näiteks ei ole alati selge, millisel juhul allub kapitali kaasamisel kasutatav instrument EL väärtpaberiõiguse raamistikku </w:t>
      </w:r>
      <w:r>
        <w:rPr>
          <w:sz w:val="22"/>
          <w:szCs w:val="22"/>
        </w:rPr>
        <w:t>ja</w:t>
      </w:r>
      <w:r w:rsidRPr="00B774AC">
        <w:rPr>
          <w:sz w:val="22"/>
          <w:szCs w:val="22"/>
        </w:rPr>
        <w:t xml:space="preserve"> millal on tegemist reguleerimata olukorraga;</w:t>
      </w:r>
    </w:p>
    <w:p w14:paraId="28977FEE" w14:textId="77777777" w:rsidR="005508E5" w:rsidRPr="00B774AC" w:rsidRDefault="005508E5" w:rsidP="005508E5">
      <w:pPr>
        <w:spacing w:before="0"/>
        <w:ind w:left="284"/>
        <w:contextualSpacing/>
        <w:rPr>
          <w:sz w:val="22"/>
          <w:szCs w:val="22"/>
        </w:rPr>
      </w:pPr>
    </w:p>
    <w:p w14:paraId="57138355" w14:textId="77777777" w:rsidR="005508E5" w:rsidRPr="00B774AC" w:rsidRDefault="005508E5" w:rsidP="002B2C7C">
      <w:pPr>
        <w:numPr>
          <w:ilvl w:val="0"/>
          <w:numId w:val="16"/>
        </w:numPr>
        <w:spacing w:before="0"/>
        <w:ind w:left="284" w:hanging="284"/>
        <w:contextualSpacing/>
        <w:rPr>
          <w:sz w:val="22"/>
          <w:szCs w:val="22"/>
        </w:rPr>
      </w:pPr>
      <w:r w:rsidRPr="00B774AC">
        <w:rPr>
          <w:b/>
          <w:sz w:val="22"/>
          <w:szCs w:val="22"/>
        </w:rPr>
        <w:t>PAINDLIKUM REGULATSIOON</w:t>
      </w:r>
      <w:r w:rsidRPr="00B774AC">
        <w:rPr>
          <w:sz w:val="22"/>
          <w:szCs w:val="22"/>
        </w:rPr>
        <w:t xml:space="preserve"> – see peaks ühelt poolt kaasajastama uut tüüpi finantsinstrumentidega (nt </w:t>
      </w:r>
      <w:proofErr w:type="spellStart"/>
      <w:r w:rsidRPr="00B774AC">
        <w:rPr>
          <w:sz w:val="22"/>
          <w:szCs w:val="22"/>
        </w:rPr>
        <w:t>tokeniseeritud</w:t>
      </w:r>
      <w:proofErr w:type="spellEnd"/>
      <w:r w:rsidRPr="00B774AC">
        <w:rPr>
          <w:sz w:val="22"/>
          <w:szCs w:val="22"/>
        </w:rPr>
        <w:t xml:space="preserve"> väärtpaberi laadsete instrumentidega) tehingute tegemise </w:t>
      </w:r>
      <w:r>
        <w:rPr>
          <w:sz w:val="22"/>
          <w:szCs w:val="22"/>
        </w:rPr>
        <w:t>ja</w:t>
      </w:r>
      <w:r w:rsidRPr="00B774AC">
        <w:rPr>
          <w:sz w:val="22"/>
          <w:szCs w:val="22"/>
        </w:rPr>
        <w:t xml:space="preserve"> looma eeldused selliste instrumentide laiemaks kasutamiseks.</w:t>
      </w:r>
    </w:p>
    <w:p w14:paraId="22A244B9" w14:textId="77777777" w:rsidR="005508E5" w:rsidRDefault="005508E5" w:rsidP="005508E5">
      <w:pPr>
        <w:spacing w:before="0"/>
        <w:rPr>
          <w:bCs/>
          <w:iCs/>
          <w:spacing w:val="-5"/>
          <w:sz w:val="22"/>
          <w:szCs w:val="22"/>
          <w:lang w:eastAsia="en-US"/>
        </w:rPr>
      </w:pPr>
    </w:p>
    <w:p w14:paraId="463335D0" w14:textId="77777777" w:rsidR="005508E5" w:rsidRDefault="005508E5" w:rsidP="005508E5">
      <w:pPr>
        <w:numPr>
          <w:ilvl w:val="1"/>
          <w:numId w:val="9"/>
        </w:numPr>
        <w:ind w:left="426" w:hanging="437"/>
        <w:rPr>
          <w:rFonts w:eastAsiaTheme="majorEastAsia"/>
          <w:b/>
          <w:bCs/>
          <w:sz w:val="22"/>
          <w:szCs w:val="22"/>
        </w:rPr>
      </w:pPr>
      <w:r>
        <w:rPr>
          <w:rFonts w:eastAsiaTheme="majorEastAsia"/>
          <w:b/>
          <w:bCs/>
          <w:sz w:val="22"/>
          <w:szCs w:val="22"/>
        </w:rPr>
        <w:t>Kehtiv</w:t>
      </w:r>
      <w:r w:rsidRPr="001861E3">
        <w:rPr>
          <w:rFonts w:eastAsiaTheme="majorEastAsia"/>
          <w:b/>
          <w:bCs/>
          <w:sz w:val="22"/>
          <w:szCs w:val="22"/>
        </w:rPr>
        <w:t xml:space="preserve"> väärtpaberituru regulatsioon</w:t>
      </w:r>
    </w:p>
    <w:p w14:paraId="35A446C7" w14:textId="77777777" w:rsidR="005508E5" w:rsidRPr="001861E3" w:rsidRDefault="005508E5" w:rsidP="005508E5">
      <w:pPr>
        <w:ind w:left="426"/>
        <w:rPr>
          <w:rFonts w:eastAsiaTheme="majorEastAsia"/>
          <w:b/>
          <w:bCs/>
          <w:sz w:val="22"/>
          <w:szCs w:val="22"/>
        </w:rPr>
      </w:pPr>
    </w:p>
    <w:p w14:paraId="7A3C0E71" w14:textId="77777777" w:rsidR="005508E5" w:rsidRPr="009E2F88" w:rsidRDefault="005508E5" w:rsidP="005508E5">
      <w:pPr>
        <w:spacing w:before="0"/>
        <w:rPr>
          <w:rFonts w:eastAsiaTheme="minorHAnsi"/>
          <w:sz w:val="22"/>
          <w:szCs w:val="22"/>
          <w:lang w:eastAsia="en-US"/>
        </w:rPr>
      </w:pPr>
      <w:r w:rsidRPr="009E2F88">
        <w:rPr>
          <w:rFonts w:eastAsiaTheme="minorHAnsi"/>
          <w:sz w:val="22"/>
          <w:szCs w:val="22"/>
          <w:lang w:eastAsia="en-US"/>
        </w:rPr>
        <w:t xml:space="preserve">EL väärtpaberituruõigus </w:t>
      </w:r>
      <w:r>
        <w:rPr>
          <w:rFonts w:eastAsiaTheme="minorHAnsi"/>
          <w:sz w:val="22"/>
          <w:szCs w:val="22"/>
          <w:lang w:eastAsia="en-US"/>
        </w:rPr>
        <w:t xml:space="preserve">(täpsemalt direktiiv 2014/65/EL ehk </w:t>
      </w:r>
      <w:proofErr w:type="spellStart"/>
      <w:r>
        <w:rPr>
          <w:rFonts w:eastAsiaTheme="minorHAnsi"/>
          <w:sz w:val="22"/>
          <w:szCs w:val="22"/>
          <w:lang w:eastAsia="en-US"/>
        </w:rPr>
        <w:t>MiFID</w:t>
      </w:r>
      <w:proofErr w:type="spellEnd"/>
      <w:r>
        <w:rPr>
          <w:rFonts w:eastAsiaTheme="minorHAnsi"/>
          <w:sz w:val="22"/>
          <w:szCs w:val="22"/>
          <w:lang w:eastAsia="en-US"/>
        </w:rPr>
        <w:t xml:space="preserve"> II) </w:t>
      </w:r>
      <w:r w:rsidRPr="009E2F88">
        <w:rPr>
          <w:rFonts w:eastAsiaTheme="minorHAnsi"/>
          <w:sz w:val="22"/>
          <w:szCs w:val="22"/>
          <w:lang w:eastAsia="en-US"/>
        </w:rPr>
        <w:t>reguleerib selliseid väärtpabereid, mille olemuslikuks tunnuseks on, et nad peaksid olema kapitaliturul vabalt võõrandatavad („</w:t>
      </w:r>
      <w:proofErr w:type="spellStart"/>
      <w:r w:rsidRPr="009E2F88">
        <w:rPr>
          <w:rFonts w:eastAsiaTheme="minorHAnsi"/>
          <w:i/>
          <w:sz w:val="22"/>
          <w:szCs w:val="22"/>
          <w:lang w:eastAsia="en-US"/>
        </w:rPr>
        <w:t>transferable</w:t>
      </w:r>
      <w:proofErr w:type="spellEnd"/>
      <w:r w:rsidRPr="009E2F88">
        <w:rPr>
          <w:rFonts w:eastAsiaTheme="minorHAnsi"/>
          <w:i/>
          <w:sz w:val="22"/>
          <w:szCs w:val="22"/>
          <w:lang w:eastAsia="en-US"/>
        </w:rPr>
        <w:t xml:space="preserve"> and </w:t>
      </w:r>
      <w:proofErr w:type="spellStart"/>
      <w:r w:rsidRPr="009E2F88">
        <w:rPr>
          <w:rFonts w:eastAsiaTheme="minorHAnsi"/>
          <w:i/>
          <w:sz w:val="22"/>
          <w:szCs w:val="22"/>
          <w:lang w:eastAsia="en-US"/>
        </w:rPr>
        <w:t>negotiable</w:t>
      </w:r>
      <w:proofErr w:type="spellEnd"/>
      <w:r w:rsidRPr="009E2F88">
        <w:rPr>
          <w:rFonts w:eastAsiaTheme="minorHAnsi"/>
          <w:i/>
          <w:sz w:val="22"/>
          <w:szCs w:val="22"/>
          <w:lang w:eastAsia="en-US"/>
        </w:rPr>
        <w:t xml:space="preserve"> on </w:t>
      </w:r>
      <w:proofErr w:type="spellStart"/>
      <w:r w:rsidRPr="009E2F88">
        <w:rPr>
          <w:rFonts w:eastAsiaTheme="minorHAnsi"/>
          <w:i/>
          <w:sz w:val="22"/>
          <w:szCs w:val="22"/>
          <w:lang w:eastAsia="en-US"/>
        </w:rPr>
        <w:t>the</w:t>
      </w:r>
      <w:proofErr w:type="spellEnd"/>
      <w:r w:rsidRPr="009E2F88">
        <w:rPr>
          <w:rFonts w:eastAsiaTheme="minorHAnsi"/>
          <w:i/>
          <w:sz w:val="22"/>
          <w:szCs w:val="22"/>
          <w:lang w:eastAsia="en-US"/>
        </w:rPr>
        <w:t xml:space="preserve"> </w:t>
      </w:r>
      <w:proofErr w:type="spellStart"/>
      <w:r w:rsidRPr="009E2F88">
        <w:rPr>
          <w:rFonts w:eastAsiaTheme="minorHAnsi"/>
          <w:i/>
          <w:sz w:val="22"/>
          <w:szCs w:val="22"/>
          <w:lang w:eastAsia="en-US"/>
        </w:rPr>
        <w:t>capital</w:t>
      </w:r>
      <w:proofErr w:type="spellEnd"/>
      <w:r w:rsidRPr="009E2F88">
        <w:rPr>
          <w:rFonts w:eastAsiaTheme="minorHAnsi"/>
          <w:i/>
          <w:sz w:val="22"/>
          <w:szCs w:val="22"/>
          <w:lang w:eastAsia="en-US"/>
        </w:rPr>
        <w:t xml:space="preserve"> market“</w:t>
      </w:r>
      <w:r w:rsidRPr="009E2F88">
        <w:rPr>
          <w:rFonts w:eastAsiaTheme="minorHAnsi"/>
          <w:sz w:val="22"/>
          <w:szCs w:val="22"/>
          <w:lang w:eastAsia="en-US"/>
        </w:rPr>
        <w:t>)</w:t>
      </w:r>
      <w:r w:rsidRPr="00E7707C">
        <w:rPr>
          <w:rFonts w:eastAsiaTheme="minorHAnsi"/>
          <w:bCs/>
          <w:sz w:val="22"/>
          <w:szCs w:val="22"/>
          <w:vertAlign w:val="superscript"/>
          <w:lang w:eastAsia="en-US"/>
        </w:rPr>
        <w:footnoteReference w:id="10"/>
      </w:r>
      <w:r w:rsidRPr="009E2F88">
        <w:rPr>
          <w:rFonts w:eastAsiaTheme="minorHAnsi"/>
          <w:sz w:val="22"/>
          <w:szCs w:val="22"/>
          <w:lang w:eastAsia="en-US"/>
        </w:rPr>
        <w:t xml:space="preserve">. Tüüpiliselt on väärtpaberid </w:t>
      </w:r>
      <w:r w:rsidRPr="009E2F88">
        <w:rPr>
          <w:rFonts w:eastAsiaTheme="minorHAnsi"/>
          <w:sz w:val="22"/>
          <w:szCs w:val="22"/>
          <w:lang w:eastAsia="en-US"/>
        </w:rPr>
        <w:lastRenderedPageBreak/>
        <w:t>börsil (reguleeritud väärtpaberiturul) kauplemisele võetud aktsiad või võlakirjad</w:t>
      </w:r>
      <w:r>
        <w:rPr>
          <w:rFonts w:eastAsiaTheme="minorHAnsi"/>
          <w:sz w:val="22"/>
          <w:szCs w:val="22"/>
          <w:lang w:eastAsia="en-US"/>
        </w:rPr>
        <w:t xml:space="preserve"> (edaspidi </w:t>
      </w:r>
      <w:proofErr w:type="spellStart"/>
      <w:r w:rsidRPr="006521CB">
        <w:rPr>
          <w:rFonts w:eastAsiaTheme="minorHAnsi"/>
          <w:i/>
          <w:sz w:val="22"/>
          <w:szCs w:val="22"/>
          <w:lang w:eastAsia="en-US"/>
        </w:rPr>
        <w:t>MiFID</w:t>
      </w:r>
      <w:proofErr w:type="spellEnd"/>
      <w:r>
        <w:rPr>
          <w:rFonts w:eastAsiaTheme="minorHAnsi"/>
          <w:i/>
          <w:sz w:val="22"/>
          <w:szCs w:val="22"/>
          <w:lang w:eastAsia="en-US"/>
        </w:rPr>
        <w:t xml:space="preserve"> </w:t>
      </w:r>
      <w:r w:rsidRPr="006521CB">
        <w:rPr>
          <w:rFonts w:eastAsiaTheme="minorHAnsi"/>
          <w:i/>
          <w:sz w:val="22"/>
          <w:szCs w:val="22"/>
          <w:lang w:eastAsia="en-US"/>
        </w:rPr>
        <w:t>väärtpaberid</w:t>
      </w:r>
      <w:r>
        <w:rPr>
          <w:rFonts w:eastAsiaTheme="minorHAnsi"/>
          <w:sz w:val="22"/>
          <w:szCs w:val="22"/>
          <w:lang w:eastAsia="en-US"/>
        </w:rPr>
        <w:t>)</w:t>
      </w:r>
      <w:r w:rsidRPr="009E2F88">
        <w:rPr>
          <w:rFonts w:eastAsiaTheme="minorHAnsi"/>
          <w:sz w:val="22"/>
          <w:szCs w:val="22"/>
          <w:lang w:eastAsia="en-US"/>
        </w:rPr>
        <w:t xml:space="preserve">. </w:t>
      </w:r>
    </w:p>
    <w:p w14:paraId="6D02F032" w14:textId="77777777" w:rsidR="005508E5" w:rsidRPr="009E2F88" w:rsidRDefault="005508E5" w:rsidP="005508E5">
      <w:pPr>
        <w:spacing w:before="0"/>
        <w:rPr>
          <w:rFonts w:eastAsiaTheme="minorHAnsi"/>
          <w:sz w:val="22"/>
          <w:szCs w:val="22"/>
          <w:lang w:eastAsia="en-US"/>
        </w:rPr>
      </w:pPr>
    </w:p>
    <w:p w14:paraId="24C5A4C7" w14:textId="5761903A" w:rsidR="005508E5" w:rsidRDefault="005508E5" w:rsidP="005508E5">
      <w:pPr>
        <w:spacing w:before="0"/>
        <w:rPr>
          <w:sz w:val="22"/>
          <w:szCs w:val="22"/>
        </w:rPr>
      </w:pPr>
      <w:proofErr w:type="spellStart"/>
      <w:r>
        <w:rPr>
          <w:rFonts w:eastAsiaTheme="minorHAnsi"/>
          <w:sz w:val="22"/>
          <w:szCs w:val="22"/>
          <w:lang w:eastAsia="en-US"/>
        </w:rPr>
        <w:t>MiFID</w:t>
      </w:r>
      <w:proofErr w:type="spellEnd"/>
      <w:r>
        <w:rPr>
          <w:rFonts w:eastAsiaTheme="minorHAnsi"/>
          <w:sz w:val="22"/>
          <w:szCs w:val="22"/>
          <w:lang w:eastAsia="en-US"/>
        </w:rPr>
        <w:t xml:space="preserve"> väärtpaberi</w:t>
      </w:r>
      <w:r w:rsidRPr="009E2F88">
        <w:rPr>
          <w:rFonts w:eastAsiaTheme="minorHAnsi"/>
          <w:sz w:val="22"/>
          <w:szCs w:val="22"/>
          <w:lang w:eastAsia="en-US"/>
        </w:rPr>
        <w:t xml:space="preserve"> määratluse alt võib välja jääda suur osa nt </w:t>
      </w:r>
      <w:proofErr w:type="spellStart"/>
      <w:r w:rsidRPr="009E2F88">
        <w:rPr>
          <w:rFonts w:eastAsiaTheme="minorHAnsi"/>
          <w:sz w:val="22"/>
          <w:szCs w:val="22"/>
          <w:lang w:eastAsia="en-US"/>
        </w:rPr>
        <w:t>ühisrahastusest</w:t>
      </w:r>
      <w:proofErr w:type="spellEnd"/>
      <w:r w:rsidRPr="009E2F88">
        <w:rPr>
          <w:rFonts w:eastAsiaTheme="minorHAnsi"/>
          <w:sz w:val="22"/>
          <w:szCs w:val="22"/>
          <w:lang w:eastAsia="en-US"/>
        </w:rPr>
        <w:t xml:space="preserve">, kuna osalus konkreetses </w:t>
      </w:r>
      <w:proofErr w:type="spellStart"/>
      <w:r w:rsidRPr="009E2F88">
        <w:rPr>
          <w:rFonts w:eastAsiaTheme="minorHAnsi"/>
          <w:sz w:val="22"/>
          <w:szCs w:val="22"/>
          <w:lang w:eastAsia="en-US"/>
        </w:rPr>
        <w:t>ühisrahastuse</w:t>
      </w:r>
      <w:proofErr w:type="spellEnd"/>
      <w:r w:rsidRPr="009E2F88">
        <w:rPr>
          <w:rFonts w:eastAsiaTheme="minorHAnsi"/>
          <w:sz w:val="22"/>
          <w:szCs w:val="22"/>
          <w:lang w:eastAsia="en-US"/>
        </w:rPr>
        <w:t xml:space="preserve"> projektis ei </w:t>
      </w:r>
      <w:r>
        <w:rPr>
          <w:rFonts w:eastAsiaTheme="minorHAnsi"/>
          <w:sz w:val="22"/>
          <w:szCs w:val="22"/>
          <w:lang w:eastAsia="en-US"/>
        </w:rPr>
        <w:t xml:space="preserve">pruugi </w:t>
      </w:r>
      <w:r w:rsidRPr="009E2F88">
        <w:rPr>
          <w:rFonts w:eastAsiaTheme="minorHAnsi"/>
          <w:sz w:val="22"/>
          <w:szCs w:val="22"/>
          <w:lang w:eastAsia="en-US"/>
        </w:rPr>
        <w:t>kvalifitseeru</w:t>
      </w:r>
      <w:r>
        <w:rPr>
          <w:rFonts w:eastAsiaTheme="minorHAnsi"/>
          <w:sz w:val="22"/>
          <w:szCs w:val="22"/>
          <w:lang w:eastAsia="en-US"/>
        </w:rPr>
        <w:t>da</w:t>
      </w:r>
      <w:r w:rsidRPr="009E2F88">
        <w:rPr>
          <w:rFonts w:eastAsiaTheme="minorHAnsi"/>
          <w:sz w:val="22"/>
          <w:szCs w:val="22"/>
          <w:lang w:eastAsia="en-US"/>
        </w:rPr>
        <w:t xml:space="preserve"> vabalt kaubeldavaks instrumendiks. Lisaks </w:t>
      </w:r>
      <w:proofErr w:type="spellStart"/>
      <w:r w:rsidRPr="009E2F88">
        <w:rPr>
          <w:rFonts w:eastAsiaTheme="minorHAnsi"/>
          <w:sz w:val="22"/>
          <w:szCs w:val="22"/>
          <w:lang w:eastAsia="en-US"/>
        </w:rPr>
        <w:t>ühisrahastusinstrumentidele</w:t>
      </w:r>
      <w:proofErr w:type="spellEnd"/>
      <w:r w:rsidRPr="009E2F88">
        <w:rPr>
          <w:rFonts w:eastAsiaTheme="minorHAnsi"/>
          <w:sz w:val="22"/>
          <w:szCs w:val="22"/>
          <w:lang w:eastAsia="en-US"/>
        </w:rPr>
        <w:t xml:space="preserve"> ei </w:t>
      </w:r>
      <w:r>
        <w:rPr>
          <w:rFonts w:eastAsiaTheme="minorHAnsi"/>
          <w:sz w:val="22"/>
          <w:szCs w:val="22"/>
          <w:lang w:eastAsia="en-US"/>
        </w:rPr>
        <w:t>pruugi</w:t>
      </w:r>
      <w:r w:rsidRPr="009E2F88">
        <w:rPr>
          <w:rFonts w:eastAsiaTheme="minorHAnsi"/>
          <w:sz w:val="22"/>
          <w:szCs w:val="22"/>
          <w:lang w:eastAsia="en-US"/>
        </w:rPr>
        <w:t xml:space="preserve"> krüpteeritud kujul</w:t>
      </w:r>
      <w:r>
        <w:rPr>
          <w:rFonts w:eastAsiaTheme="minorHAnsi"/>
          <w:sz w:val="22"/>
          <w:szCs w:val="22"/>
          <w:lang w:eastAsia="en-US"/>
        </w:rPr>
        <w:t xml:space="preserve"> emiteeritud nn uut tüüpi investeerimis- või makse iseloomuga instrumendid (</w:t>
      </w:r>
      <w:proofErr w:type="spellStart"/>
      <w:r>
        <w:rPr>
          <w:rFonts w:eastAsiaTheme="minorHAnsi"/>
          <w:sz w:val="22"/>
          <w:szCs w:val="22"/>
          <w:lang w:eastAsia="en-US"/>
        </w:rPr>
        <w:t>tokenid</w:t>
      </w:r>
      <w:proofErr w:type="spellEnd"/>
      <w:r>
        <w:rPr>
          <w:rFonts w:eastAsiaTheme="minorHAnsi"/>
          <w:sz w:val="22"/>
          <w:szCs w:val="22"/>
          <w:lang w:eastAsia="en-US"/>
        </w:rPr>
        <w:t>)</w:t>
      </w:r>
      <w:r w:rsidRPr="009620ED">
        <w:rPr>
          <w:rFonts w:eastAsiaTheme="minorHAnsi"/>
          <w:sz w:val="22"/>
          <w:szCs w:val="22"/>
          <w:vertAlign w:val="superscript"/>
          <w:lang w:eastAsia="en-US"/>
        </w:rPr>
        <w:footnoteReference w:id="11"/>
      </w:r>
      <w:r>
        <w:rPr>
          <w:rFonts w:eastAsiaTheme="minorHAnsi"/>
          <w:sz w:val="22"/>
          <w:szCs w:val="22"/>
          <w:lang w:eastAsia="en-US"/>
        </w:rPr>
        <w:t xml:space="preserve"> olla käsitletavad </w:t>
      </w:r>
      <w:proofErr w:type="spellStart"/>
      <w:r>
        <w:rPr>
          <w:rFonts w:eastAsiaTheme="minorHAnsi"/>
          <w:sz w:val="22"/>
          <w:szCs w:val="22"/>
          <w:lang w:eastAsia="en-US"/>
        </w:rPr>
        <w:t>MiFID</w:t>
      </w:r>
      <w:proofErr w:type="spellEnd"/>
      <w:r>
        <w:rPr>
          <w:rFonts w:eastAsiaTheme="minorHAnsi"/>
          <w:sz w:val="22"/>
          <w:szCs w:val="22"/>
          <w:lang w:eastAsia="en-US"/>
        </w:rPr>
        <w:t xml:space="preserve"> väärtpaberitena</w:t>
      </w:r>
      <w:r w:rsidRPr="009E2F88">
        <w:rPr>
          <w:rFonts w:eastAsiaTheme="minorHAnsi"/>
          <w:sz w:val="22"/>
          <w:szCs w:val="22"/>
          <w:lang w:eastAsia="en-US"/>
        </w:rPr>
        <w:t xml:space="preserve">. </w:t>
      </w:r>
      <w:r>
        <w:rPr>
          <w:rFonts w:eastAsiaTheme="minorHAnsi"/>
          <w:sz w:val="22"/>
          <w:szCs w:val="22"/>
          <w:lang w:eastAsia="en-US"/>
        </w:rPr>
        <w:t xml:space="preserve">Ehk </w:t>
      </w:r>
      <w:proofErr w:type="spellStart"/>
      <w:r>
        <w:rPr>
          <w:rFonts w:eastAsiaTheme="minorHAnsi"/>
          <w:sz w:val="22"/>
          <w:szCs w:val="22"/>
          <w:lang w:eastAsia="en-US"/>
        </w:rPr>
        <w:t>MiFIDi</w:t>
      </w:r>
      <w:proofErr w:type="spellEnd"/>
      <w:r>
        <w:rPr>
          <w:rFonts w:eastAsiaTheme="minorHAnsi"/>
          <w:sz w:val="22"/>
          <w:szCs w:val="22"/>
          <w:lang w:eastAsia="en-US"/>
        </w:rPr>
        <w:t xml:space="preserve"> väärtpaberi</w:t>
      </w:r>
      <w:r w:rsidRPr="00E318DA">
        <w:rPr>
          <w:sz w:val="22"/>
          <w:szCs w:val="22"/>
        </w:rPr>
        <w:t xml:space="preserve"> määratluse alt või</w:t>
      </w:r>
      <w:r>
        <w:rPr>
          <w:sz w:val="22"/>
          <w:szCs w:val="22"/>
        </w:rPr>
        <w:t>vad</w:t>
      </w:r>
      <w:r w:rsidRPr="00E318DA">
        <w:rPr>
          <w:sz w:val="22"/>
          <w:szCs w:val="22"/>
        </w:rPr>
        <w:t xml:space="preserve"> välja jääda </w:t>
      </w:r>
      <w:r>
        <w:rPr>
          <w:sz w:val="22"/>
          <w:szCs w:val="22"/>
        </w:rPr>
        <w:t>ka</w:t>
      </w:r>
      <w:r w:rsidRPr="00E318DA">
        <w:rPr>
          <w:sz w:val="22"/>
          <w:szCs w:val="22"/>
        </w:rPr>
        <w:t xml:space="preserve"> </w:t>
      </w:r>
      <w:r>
        <w:rPr>
          <w:sz w:val="22"/>
          <w:szCs w:val="22"/>
        </w:rPr>
        <w:t xml:space="preserve">osaluspõhised </w:t>
      </w:r>
      <w:proofErr w:type="spellStart"/>
      <w:r>
        <w:rPr>
          <w:sz w:val="22"/>
          <w:szCs w:val="22"/>
        </w:rPr>
        <w:t>krüptovarad</w:t>
      </w:r>
      <w:proofErr w:type="spellEnd"/>
      <w:r w:rsidRPr="00E318DA">
        <w:rPr>
          <w:sz w:val="22"/>
          <w:szCs w:val="22"/>
        </w:rPr>
        <w:t xml:space="preserve">, kuna nn osalus </w:t>
      </w:r>
      <w:r>
        <w:rPr>
          <w:sz w:val="22"/>
          <w:szCs w:val="22"/>
        </w:rPr>
        <w:t>juriidilises isikus</w:t>
      </w:r>
      <w:r w:rsidRPr="00E318DA">
        <w:rPr>
          <w:sz w:val="22"/>
          <w:szCs w:val="22"/>
        </w:rPr>
        <w:t xml:space="preserve"> ei </w:t>
      </w:r>
      <w:r>
        <w:rPr>
          <w:sz w:val="22"/>
          <w:szCs w:val="22"/>
        </w:rPr>
        <w:t xml:space="preserve">pruugi </w:t>
      </w:r>
      <w:r w:rsidRPr="00E318DA">
        <w:rPr>
          <w:sz w:val="22"/>
          <w:szCs w:val="22"/>
        </w:rPr>
        <w:t>kvalifitseeru</w:t>
      </w:r>
      <w:r>
        <w:rPr>
          <w:sz w:val="22"/>
          <w:szCs w:val="22"/>
        </w:rPr>
        <w:t>da</w:t>
      </w:r>
      <w:r w:rsidRPr="00E318DA">
        <w:rPr>
          <w:sz w:val="22"/>
          <w:szCs w:val="22"/>
        </w:rPr>
        <w:t xml:space="preserve"> vabalt kaubeldavaks instrumendiks</w:t>
      </w:r>
      <w:r>
        <w:rPr>
          <w:sz w:val="22"/>
          <w:szCs w:val="22"/>
        </w:rPr>
        <w:t xml:space="preserve"> </w:t>
      </w:r>
      <w:proofErr w:type="spellStart"/>
      <w:r>
        <w:rPr>
          <w:sz w:val="22"/>
          <w:szCs w:val="22"/>
        </w:rPr>
        <w:t>MiFIDII</w:t>
      </w:r>
      <w:proofErr w:type="spellEnd"/>
      <w:r>
        <w:rPr>
          <w:sz w:val="22"/>
          <w:szCs w:val="22"/>
        </w:rPr>
        <w:t xml:space="preserve"> mõistes</w:t>
      </w:r>
      <w:r w:rsidRPr="00E318DA">
        <w:rPr>
          <w:sz w:val="22"/>
          <w:szCs w:val="22"/>
        </w:rPr>
        <w:t xml:space="preserve">. </w:t>
      </w:r>
    </w:p>
    <w:p w14:paraId="4D4F2E73" w14:textId="77777777" w:rsidR="005508E5" w:rsidRDefault="005508E5" w:rsidP="005508E5">
      <w:pPr>
        <w:spacing w:before="0"/>
        <w:rPr>
          <w:sz w:val="22"/>
          <w:szCs w:val="22"/>
        </w:rPr>
      </w:pPr>
    </w:p>
    <w:p w14:paraId="71B5C88B" w14:textId="08D15F26" w:rsidR="005508E5" w:rsidRDefault="005508E5" w:rsidP="005508E5">
      <w:pPr>
        <w:spacing w:before="0"/>
        <w:rPr>
          <w:rFonts w:eastAsiaTheme="minorHAnsi"/>
          <w:sz w:val="22"/>
          <w:szCs w:val="22"/>
          <w:lang w:eastAsia="en-US"/>
        </w:rPr>
      </w:pPr>
      <w:r>
        <w:rPr>
          <w:sz w:val="22"/>
          <w:szCs w:val="22"/>
        </w:rPr>
        <w:t>Eeltoodu</w:t>
      </w:r>
      <w:r w:rsidRPr="00E318DA">
        <w:rPr>
          <w:sz w:val="22"/>
          <w:szCs w:val="22"/>
        </w:rPr>
        <w:t xml:space="preserve"> tulemus on, et majanduslikult sarnase sisuga tooteid koheldakse regulatiivselt erinevalt ja vähemalt osale investeerimis</w:t>
      </w:r>
      <w:r w:rsidR="009620ED">
        <w:rPr>
          <w:sz w:val="22"/>
          <w:szCs w:val="22"/>
        </w:rPr>
        <w:t>projektidest</w:t>
      </w:r>
      <w:r w:rsidRPr="00E318DA">
        <w:rPr>
          <w:sz w:val="22"/>
          <w:szCs w:val="22"/>
        </w:rPr>
        <w:t xml:space="preserve"> tavapärane in</w:t>
      </w:r>
      <w:r>
        <w:rPr>
          <w:sz w:val="22"/>
          <w:szCs w:val="22"/>
        </w:rPr>
        <w:t>vestorkaitse režiim ei kohaldu.</w:t>
      </w:r>
      <w:r w:rsidRPr="009620ED">
        <w:rPr>
          <w:rFonts w:eastAsiaTheme="minorEastAsia"/>
          <w:sz w:val="22"/>
          <w:szCs w:val="22"/>
          <w:vertAlign w:val="superscript"/>
        </w:rPr>
        <w:footnoteReference w:id="12"/>
      </w:r>
      <w:r>
        <w:rPr>
          <w:rFonts w:eastAsiaTheme="minorHAnsi"/>
          <w:sz w:val="22"/>
          <w:szCs w:val="22"/>
          <w:lang w:eastAsia="en-US"/>
        </w:rPr>
        <w:t xml:space="preserve"> Eelnõuga</w:t>
      </w:r>
      <w:r w:rsidRPr="009E2F88">
        <w:rPr>
          <w:rFonts w:eastAsiaTheme="minorHAnsi"/>
          <w:sz w:val="22"/>
          <w:szCs w:val="22"/>
          <w:lang w:eastAsia="en-US"/>
        </w:rPr>
        <w:t xml:space="preserve"> saavad </w:t>
      </w:r>
      <w:r>
        <w:rPr>
          <w:rFonts w:eastAsiaTheme="minorHAnsi"/>
          <w:sz w:val="22"/>
          <w:szCs w:val="22"/>
          <w:lang w:eastAsia="en-US"/>
        </w:rPr>
        <w:t xml:space="preserve">nõuded </w:t>
      </w:r>
      <w:proofErr w:type="spellStart"/>
      <w:r>
        <w:rPr>
          <w:rFonts w:eastAsiaTheme="minorHAnsi"/>
          <w:sz w:val="22"/>
          <w:szCs w:val="22"/>
          <w:lang w:eastAsia="en-US"/>
        </w:rPr>
        <w:t>ühisrahastusprojektide</w:t>
      </w:r>
      <w:proofErr w:type="spellEnd"/>
      <w:r>
        <w:rPr>
          <w:rFonts w:eastAsiaTheme="minorHAnsi"/>
          <w:sz w:val="22"/>
          <w:szCs w:val="22"/>
          <w:lang w:eastAsia="en-US"/>
        </w:rPr>
        <w:t xml:space="preserve"> vastu või osalused </w:t>
      </w:r>
      <w:proofErr w:type="spellStart"/>
      <w:r w:rsidRPr="009E2F88">
        <w:rPr>
          <w:rFonts w:eastAsiaTheme="minorHAnsi"/>
          <w:sz w:val="22"/>
          <w:szCs w:val="22"/>
          <w:lang w:eastAsia="en-US"/>
        </w:rPr>
        <w:t>ühisrahastus</w:t>
      </w:r>
      <w:r>
        <w:rPr>
          <w:rFonts w:eastAsiaTheme="minorHAnsi"/>
          <w:sz w:val="22"/>
          <w:szCs w:val="22"/>
          <w:lang w:eastAsia="en-US"/>
        </w:rPr>
        <w:t>projektides</w:t>
      </w:r>
      <w:proofErr w:type="spellEnd"/>
      <w:r w:rsidRPr="009E2F88">
        <w:rPr>
          <w:rFonts w:eastAsiaTheme="minorHAnsi"/>
          <w:sz w:val="22"/>
          <w:szCs w:val="22"/>
          <w:lang w:eastAsia="en-US"/>
        </w:rPr>
        <w:t xml:space="preserve"> olema vähemalt osaliselt reguleeritud sarnaselt tavaliste väärtpaberitega (kaubeldavad aktsiad, võlakirjad).</w:t>
      </w:r>
    </w:p>
    <w:p w14:paraId="65DB635F" w14:textId="77777777" w:rsidR="005508E5" w:rsidRDefault="005508E5" w:rsidP="005508E5">
      <w:pPr>
        <w:spacing w:before="0"/>
        <w:rPr>
          <w:rFonts w:eastAsiaTheme="minorHAnsi"/>
          <w:sz w:val="22"/>
          <w:szCs w:val="22"/>
          <w:lang w:eastAsia="en-US"/>
        </w:rPr>
      </w:pPr>
    </w:p>
    <w:p w14:paraId="2C801C7D" w14:textId="71964323" w:rsidR="005508E5" w:rsidRDefault="005508E5" w:rsidP="005508E5">
      <w:pPr>
        <w:spacing w:before="0"/>
        <w:rPr>
          <w:rFonts w:eastAsiaTheme="minorHAnsi"/>
          <w:sz w:val="22"/>
          <w:szCs w:val="22"/>
          <w:lang w:eastAsia="en-US"/>
        </w:rPr>
      </w:pPr>
      <w:r>
        <w:rPr>
          <w:rFonts w:eastAsiaTheme="minorHAnsi"/>
          <w:sz w:val="22"/>
          <w:szCs w:val="22"/>
          <w:lang w:eastAsia="en-US"/>
        </w:rPr>
        <w:t>E</w:t>
      </w:r>
      <w:r w:rsidRPr="009E2F88">
        <w:rPr>
          <w:rFonts w:eastAsiaTheme="minorHAnsi"/>
          <w:sz w:val="22"/>
          <w:szCs w:val="22"/>
          <w:lang w:eastAsia="en-US"/>
        </w:rPr>
        <w:t xml:space="preserve">elnõu </w:t>
      </w:r>
      <w:r>
        <w:rPr>
          <w:rFonts w:eastAsiaTheme="minorHAnsi"/>
          <w:sz w:val="22"/>
          <w:szCs w:val="22"/>
          <w:lang w:eastAsia="en-US"/>
        </w:rPr>
        <w:t>reguleerimisalasse kuuluvad seetõttu ka</w:t>
      </w:r>
      <w:r w:rsidRPr="009E2F88">
        <w:rPr>
          <w:rFonts w:eastAsiaTheme="minorHAnsi"/>
          <w:sz w:val="22"/>
          <w:szCs w:val="22"/>
          <w:lang w:eastAsia="en-US"/>
        </w:rPr>
        <w:t xml:space="preserve"> sellised </w:t>
      </w:r>
      <w:r>
        <w:rPr>
          <w:rFonts w:eastAsiaTheme="minorHAnsi"/>
          <w:sz w:val="22"/>
          <w:szCs w:val="22"/>
          <w:lang w:eastAsia="en-US"/>
        </w:rPr>
        <w:t xml:space="preserve">(eelkõige </w:t>
      </w:r>
      <w:r w:rsidRPr="009E2F88">
        <w:rPr>
          <w:rFonts w:eastAsiaTheme="minorHAnsi"/>
          <w:sz w:val="22"/>
          <w:szCs w:val="22"/>
          <w:lang w:eastAsia="en-US"/>
        </w:rPr>
        <w:t>investeerimis</w:t>
      </w:r>
      <w:r>
        <w:rPr>
          <w:rFonts w:eastAsiaTheme="minorHAnsi"/>
          <w:sz w:val="22"/>
          <w:szCs w:val="22"/>
          <w:lang w:eastAsia="en-US"/>
        </w:rPr>
        <w:t>riski sisaldavad) varad</w:t>
      </w:r>
      <w:r w:rsidRPr="009E2F88">
        <w:rPr>
          <w:rFonts w:eastAsiaTheme="minorHAnsi"/>
          <w:sz w:val="22"/>
          <w:szCs w:val="22"/>
          <w:lang w:eastAsia="en-US"/>
        </w:rPr>
        <w:t>, mis on esitatud krüpteeritud vormis,</w:t>
      </w:r>
      <w:r>
        <w:rPr>
          <w:rFonts w:eastAsiaTheme="minorHAnsi"/>
          <w:sz w:val="22"/>
          <w:szCs w:val="22"/>
          <w:lang w:eastAsia="en-US"/>
        </w:rPr>
        <w:t xml:space="preserve"> muuhulgas</w:t>
      </w:r>
      <w:r w:rsidRPr="009E2F88">
        <w:rPr>
          <w:rFonts w:eastAsiaTheme="minorHAnsi"/>
          <w:sz w:val="22"/>
          <w:szCs w:val="22"/>
          <w:lang w:eastAsia="en-US"/>
        </w:rPr>
        <w:t xml:space="preserve"> kui </w:t>
      </w:r>
      <w:r>
        <w:rPr>
          <w:rFonts w:eastAsiaTheme="minorHAnsi"/>
          <w:sz w:val="22"/>
          <w:szCs w:val="22"/>
          <w:lang w:eastAsia="en-US"/>
        </w:rPr>
        <w:t>selline</w:t>
      </w:r>
      <w:r w:rsidRPr="009E2F88">
        <w:rPr>
          <w:rFonts w:eastAsiaTheme="minorHAnsi"/>
          <w:sz w:val="22"/>
          <w:szCs w:val="22"/>
          <w:lang w:eastAsia="en-US"/>
        </w:rPr>
        <w:t xml:space="preserve"> vara on kajastatud näiteks plokiahelas või muus hajusraamatu tehnoloogias.</w:t>
      </w:r>
      <w:r>
        <w:rPr>
          <w:rFonts w:eastAsiaTheme="minorHAnsi"/>
          <w:sz w:val="22"/>
          <w:szCs w:val="22"/>
          <w:lang w:eastAsia="en-US"/>
        </w:rPr>
        <w:t xml:space="preserve"> Teisisõnu on tegemist </w:t>
      </w:r>
      <w:proofErr w:type="spellStart"/>
      <w:r>
        <w:rPr>
          <w:rFonts w:eastAsiaTheme="minorHAnsi"/>
          <w:sz w:val="22"/>
          <w:szCs w:val="22"/>
          <w:lang w:eastAsia="en-US"/>
        </w:rPr>
        <w:t>krüptovaraga</w:t>
      </w:r>
      <w:proofErr w:type="spellEnd"/>
      <w:r>
        <w:rPr>
          <w:rFonts w:eastAsiaTheme="minorHAnsi"/>
          <w:sz w:val="22"/>
          <w:szCs w:val="22"/>
          <w:lang w:eastAsia="en-US"/>
        </w:rPr>
        <w:t>.</w:t>
      </w:r>
      <w:r w:rsidRPr="009E2F88">
        <w:rPr>
          <w:rFonts w:eastAsiaTheme="minorHAnsi"/>
          <w:sz w:val="22"/>
          <w:szCs w:val="22"/>
          <w:lang w:eastAsia="en-US"/>
        </w:rPr>
        <w:t xml:space="preserve"> </w:t>
      </w:r>
      <w:r>
        <w:rPr>
          <w:rFonts w:eastAsiaTheme="minorHAnsi"/>
          <w:sz w:val="22"/>
          <w:szCs w:val="22"/>
          <w:lang w:eastAsia="en-US"/>
        </w:rPr>
        <w:t>E</w:t>
      </w:r>
      <w:r w:rsidRPr="00FF3CF2">
        <w:rPr>
          <w:rFonts w:eastAsiaTheme="minorHAnsi"/>
          <w:sz w:val="22"/>
          <w:szCs w:val="22"/>
          <w:lang w:eastAsia="en-US"/>
        </w:rPr>
        <w:t>elnõu eesmärgiks ei ole aga otseselt reguleerida uut tüüpi investeerimis</w:t>
      </w:r>
      <w:r w:rsidR="009620ED">
        <w:rPr>
          <w:rFonts w:eastAsiaTheme="minorHAnsi"/>
          <w:sz w:val="22"/>
          <w:szCs w:val="22"/>
          <w:lang w:eastAsia="en-US"/>
        </w:rPr>
        <w:t>projektidega</w:t>
      </w:r>
      <w:r w:rsidRPr="00FF3CF2">
        <w:rPr>
          <w:rFonts w:eastAsiaTheme="minorHAnsi"/>
          <w:sz w:val="22"/>
          <w:szCs w:val="22"/>
          <w:lang w:eastAsia="en-US"/>
        </w:rPr>
        <w:t xml:space="preserve"> seotud tehnoloogilisi aspekte.</w:t>
      </w:r>
      <w:r>
        <w:rPr>
          <w:rFonts w:eastAsiaTheme="minorHAnsi"/>
          <w:sz w:val="22"/>
          <w:szCs w:val="22"/>
          <w:lang w:eastAsia="en-US"/>
        </w:rPr>
        <w:t xml:space="preserve"> </w:t>
      </w:r>
      <w:r>
        <w:rPr>
          <w:sz w:val="22"/>
          <w:szCs w:val="22"/>
        </w:rPr>
        <w:t xml:space="preserve">Samas </w:t>
      </w:r>
      <w:r w:rsidRPr="00FA2626">
        <w:rPr>
          <w:sz w:val="22"/>
          <w:szCs w:val="22"/>
        </w:rPr>
        <w:t>uudsete tehnoloogiate (eelkõige hajusraamatu tehnoloogia) abil korraldatav kapitali kaasamine ei ole asi iseeneses</w:t>
      </w:r>
      <w:r>
        <w:rPr>
          <w:sz w:val="22"/>
          <w:szCs w:val="22"/>
        </w:rPr>
        <w:t>,</w:t>
      </w:r>
      <w:r w:rsidRPr="00FA2626">
        <w:rPr>
          <w:sz w:val="22"/>
          <w:szCs w:val="22"/>
        </w:rPr>
        <w:t xml:space="preserve"> pigem on see paindlikum ja teatud juhtudel ka odavam (väiksemate või üldse ilma vahendustasudeta) võimalus teenuseid ja tooteid pakkuda.</w:t>
      </w:r>
    </w:p>
    <w:p w14:paraId="49D1AD3E" w14:textId="77777777" w:rsidR="005508E5" w:rsidRDefault="005508E5" w:rsidP="005508E5">
      <w:pPr>
        <w:spacing w:before="0"/>
        <w:rPr>
          <w:rFonts w:eastAsiaTheme="minorHAnsi"/>
          <w:sz w:val="22"/>
          <w:szCs w:val="22"/>
          <w:lang w:eastAsia="en-US"/>
        </w:rPr>
      </w:pPr>
    </w:p>
    <w:p w14:paraId="0BF00875" w14:textId="77777777" w:rsidR="005508E5" w:rsidRDefault="005508E5" w:rsidP="005508E5">
      <w:pPr>
        <w:spacing w:before="0"/>
        <w:rPr>
          <w:sz w:val="22"/>
          <w:szCs w:val="22"/>
        </w:rPr>
      </w:pPr>
      <w:r>
        <w:rPr>
          <w:sz w:val="22"/>
          <w:szCs w:val="22"/>
        </w:rPr>
        <w:t xml:space="preserve">Tulenevalt eeltoodust on </w:t>
      </w:r>
      <w:r w:rsidRPr="001D2B96">
        <w:rPr>
          <w:sz w:val="22"/>
          <w:szCs w:val="22"/>
        </w:rPr>
        <w:t xml:space="preserve">eelnõu </w:t>
      </w:r>
      <w:r>
        <w:rPr>
          <w:sz w:val="22"/>
          <w:szCs w:val="22"/>
        </w:rPr>
        <w:t>peamiseks eesmärgiks reguleerida</w:t>
      </w:r>
      <w:r w:rsidRPr="001D2B96">
        <w:rPr>
          <w:sz w:val="22"/>
          <w:szCs w:val="22"/>
        </w:rPr>
        <w:t xml:space="preserve"> mitte-</w:t>
      </w:r>
      <w:proofErr w:type="spellStart"/>
      <w:r w:rsidRPr="001D2B96">
        <w:rPr>
          <w:sz w:val="22"/>
          <w:szCs w:val="22"/>
        </w:rPr>
        <w:t>MiFID</w:t>
      </w:r>
      <w:proofErr w:type="spellEnd"/>
      <w:r w:rsidRPr="001D2B96">
        <w:rPr>
          <w:sz w:val="22"/>
          <w:szCs w:val="22"/>
        </w:rPr>
        <w:t xml:space="preserve"> väärtpaberitesse investeerimisel </w:t>
      </w:r>
      <w:r>
        <w:rPr>
          <w:sz w:val="22"/>
          <w:szCs w:val="22"/>
        </w:rPr>
        <w:t xml:space="preserve">just </w:t>
      </w:r>
      <w:r w:rsidRPr="001D2B96">
        <w:rPr>
          <w:sz w:val="22"/>
          <w:szCs w:val="22"/>
        </w:rPr>
        <w:t>primaarse</w:t>
      </w:r>
      <w:r>
        <w:rPr>
          <w:sz w:val="22"/>
          <w:szCs w:val="22"/>
        </w:rPr>
        <w:t>i</w:t>
      </w:r>
      <w:r w:rsidRPr="001D2B96">
        <w:rPr>
          <w:sz w:val="22"/>
          <w:szCs w:val="22"/>
        </w:rPr>
        <w:t>d investorkaitse nõu</w:t>
      </w:r>
      <w:r>
        <w:rPr>
          <w:sz w:val="22"/>
          <w:szCs w:val="22"/>
        </w:rPr>
        <w:t>d</w:t>
      </w:r>
      <w:r w:rsidRPr="001D2B96">
        <w:rPr>
          <w:sz w:val="22"/>
          <w:szCs w:val="22"/>
        </w:rPr>
        <w:t>e</w:t>
      </w:r>
      <w:r>
        <w:rPr>
          <w:sz w:val="22"/>
          <w:szCs w:val="22"/>
        </w:rPr>
        <w:t>i</w:t>
      </w:r>
      <w:r w:rsidRPr="001D2B96">
        <w:rPr>
          <w:sz w:val="22"/>
          <w:szCs w:val="22"/>
        </w:rPr>
        <w:t>d.</w:t>
      </w:r>
      <w:r>
        <w:rPr>
          <w:sz w:val="22"/>
          <w:szCs w:val="22"/>
        </w:rPr>
        <w:t xml:space="preserve"> </w:t>
      </w:r>
    </w:p>
    <w:p w14:paraId="12811752" w14:textId="77777777" w:rsidR="005508E5" w:rsidRPr="002F2604" w:rsidRDefault="005508E5" w:rsidP="005508E5">
      <w:pPr>
        <w:spacing w:before="0"/>
        <w:rPr>
          <w:sz w:val="22"/>
          <w:szCs w:val="22"/>
        </w:rPr>
      </w:pPr>
    </w:p>
    <w:p w14:paraId="7D685BB5" w14:textId="77777777" w:rsidR="005508E5" w:rsidRPr="002F2604" w:rsidRDefault="005508E5" w:rsidP="005508E5">
      <w:pPr>
        <w:pStyle w:val="Heading2"/>
        <w:numPr>
          <w:ilvl w:val="1"/>
          <w:numId w:val="9"/>
        </w:numPr>
        <w:spacing w:before="0"/>
        <w:ind w:left="426" w:hanging="426"/>
        <w:rPr>
          <w:color w:val="auto"/>
          <w:sz w:val="22"/>
          <w:szCs w:val="22"/>
        </w:rPr>
      </w:pPr>
      <w:r>
        <w:rPr>
          <w:color w:val="auto"/>
          <w:sz w:val="22"/>
          <w:szCs w:val="22"/>
        </w:rPr>
        <w:t>„Klassikaliste“ väärtpaberite ja uute rahastamisviiside võrdlus</w:t>
      </w:r>
    </w:p>
    <w:p w14:paraId="2793346E" w14:textId="77777777" w:rsidR="005508E5" w:rsidRDefault="005508E5" w:rsidP="005508E5">
      <w:pPr>
        <w:spacing w:before="0"/>
        <w:rPr>
          <w:rFonts w:eastAsiaTheme="minorHAnsi"/>
          <w:sz w:val="22"/>
          <w:szCs w:val="22"/>
          <w:lang w:eastAsia="en-US"/>
        </w:rPr>
      </w:pPr>
    </w:p>
    <w:p w14:paraId="554F153C" w14:textId="77777777" w:rsidR="005508E5" w:rsidRPr="00F2371D" w:rsidRDefault="005508E5" w:rsidP="005508E5">
      <w:pPr>
        <w:spacing w:before="0"/>
        <w:rPr>
          <w:rFonts w:eastAsiaTheme="minorHAnsi"/>
          <w:sz w:val="22"/>
          <w:szCs w:val="22"/>
          <w:lang w:eastAsia="en-US"/>
        </w:rPr>
      </w:pPr>
      <w:proofErr w:type="spellStart"/>
      <w:r w:rsidRPr="001E0DF1">
        <w:rPr>
          <w:rFonts w:eastAsiaTheme="minorHAnsi"/>
          <w:sz w:val="22"/>
          <w:szCs w:val="22"/>
          <w:lang w:eastAsia="en-US"/>
        </w:rPr>
        <w:t>MiFID</w:t>
      </w:r>
      <w:proofErr w:type="spellEnd"/>
      <w:r w:rsidRPr="001E0DF1">
        <w:rPr>
          <w:rFonts w:eastAsiaTheme="minorHAnsi"/>
          <w:sz w:val="22"/>
          <w:szCs w:val="22"/>
          <w:lang w:eastAsia="en-US"/>
        </w:rPr>
        <w:t xml:space="preserve">-väärtpaberile kohalduvad juba täna erinevad EL õigusest tulenevad nõuded. Esiteks, kui tegemist on </w:t>
      </w:r>
      <w:proofErr w:type="spellStart"/>
      <w:r w:rsidRPr="001E0DF1">
        <w:rPr>
          <w:rFonts w:eastAsiaTheme="minorHAnsi"/>
          <w:sz w:val="22"/>
          <w:szCs w:val="22"/>
          <w:lang w:eastAsia="en-US"/>
        </w:rPr>
        <w:t>MiFID</w:t>
      </w:r>
      <w:proofErr w:type="spellEnd"/>
      <w:r w:rsidRPr="001E0DF1">
        <w:rPr>
          <w:rFonts w:eastAsiaTheme="minorHAnsi"/>
          <w:sz w:val="22"/>
          <w:szCs w:val="22"/>
          <w:lang w:eastAsia="en-US"/>
        </w:rPr>
        <w:t>-väärtpaberiga ja kui neid väärtpabereid soovitakse pakkuda avalikkusele</w:t>
      </w:r>
      <w:r w:rsidRPr="001E0DF1">
        <w:rPr>
          <w:bCs/>
          <w:sz w:val="22"/>
          <w:szCs w:val="22"/>
          <w:vertAlign w:val="superscript"/>
        </w:rPr>
        <w:footnoteReference w:id="13"/>
      </w:r>
      <w:r w:rsidRPr="001E0DF1">
        <w:rPr>
          <w:rFonts w:eastAsiaTheme="minorHAnsi"/>
          <w:sz w:val="22"/>
          <w:szCs w:val="22"/>
          <w:lang w:eastAsia="en-US"/>
        </w:rPr>
        <w:t xml:space="preserve">, siis kohalduvad avaliku pakkumise nõuded vastavalt </w:t>
      </w:r>
      <w:r w:rsidRPr="00F2371D">
        <w:rPr>
          <w:rFonts w:eastAsiaTheme="minorHAnsi"/>
          <w:sz w:val="22"/>
          <w:szCs w:val="22"/>
          <w:lang w:eastAsia="en-US"/>
        </w:rPr>
        <w:t>Euroopa Parlamendi ja nõukogu määrusel</w:t>
      </w:r>
      <w:r>
        <w:rPr>
          <w:rFonts w:eastAsiaTheme="minorHAnsi"/>
          <w:sz w:val="22"/>
          <w:szCs w:val="22"/>
          <w:lang w:eastAsia="en-US"/>
        </w:rPr>
        <w:t>e</w:t>
      </w:r>
      <w:r w:rsidRPr="00F2371D">
        <w:rPr>
          <w:rFonts w:eastAsiaTheme="minorHAnsi"/>
          <w:sz w:val="22"/>
          <w:szCs w:val="22"/>
          <w:lang w:eastAsia="en-US"/>
        </w:rPr>
        <w:t xml:space="preserve"> (EL) 2017/1129 (edaspidi </w:t>
      </w:r>
      <w:r w:rsidRPr="00F2371D">
        <w:rPr>
          <w:rFonts w:eastAsiaTheme="minorHAnsi"/>
          <w:i/>
          <w:sz w:val="22"/>
          <w:szCs w:val="22"/>
          <w:lang w:eastAsia="en-US"/>
        </w:rPr>
        <w:t>EL prospektimäärus</w:t>
      </w:r>
      <w:r w:rsidRPr="00F2371D">
        <w:rPr>
          <w:rFonts w:eastAsiaTheme="minorHAnsi"/>
          <w:sz w:val="22"/>
          <w:szCs w:val="22"/>
          <w:lang w:eastAsia="en-US"/>
        </w:rPr>
        <w:t>)</w:t>
      </w:r>
      <w:r w:rsidRPr="00F2371D">
        <w:rPr>
          <w:rFonts w:eastAsiaTheme="minorHAnsi"/>
          <w:bCs/>
          <w:sz w:val="22"/>
          <w:szCs w:val="22"/>
          <w:vertAlign w:val="superscript"/>
          <w:lang w:eastAsia="en-US"/>
        </w:rPr>
        <w:footnoteReference w:id="14"/>
      </w:r>
      <w:r w:rsidRPr="00F2371D">
        <w:rPr>
          <w:rFonts w:eastAsiaTheme="minorHAnsi"/>
          <w:sz w:val="22"/>
          <w:szCs w:val="22"/>
          <w:lang w:eastAsia="en-US"/>
        </w:rPr>
        <w:t xml:space="preserve">, väärtpaberituru seadusele ja selle alusel kehtestatud </w:t>
      </w:r>
      <w:r>
        <w:rPr>
          <w:rFonts w:eastAsiaTheme="minorHAnsi"/>
          <w:sz w:val="22"/>
          <w:szCs w:val="22"/>
          <w:lang w:eastAsia="en-US"/>
        </w:rPr>
        <w:t>määrusele (vt rahandusministri määrus „</w:t>
      </w:r>
      <w:r w:rsidRPr="006E7CCF">
        <w:rPr>
          <w:rFonts w:eastAsiaTheme="minorHAnsi"/>
          <w:sz w:val="22"/>
          <w:szCs w:val="22"/>
          <w:lang w:eastAsia="en-US"/>
        </w:rPr>
        <w:t>Nõuded väärtpaberite pakkumise teabedokumendile</w:t>
      </w:r>
      <w:r>
        <w:rPr>
          <w:rFonts w:eastAsiaTheme="minorHAnsi"/>
          <w:sz w:val="22"/>
          <w:szCs w:val="22"/>
          <w:lang w:eastAsia="en-US"/>
        </w:rPr>
        <w:t>“)</w:t>
      </w:r>
      <w:r w:rsidRPr="00F2371D">
        <w:rPr>
          <w:rFonts w:eastAsiaTheme="minorHAnsi"/>
          <w:sz w:val="22"/>
          <w:szCs w:val="22"/>
          <w:lang w:eastAsia="en-US"/>
        </w:rPr>
        <w:t>.</w:t>
      </w:r>
    </w:p>
    <w:p w14:paraId="55EE7E41" w14:textId="77777777" w:rsidR="005508E5" w:rsidRPr="001E0DF1" w:rsidRDefault="005508E5" w:rsidP="005508E5">
      <w:pPr>
        <w:spacing w:before="0"/>
        <w:rPr>
          <w:rFonts w:eastAsiaTheme="minorHAnsi"/>
          <w:sz w:val="22"/>
          <w:szCs w:val="22"/>
          <w:lang w:eastAsia="en-US"/>
        </w:rPr>
      </w:pPr>
    </w:p>
    <w:p w14:paraId="396E6D30" w14:textId="77777777" w:rsidR="005508E5" w:rsidRDefault="005508E5" w:rsidP="005508E5">
      <w:pPr>
        <w:spacing w:before="0"/>
        <w:rPr>
          <w:rFonts w:eastAsiaTheme="minorHAnsi"/>
          <w:sz w:val="22"/>
          <w:szCs w:val="22"/>
          <w:lang w:eastAsia="en-US"/>
        </w:rPr>
      </w:pPr>
      <w:r w:rsidRPr="001E0DF1">
        <w:rPr>
          <w:rFonts w:eastAsiaTheme="minorHAnsi"/>
          <w:sz w:val="22"/>
          <w:szCs w:val="22"/>
          <w:lang w:eastAsia="en-US"/>
        </w:rPr>
        <w:t xml:space="preserve">Mudelit, mille puhul ettevõtja kaasab investoritelt investeeringuid mõnes ametlikus valuutas või virtuaalvääringus </w:t>
      </w:r>
      <w:r>
        <w:rPr>
          <w:rFonts w:eastAsiaTheme="minorHAnsi"/>
          <w:sz w:val="22"/>
          <w:szCs w:val="22"/>
          <w:lang w:eastAsia="en-US"/>
        </w:rPr>
        <w:t>ja</w:t>
      </w:r>
      <w:r w:rsidRPr="001E0DF1">
        <w:rPr>
          <w:rFonts w:eastAsiaTheme="minorHAnsi"/>
          <w:sz w:val="22"/>
          <w:szCs w:val="22"/>
          <w:lang w:eastAsia="en-US"/>
        </w:rPr>
        <w:t xml:space="preserve"> väljastab selle vastu plokiahelas kirjendatud ühikuid ehk </w:t>
      </w:r>
      <w:proofErr w:type="spellStart"/>
      <w:r w:rsidRPr="001E0DF1">
        <w:rPr>
          <w:rFonts w:eastAsiaTheme="minorHAnsi"/>
          <w:sz w:val="22"/>
          <w:szCs w:val="22"/>
          <w:lang w:eastAsia="en-US"/>
        </w:rPr>
        <w:t>tokeneid</w:t>
      </w:r>
      <w:proofErr w:type="spellEnd"/>
      <w:r w:rsidRPr="001E0DF1">
        <w:rPr>
          <w:rFonts w:eastAsiaTheme="minorHAnsi"/>
          <w:sz w:val="22"/>
          <w:szCs w:val="22"/>
          <w:lang w:eastAsia="en-US"/>
        </w:rPr>
        <w:t>, nimetatakse erinevate terminitega, näiteks ICO (ing</w:t>
      </w:r>
      <w:r>
        <w:rPr>
          <w:rFonts w:eastAsiaTheme="minorHAnsi"/>
          <w:sz w:val="22"/>
          <w:szCs w:val="22"/>
          <w:lang w:eastAsia="en-US"/>
        </w:rPr>
        <w:t>l</w:t>
      </w:r>
      <w:r w:rsidRPr="001E0DF1">
        <w:rPr>
          <w:rFonts w:eastAsiaTheme="minorHAnsi"/>
          <w:sz w:val="22"/>
          <w:szCs w:val="22"/>
          <w:lang w:eastAsia="en-US"/>
        </w:rPr>
        <w:t xml:space="preserve"> </w:t>
      </w:r>
      <w:proofErr w:type="spellStart"/>
      <w:r w:rsidRPr="001E0DF1">
        <w:rPr>
          <w:rFonts w:eastAsiaTheme="minorHAnsi"/>
          <w:i/>
          <w:sz w:val="22"/>
          <w:szCs w:val="22"/>
          <w:lang w:eastAsia="en-US"/>
        </w:rPr>
        <w:t>initial</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coin</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offering</w:t>
      </w:r>
      <w:proofErr w:type="spellEnd"/>
      <w:r w:rsidRPr="001E0DF1">
        <w:rPr>
          <w:rFonts w:eastAsiaTheme="minorHAnsi"/>
          <w:sz w:val="22"/>
          <w:szCs w:val="22"/>
          <w:lang w:eastAsia="en-US"/>
        </w:rPr>
        <w:t xml:space="preserve">), STO (ingl </w:t>
      </w:r>
      <w:proofErr w:type="spellStart"/>
      <w:r w:rsidRPr="001E0DF1">
        <w:rPr>
          <w:rFonts w:eastAsiaTheme="minorHAnsi"/>
          <w:i/>
          <w:sz w:val="22"/>
          <w:szCs w:val="22"/>
          <w:lang w:eastAsia="en-US"/>
        </w:rPr>
        <w:t>security</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token</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offering</w:t>
      </w:r>
      <w:proofErr w:type="spellEnd"/>
      <w:r w:rsidRPr="001E0DF1">
        <w:rPr>
          <w:rFonts w:eastAsiaTheme="minorHAnsi"/>
          <w:sz w:val="22"/>
          <w:szCs w:val="22"/>
          <w:lang w:eastAsia="en-US"/>
        </w:rPr>
        <w:t xml:space="preserve">) ja TGE (ingl </w:t>
      </w:r>
      <w:proofErr w:type="spellStart"/>
      <w:r w:rsidRPr="001E0DF1">
        <w:rPr>
          <w:rFonts w:eastAsiaTheme="minorHAnsi"/>
          <w:i/>
          <w:sz w:val="22"/>
          <w:szCs w:val="22"/>
          <w:lang w:eastAsia="en-US"/>
        </w:rPr>
        <w:t>token</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generation</w:t>
      </w:r>
      <w:proofErr w:type="spellEnd"/>
      <w:r w:rsidRPr="001E0DF1">
        <w:rPr>
          <w:rFonts w:eastAsiaTheme="minorHAnsi"/>
          <w:i/>
          <w:sz w:val="22"/>
          <w:szCs w:val="22"/>
          <w:lang w:eastAsia="en-US"/>
        </w:rPr>
        <w:t xml:space="preserve"> </w:t>
      </w:r>
      <w:proofErr w:type="spellStart"/>
      <w:r w:rsidRPr="001E0DF1">
        <w:rPr>
          <w:rFonts w:eastAsiaTheme="minorHAnsi"/>
          <w:i/>
          <w:sz w:val="22"/>
          <w:szCs w:val="22"/>
          <w:lang w:eastAsia="en-US"/>
        </w:rPr>
        <w:t>event</w:t>
      </w:r>
      <w:proofErr w:type="spellEnd"/>
      <w:r w:rsidRPr="001E0DF1">
        <w:rPr>
          <w:rFonts w:eastAsiaTheme="minorHAnsi"/>
          <w:sz w:val="22"/>
          <w:szCs w:val="22"/>
          <w:lang w:eastAsia="en-US"/>
        </w:rPr>
        <w:t xml:space="preserve">). Sisu mõttes võib olla tegemist </w:t>
      </w:r>
      <w:r>
        <w:rPr>
          <w:rFonts w:eastAsiaTheme="minorHAnsi"/>
          <w:sz w:val="22"/>
          <w:szCs w:val="22"/>
          <w:lang w:eastAsia="en-US"/>
        </w:rPr>
        <w:t xml:space="preserve">väärtpaberite emiteerimisele </w:t>
      </w:r>
      <w:r w:rsidRPr="001E0DF1">
        <w:rPr>
          <w:rFonts w:eastAsiaTheme="minorHAnsi"/>
          <w:sz w:val="22"/>
          <w:szCs w:val="22"/>
          <w:lang w:eastAsia="en-US"/>
        </w:rPr>
        <w:t>üsna sarnase protsessiga</w:t>
      </w:r>
      <w:r>
        <w:rPr>
          <w:rFonts w:eastAsiaTheme="minorHAnsi"/>
          <w:sz w:val="22"/>
          <w:szCs w:val="22"/>
          <w:lang w:eastAsia="en-US"/>
        </w:rPr>
        <w:t>.</w:t>
      </w:r>
      <w:r w:rsidRPr="001E0DF1">
        <w:rPr>
          <w:rFonts w:eastAsiaTheme="minorHAnsi"/>
          <w:sz w:val="22"/>
          <w:szCs w:val="22"/>
          <w:lang w:eastAsia="en-US"/>
        </w:rPr>
        <w:t xml:space="preserve"> Praktikas koostab ja avalikustab </w:t>
      </w:r>
      <w:proofErr w:type="spellStart"/>
      <w:r w:rsidRPr="001E0DF1">
        <w:rPr>
          <w:rFonts w:eastAsiaTheme="minorHAnsi"/>
          <w:sz w:val="22"/>
          <w:szCs w:val="22"/>
          <w:lang w:eastAsia="en-US"/>
        </w:rPr>
        <w:t>investeerimistokeni</w:t>
      </w:r>
      <w:proofErr w:type="spellEnd"/>
      <w:r w:rsidRPr="001E0DF1">
        <w:rPr>
          <w:rFonts w:eastAsiaTheme="minorHAnsi"/>
          <w:sz w:val="22"/>
          <w:szCs w:val="22"/>
          <w:lang w:eastAsia="en-US"/>
        </w:rPr>
        <w:t xml:space="preserve"> emitent oma projekti kohta </w:t>
      </w:r>
      <w:r>
        <w:rPr>
          <w:rFonts w:eastAsiaTheme="minorHAnsi"/>
          <w:sz w:val="22"/>
          <w:szCs w:val="22"/>
          <w:lang w:eastAsia="en-US"/>
        </w:rPr>
        <w:t xml:space="preserve">teabedokumendi (ingl </w:t>
      </w:r>
      <w:proofErr w:type="spellStart"/>
      <w:r w:rsidRPr="006136C9">
        <w:rPr>
          <w:rFonts w:eastAsiaTheme="minorHAnsi"/>
          <w:i/>
          <w:sz w:val="22"/>
          <w:szCs w:val="22"/>
          <w:lang w:eastAsia="en-US"/>
        </w:rPr>
        <w:t>white</w:t>
      </w:r>
      <w:proofErr w:type="spellEnd"/>
      <w:r w:rsidRPr="006136C9">
        <w:rPr>
          <w:rFonts w:eastAsiaTheme="minorHAnsi"/>
          <w:i/>
          <w:sz w:val="22"/>
          <w:szCs w:val="22"/>
          <w:lang w:eastAsia="en-US"/>
        </w:rPr>
        <w:t xml:space="preserve"> </w:t>
      </w:r>
      <w:proofErr w:type="spellStart"/>
      <w:r w:rsidRPr="006136C9">
        <w:rPr>
          <w:rFonts w:eastAsiaTheme="minorHAnsi"/>
          <w:i/>
          <w:sz w:val="22"/>
          <w:szCs w:val="22"/>
          <w:lang w:eastAsia="en-US"/>
        </w:rPr>
        <w:t>paper</w:t>
      </w:r>
      <w:proofErr w:type="spellEnd"/>
      <w:r>
        <w:rPr>
          <w:rFonts w:eastAsiaTheme="minorHAnsi"/>
          <w:sz w:val="22"/>
          <w:szCs w:val="22"/>
          <w:lang w:eastAsia="en-US"/>
        </w:rPr>
        <w:t>)</w:t>
      </w:r>
      <w:r w:rsidRPr="001E0DF1">
        <w:rPr>
          <w:rFonts w:eastAsiaTheme="minorHAnsi"/>
          <w:sz w:val="22"/>
          <w:szCs w:val="22"/>
          <w:lang w:eastAsia="en-US"/>
        </w:rPr>
        <w:t xml:space="preserve">, mille sisule </w:t>
      </w:r>
      <w:r>
        <w:rPr>
          <w:rFonts w:eastAsiaTheme="minorHAnsi"/>
          <w:sz w:val="22"/>
          <w:szCs w:val="22"/>
          <w:lang w:eastAsia="en-US"/>
        </w:rPr>
        <w:t xml:space="preserve">tüüpiliselt </w:t>
      </w:r>
      <w:r w:rsidRPr="001E0DF1">
        <w:rPr>
          <w:rFonts w:eastAsiaTheme="minorHAnsi"/>
          <w:sz w:val="22"/>
          <w:szCs w:val="22"/>
          <w:lang w:eastAsia="en-US"/>
        </w:rPr>
        <w:t xml:space="preserve">ei ole regulatsioonidega kindlaks määratud nõudeid </w:t>
      </w:r>
      <w:r>
        <w:rPr>
          <w:rFonts w:eastAsiaTheme="minorHAnsi"/>
          <w:sz w:val="22"/>
          <w:szCs w:val="22"/>
          <w:lang w:eastAsia="en-US"/>
        </w:rPr>
        <w:t>ja</w:t>
      </w:r>
      <w:r w:rsidRPr="001E0DF1">
        <w:rPr>
          <w:rFonts w:eastAsiaTheme="minorHAnsi"/>
          <w:sz w:val="22"/>
          <w:szCs w:val="22"/>
          <w:lang w:eastAsia="en-US"/>
        </w:rPr>
        <w:t xml:space="preserve"> millele kohaldub võlaõigusseaduses sätestatud lepingueelsete läbirääkimiste regulatsioon. Lisaks teeb </w:t>
      </w:r>
      <w:proofErr w:type="spellStart"/>
      <w:r w:rsidRPr="001E0DF1">
        <w:rPr>
          <w:rFonts w:eastAsiaTheme="minorHAnsi"/>
          <w:sz w:val="22"/>
          <w:szCs w:val="22"/>
          <w:lang w:eastAsia="en-US"/>
        </w:rPr>
        <w:t>väärtpaberitokeni</w:t>
      </w:r>
      <w:proofErr w:type="spellEnd"/>
      <w:r w:rsidRPr="001E0DF1">
        <w:rPr>
          <w:rFonts w:eastAsiaTheme="minorHAnsi"/>
          <w:sz w:val="22"/>
          <w:szCs w:val="22"/>
          <w:lang w:eastAsia="en-US"/>
        </w:rPr>
        <w:t xml:space="preserve"> emitent tavaliselt kättesaadavaks müügilepingu (</w:t>
      </w:r>
      <w:proofErr w:type="spellStart"/>
      <w:r w:rsidRPr="001E0DF1">
        <w:rPr>
          <w:rFonts w:eastAsiaTheme="minorHAnsi"/>
          <w:sz w:val="22"/>
          <w:szCs w:val="22"/>
          <w:lang w:eastAsia="en-US"/>
        </w:rPr>
        <w:t>tokenite</w:t>
      </w:r>
      <w:proofErr w:type="spellEnd"/>
      <w:r w:rsidRPr="001E0DF1">
        <w:rPr>
          <w:rFonts w:eastAsiaTheme="minorHAnsi"/>
          <w:sz w:val="22"/>
          <w:szCs w:val="22"/>
          <w:lang w:eastAsia="en-US"/>
        </w:rPr>
        <w:t xml:space="preserve"> puhul nimetatakse müügilepingut inglise keeles </w:t>
      </w:r>
      <w:proofErr w:type="spellStart"/>
      <w:r w:rsidRPr="006136C9">
        <w:rPr>
          <w:rFonts w:eastAsiaTheme="minorHAnsi"/>
          <w:i/>
          <w:sz w:val="22"/>
          <w:szCs w:val="22"/>
          <w:lang w:eastAsia="en-US"/>
        </w:rPr>
        <w:t>token</w:t>
      </w:r>
      <w:proofErr w:type="spellEnd"/>
      <w:r w:rsidRPr="006136C9">
        <w:rPr>
          <w:rFonts w:eastAsiaTheme="minorHAnsi"/>
          <w:i/>
          <w:sz w:val="22"/>
          <w:szCs w:val="22"/>
          <w:lang w:eastAsia="en-US"/>
        </w:rPr>
        <w:t xml:space="preserve"> sale </w:t>
      </w:r>
      <w:proofErr w:type="spellStart"/>
      <w:r w:rsidRPr="006136C9">
        <w:rPr>
          <w:rFonts w:eastAsiaTheme="minorHAnsi"/>
          <w:i/>
          <w:sz w:val="22"/>
          <w:szCs w:val="22"/>
          <w:lang w:eastAsia="en-US"/>
        </w:rPr>
        <w:t>contract</w:t>
      </w:r>
      <w:proofErr w:type="spellEnd"/>
      <w:r w:rsidRPr="001E0DF1">
        <w:rPr>
          <w:rFonts w:eastAsiaTheme="minorHAnsi"/>
          <w:sz w:val="22"/>
          <w:szCs w:val="22"/>
          <w:lang w:eastAsia="en-US"/>
        </w:rPr>
        <w:t xml:space="preserve">-iks), mida käsitatakse võlaõigusliku kokkuleppena. </w:t>
      </w:r>
    </w:p>
    <w:p w14:paraId="5C5FA1A7" w14:textId="77777777" w:rsidR="005508E5" w:rsidRPr="001E0DF1" w:rsidRDefault="005508E5" w:rsidP="005508E5">
      <w:pPr>
        <w:spacing w:before="0"/>
        <w:rPr>
          <w:rFonts w:eastAsiaTheme="minorHAnsi"/>
          <w:sz w:val="22"/>
          <w:szCs w:val="22"/>
          <w:lang w:eastAsia="en-US"/>
        </w:rPr>
      </w:pPr>
    </w:p>
    <w:p w14:paraId="5BC96DFD" w14:textId="77777777" w:rsidR="005508E5" w:rsidRDefault="005508E5" w:rsidP="005508E5">
      <w:pPr>
        <w:spacing w:before="0"/>
        <w:rPr>
          <w:rFonts w:eastAsiaTheme="minorHAnsi"/>
          <w:sz w:val="22"/>
          <w:szCs w:val="22"/>
          <w:lang w:eastAsia="en-US"/>
        </w:rPr>
      </w:pPr>
      <w:r w:rsidRPr="001E0DF1">
        <w:rPr>
          <w:rFonts w:eastAsiaTheme="minorHAnsi"/>
          <w:sz w:val="22"/>
          <w:szCs w:val="22"/>
          <w:lang w:eastAsia="en-US"/>
        </w:rPr>
        <w:t>Järgmisel joonisel on kajast</w:t>
      </w:r>
      <w:r>
        <w:rPr>
          <w:rFonts w:eastAsiaTheme="minorHAnsi"/>
          <w:sz w:val="22"/>
          <w:szCs w:val="22"/>
          <w:lang w:eastAsia="en-US"/>
        </w:rPr>
        <w:t>atud</w:t>
      </w:r>
      <w:r w:rsidRPr="001E0DF1">
        <w:rPr>
          <w:rFonts w:eastAsiaTheme="minorHAnsi"/>
          <w:sz w:val="22"/>
          <w:szCs w:val="22"/>
          <w:lang w:eastAsia="en-US"/>
        </w:rPr>
        <w:t xml:space="preserve"> klassikalise IPO ja ICO võrdlust, mis puudutab eelkõige väärtpaberite </w:t>
      </w:r>
      <w:r>
        <w:rPr>
          <w:rFonts w:eastAsiaTheme="minorHAnsi"/>
          <w:sz w:val="22"/>
          <w:szCs w:val="22"/>
          <w:lang w:eastAsia="en-US"/>
        </w:rPr>
        <w:t>ja</w:t>
      </w:r>
      <w:r w:rsidRPr="001E0DF1">
        <w:rPr>
          <w:rFonts w:eastAsiaTheme="minorHAnsi"/>
          <w:sz w:val="22"/>
          <w:szCs w:val="22"/>
          <w:lang w:eastAsia="en-US"/>
        </w:rPr>
        <w:t xml:space="preserve"> </w:t>
      </w:r>
      <w:proofErr w:type="spellStart"/>
      <w:r w:rsidRPr="001E0DF1">
        <w:rPr>
          <w:rFonts w:eastAsiaTheme="minorHAnsi"/>
          <w:sz w:val="22"/>
          <w:szCs w:val="22"/>
          <w:lang w:eastAsia="en-US"/>
        </w:rPr>
        <w:t>tokenite</w:t>
      </w:r>
      <w:proofErr w:type="spellEnd"/>
      <w:r w:rsidRPr="001E0DF1">
        <w:rPr>
          <w:rFonts w:eastAsiaTheme="minorHAnsi"/>
          <w:sz w:val="22"/>
          <w:szCs w:val="22"/>
          <w:lang w:eastAsia="en-US"/>
        </w:rPr>
        <w:t xml:space="preserve"> pakkumist</w:t>
      </w:r>
      <w:r>
        <w:rPr>
          <w:rFonts w:eastAsiaTheme="minorHAnsi"/>
          <w:sz w:val="22"/>
          <w:szCs w:val="22"/>
          <w:lang w:eastAsia="en-US"/>
        </w:rPr>
        <w:t xml:space="preserve">, </w:t>
      </w:r>
      <w:r w:rsidRPr="001E0DF1">
        <w:rPr>
          <w:rFonts w:eastAsiaTheme="minorHAnsi"/>
          <w:sz w:val="22"/>
          <w:szCs w:val="22"/>
          <w:lang w:eastAsia="en-US"/>
        </w:rPr>
        <w:t xml:space="preserve">turustamist </w:t>
      </w:r>
      <w:r>
        <w:rPr>
          <w:rFonts w:eastAsiaTheme="minorHAnsi"/>
          <w:sz w:val="22"/>
          <w:szCs w:val="22"/>
          <w:lang w:eastAsia="en-US"/>
        </w:rPr>
        <w:t>ning</w:t>
      </w:r>
      <w:r w:rsidRPr="001E0DF1">
        <w:rPr>
          <w:rFonts w:eastAsiaTheme="minorHAnsi"/>
          <w:sz w:val="22"/>
          <w:szCs w:val="22"/>
          <w:lang w:eastAsia="en-US"/>
        </w:rPr>
        <w:t xml:space="preserve"> </w:t>
      </w:r>
      <w:r>
        <w:rPr>
          <w:rFonts w:eastAsiaTheme="minorHAnsi"/>
          <w:sz w:val="22"/>
          <w:szCs w:val="22"/>
          <w:lang w:eastAsia="en-US"/>
        </w:rPr>
        <w:t xml:space="preserve">järelturgu ehk </w:t>
      </w:r>
      <w:r w:rsidRPr="001E0DF1">
        <w:rPr>
          <w:rFonts w:eastAsiaTheme="minorHAnsi"/>
          <w:sz w:val="22"/>
          <w:szCs w:val="22"/>
          <w:lang w:eastAsia="en-US"/>
        </w:rPr>
        <w:t xml:space="preserve">hiljem kauplemisele võtmist. </w:t>
      </w:r>
    </w:p>
    <w:p w14:paraId="598D7972" w14:textId="77777777" w:rsidR="005508E5" w:rsidRDefault="005508E5" w:rsidP="005508E5">
      <w:pPr>
        <w:spacing w:before="0"/>
        <w:rPr>
          <w:rFonts w:eastAsiaTheme="minorHAnsi"/>
          <w:sz w:val="22"/>
          <w:szCs w:val="22"/>
          <w:lang w:eastAsia="en-US"/>
        </w:rPr>
      </w:pPr>
    </w:p>
    <w:p w14:paraId="2378F1E4" w14:textId="77777777" w:rsidR="005508E5" w:rsidRPr="006016E0" w:rsidRDefault="005508E5" w:rsidP="005508E5">
      <w:pPr>
        <w:spacing w:before="0"/>
        <w:rPr>
          <w:rFonts w:eastAsiaTheme="minorHAnsi"/>
          <w:b/>
          <w:sz w:val="20"/>
          <w:szCs w:val="20"/>
          <w:lang w:eastAsia="en-US"/>
        </w:rPr>
      </w:pPr>
      <w:r w:rsidRPr="006016E0">
        <w:rPr>
          <w:rFonts w:eastAsiaTheme="minorHAnsi"/>
          <w:b/>
          <w:sz w:val="20"/>
          <w:szCs w:val="20"/>
          <w:lang w:eastAsia="en-US"/>
        </w:rPr>
        <w:lastRenderedPageBreak/>
        <w:t xml:space="preserve">Joonis </w:t>
      </w:r>
      <w:r>
        <w:rPr>
          <w:rFonts w:eastAsiaTheme="minorHAnsi"/>
          <w:b/>
          <w:sz w:val="20"/>
          <w:szCs w:val="20"/>
          <w:lang w:eastAsia="en-US"/>
        </w:rPr>
        <w:t>1</w:t>
      </w:r>
      <w:r w:rsidRPr="006016E0">
        <w:rPr>
          <w:rFonts w:eastAsiaTheme="minorHAnsi"/>
          <w:b/>
          <w:sz w:val="20"/>
          <w:szCs w:val="20"/>
          <w:lang w:eastAsia="en-US"/>
        </w:rPr>
        <w:t>. IPO ja ICO võrdlus</w:t>
      </w:r>
      <w:r w:rsidRPr="00A3112A">
        <w:rPr>
          <w:rFonts w:eastAsiaTheme="minorHAnsi"/>
          <w:sz w:val="20"/>
          <w:szCs w:val="20"/>
          <w:vertAlign w:val="superscript"/>
          <w:lang w:eastAsia="en-US"/>
        </w:rPr>
        <w:footnoteReference w:id="15"/>
      </w:r>
    </w:p>
    <w:p w14:paraId="71E48BBF" w14:textId="77777777" w:rsidR="005508E5" w:rsidRDefault="005508E5" w:rsidP="005508E5">
      <w:pPr>
        <w:spacing w:before="0"/>
        <w:rPr>
          <w:rFonts w:eastAsiaTheme="minorHAnsi"/>
          <w:b/>
          <w:sz w:val="22"/>
          <w:szCs w:val="22"/>
          <w:lang w:eastAsia="en-US"/>
        </w:rPr>
      </w:pPr>
      <w:r>
        <w:rPr>
          <w:noProof/>
        </w:rPr>
        <w:drawing>
          <wp:inline distT="0" distB="0" distL="0" distR="0" wp14:anchorId="173A88DD" wp14:editId="3BA14719">
            <wp:extent cx="5605670" cy="1836752"/>
            <wp:effectExtent l="0" t="0" r="0" b="0"/>
            <wp:docPr id="16" name="Pilt 17" descr="ipo ico2"/>
            <wp:cNvGraphicFramePr/>
            <a:graphic xmlns:a="http://schemas.openxmlformats.org/drawingml/2006/main">
              <a:graphicData uri="http://schemas.openxmlformats.org/drawingml/2006/picture">
                <pic:pic xmlns:pic="http://schemas.openxmlformats.org/drawingml/2006/picture">
                  <pic:nvPicPr>
                    <pic:cNvPr id="17" name="Pilt 17" descr="ipo ico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8017" cy="1844074"/>
                    </a:xfrm>
                    <a:prstGeom prst="rect">
                      <a:avLst/>
                    </a:prstGeom>
                    <a:noFill/>
                    <a:ln>
                      <a:noFill/>
                    </a:ln>
                  </pic:spPr>
                </pic:pic>
              </a:graphicData>
            </a:graphic>
          </wp:inline>
        </w:drawing>
      </w:r>
    </w:p>
    <w:p w14:paraId="67D20902" w14:textId="77777777" w:rsidR="005508E5" w:rsidRDefault="005508E5" w:rsidP="005508E5">
      <w:pPr>
        <w:spacing w:before="0"/>
        <w:rPr>
          <w:rFonts w:eastAsiaTheme="minorHAnsi"/>
          <w:sz w:val="22"/>
          <w:szCs w:val="22"/>
          <w:lang w:eastAsia="en-US"/>
        </w:rPr>
      </w:pPr>
    </w:p>
    <w:p w14:paraId="7FB07DD8" w14:textId="77777777" w:rsidR="005508E5" w:rsidRDefault="005508E5" w:rsidP="005508E5">
      <w:pPr>
        <w:spacing w:before="0"/>
        <w:rPr>
          <w:rFonts w:eastAsiaTheme="minorHAnsi"/>
          <w:sz w:val="22"/>
          <w:szCs w:val="22"/>
          <w:lang w:eastAsia="en-US"/>
        </w:rPr>
      </w:pPr>
      <w:r>
        <w:rPr>
          <w:rFonts w:eastAsiaTheme="minorHAnsi"/>
          <w:sz w:val="22"/>
          <w:szCs w:val="22"/>
          <w:lang w:eastAsia="en-US"/>
        </w:rPr>
        <w:t xml:space="preserve">Eeltoodu põhjal võib tekkida küsimus, kas just tehnoloogilised eripärad (plokiahel vms) on need, mis võimaldavad ICO-de puhul ajaliselt vastavaid raha kaasamise pakkumisi kiiremini läbi viia kui klassikalised </w:t>
      </w:r>
      <w:proofErr w:type="spellStart"/>
      <w:r>
        <w:rPr>
          <w:rFonts w:eastAsiaTheme="minorHAnsi"/>
          <w:sz w:val="22"/>
          <w:szCs w:val="22"/>
          <w:lang w:eastAsia="en-US"/>
        </w:rPr>
        <w:t>IPO-d</w:t>
      </w:r>
      <w:proofErr w:type="spellEnd"/>
      <w:r>
        <w:rPr>
          <w:rFonts w:eastAsiaTheme="minorHAnsi"/>
          <w:sz w:val="22"/>
          <w:szCs w:val="22"/>
          <w:lang w:eastAsia="en-US"/>
        </w:rPr>
        <w:t xml:space="preserve">? Mingil määral võib see kindlasti tehnoloogiast sõltuda, kuid pigem sõltub see täna ikkagi kehtivast regulatsioonist ja järelevalvekorraldusest, mis näevad ette, millised etapid ja </w:t>
      </w:r>
      <w:proofErr w:type="spellStart"/>
      <w:r>
        <w:rPr>
          <w:rFonts w:eastAsiaTheme="minorHAnsi"/>
          <w:sz w:val="22"/>
          <w:szCs w:val="22"/>
          <w:lang w:eastAsia="en-US"/>
        </w:rPr>
        <w:t>protsetuurid</w:t>
      </w:r>
      <w:proofErr w:type="spellEnd"/>
      <w:r>
        <w:rPr>
          <w:rFonts w:eastAsiaTheme="minorHAnsi"/>
          <w:sz w:val="22"/>
          <w:szCs w:val="22"/>
          <w:lang w:eastAsia="en-US"/>
        </w:rPr>
        <w:t xml:space="preserve"> on vaja läbida kaasamaks vahendeid erinevate investeerimisprojektide tarvis (nt kas on vajalik saada eelnev järelevalveasutuse heakskiit jms). Samas olemuslikult (majanduslikust käsitlusest) ei ole tegelikult vahet, mis viisil vahendeid investorite käest kaasatakse – pigem on uued tehnoloogiad teinud vahendite kaasamise viisid investorite jaoks mugavaks ja eelduslikult ka odavamaks (viinud tehingukulud alla). Samas tehingukulu sõltub jällegi üksjagu kehtiva regulatsiooni intensiivsusest või sügavusest (nt kas rakenduvad ka järelevalvetasud, kapitalinõuded, muud tegevusnõuded jne).  </w:t>
      </w:r>
    </w:p>
    <w:p w14:paraId="30D8CBCB" w14:textId="77777777" w:rsidR="005508E5" w:rsidRDefault="005508E5" w:rsidP="005508E5">
      <w:pPr>
        <w:spacing w:before="0"/>
        <w:rPr>
          <w:rFonts w:eastAsiaTheme="minorHAnsi"/>
          <w:b/>
          <w:sz w:val="22"/>
          <w:szCs w:val="22"/>
          <w:lang w:eastAsia="en-US"/>
        </w:rPr>
      </w:pPr>
    </w:p>
    <w:p w14:paraId="080EFC32" w14:textId="77777777" w:rsidR="005508E5" w:rsidRPr="00B90948" w:rsidRDefault="005508E5" w:rsidP="005508E5">
      <w:pPr>
        <w:spacing w:before="0"/>
        <w:rPr>
          <w:rFonts w:eastAsiaTheme="minorHAnsi"/>
          <w:sz w:val="22"/>
          <w:szCs w:val="22"/>
          <w:lang w:eastAsia="en-US"/>
        </w:rPr>
      </w:pPr>
      <w:r w:rsidRPr="00B90948">
        <w:rPr>
          <w:rFonts w:eastAsiaTheme="minorHAnsi"/>
          <w:sz w:val="22"/>
          <w:szCs w:val="22"/>
          <w:lang w:eastAsia="en-US"/>
        </w:rPr>
        <w:t xml:space="preserve">Teiseks, </w:t>
      </w:r>
      <w:proofErr w:type="spellStart"/>
      <w:r w:rsidRPr="00B90948">
        <w:rPr>
          <w:rFonts w:eastAsiaTheme="minorHAnsi"/>
          <w:sz w:val="22"/>
          <w:szCs w:val="22"/>
          <w:lang w:eastAsia="en-US"/>
        </w:rPr>
        <w:t>MiFID</w:t>
      </w:r>
      <w:proofErr w:type="spellEnd"/>
      <w:r w:rsidRPr="00B90948">
        <w:rPr>
          <w:rFonts w:eastAsiaTheme="minorHAnsi"/>
          <w:sz w:val="22"/>
          <w:szCs w:val="22"/>
          <w:lang w:eastAsia="en-US"/>
        </w:rPr>
        <w:t xml:space="preserve"> väärtpaberitele on nähtud ette ka vastav registreerimise ja nende väärtpaberite hoidmise režiim (vastavalt </w:t>
      </w:r>
      <w:proofErr w:type="spellStart"/>
      <w:r w:rsidRPr="00B90948">
        <w:rPr>
          <w:rFonts w:eastAsiaTheme="minorHAnsi"/>
          <w:sz w:val="22"/>
          <w:szCs w:val="22"/>
          <w:lang w:eastAsia="en-US"/>
        </w:rPr>
        <w:t>keskdepositooriumite</w:t>
      </w:r>
      <w:proofErr w:type="spellEnd"/>
      <w:r w:rsidRPr="00B90948">
        <w:rPr>
          <w:rFonts w:eastAsiaTheme="minorHAnsi"/>
          <w:sz w:val="22"/>
          <w:szCs w:val="22"/>
          <w:lang w:eastAsia="en-US"/>
        </w:rPr>
        <w:t xml:space="preserve"> määrusele ehk CSDR-</w:t>
      </w:r>
      <w:proofErr w:type="spellStart"/>
      <w:r w:rsidRPr="00B90948">
        <w:rPr>
          <w:rFonts w:eastAsiaTheme="minorHAnsi"/>
          <w:sz w:val="22"/>
          <w:szCs w:val="22"/>
          <w:lang w:eastAsia="en-US"/>
        </w:rPr>
        <w:t>le</w:t>
      </w:r>
      <w:proofErr w:type="spellEnd"/>
      <w:r w:rsidRPr="0034053D">
        <w:rPr>
          <w:rFonts w:eastAsiaTheme="minorHAnsi"/>
          <w:sz w:val="22"/>
          <w:szCs w:val="22"/>
          <w:vertAlign w:val="superscript"/>
          <w:lang w:eastAsia="en-US"/>
        </w:rPr>
        <w:footnoteReference w:id="16"/>
      </w:r>
      <w:r w:rsidRPr="00B90948">
        <w:rPr>
          <w:rFonts w:eastAsiaTheme="minorHAnsi"/>
          <w:sz w:val="22"/>
          <w:szCs w:val="22"/>
          <w:lang w:eastAsia="en-US"/>
        </w:rPr>
        <w:t xml:space="preserve">, mida täpsustab Eesti õiguses eelkõige EVKS). EVKS kohaselt tuleb registreerida avalikult pakutavad väärtpaberid. </w:t>
      </w:r>
    </w:p>
    <w:p w14:paraId="41EDCEA6" w14:textId="77777777" w:rsidR="005508E5" w:rsidRPr="00B90948" w:rsidRDefault="005508E5" w:rsidP="005508E5">
      <w:pPr>
        <w:spacing w:before="0"/>
        <w:rPr>
          <w:rFonts w:eastAsiaTheme="minorHAnsi"/>
          <w:sz w:val="22"/>
          <w:szCs w:val="22"/>
          <w:lang w:eastAsia="en-US"/>
        </w:rPr>
      </w:pPr>
    </w:p>
    <w:p w14:paraId="5B1D90E4" w14:textId="77777777" w:rsidR="005508E5" w:rsidRDefault="005508E5" w:rsidP="005508E5">
      <w:pPr>
        <w:spacing w:before="0"/>
        <w:rPr>
          <w:rFonts w:eastAsiaTheme="minorHAnsi"/>
          <w:sz w:val="22"/>
          <w:szCs w:val="22"/>
          <w:lang w:eastAsia="en-US"/>
        </w:rPr>
      </w:pPr>
      <w:proofErr w:type="spellStart"/>
      <w:r w:rsidRPr="00B90948">
        <w:rPr>
          <w:rFonts w:eastAsiaTheme="minorHAnsi"/>
          <w:sz w:val="22"/>
          <w:szCs w:val="22"/>
          <w:lang w:eastAsia="en-US"/>
        </w:rPr>
        <w:t>MiFID</w:t>
      </w:r>
      <w:proofErr w:type="spellEnd"/>
      <w:r w:rsidRPr="00B90948">
        <w:rPr>
          <w:rFonts w:eastAsiaTheme="minorHAnsi"/>
          <w:sz w:val="22"/>
          <w:szCs w:val="22"/>
          <w:lang w:eastAsia="en-US"/>
        </w:rPr>
        <w:t xml:space="preserve"> väärtpaberite </w:t>
      </w:r>
      <w:r>
        <w:rPr>
          <w:rFonts w:eastAsiaTheme="minorHAnsi"/>
          <w:sz w:val="22"/>
          <w:szCs w:val="22"/>
          <w:lang w:eastAsia="en-US"/>
        </w:rPr>
        <w:t>registripidamist</w:t>
      </w:r>
      <w:r w:rsidRPr="00B90948">
        <w:rPr>
          <w:rFonts w:eastAsiaTheme="minorHAnsi"/>
          <w:sz w:val="22"/>
          <w:szCs w:val="22"/>
          <w:lang w:eastAsia="en-US"/>
        </w:rPr>
        <w:t xml:space="preserve"> illustreerib järgmine joonis. </w:t>
      </w:r>
      <w:r>
        <w:rPr>
          <w:rFonts w:eastAsiaTheme="minorHAnsi"/>
          <w:sz w:val="22"/>
          <w:szCs w:val="22"/>
          <w:lang w:eastAsia="en-US"/>
        </w:rPr>
        <w:t>Sellelt</w:t>
      </w:r>
      <w:r w:rsidRPr="00B90948">
        <w:rPr>
          <w:rFonts w:eastAsiaTheme="minorHAnsi"/>
          <w:sz w:val="22"/>
          <w:szCs w:val="22"/>
          <w:lang w:eastAsia="en-US"/>
        </w:rPr>
        <w:t xml:space="preserve"> on näha, et registripidamise korraldusse on hõlmatud mitmed erinevad osapooled ja vastav ahel, mille kaudu emitendi väärtpaber jõuab lõppinvestorini</w:t>
      </w:r>
      <w:r>
        <w:rPr>
          <w:rFonts w:eastAsiaTheme="minorHAnsi"/>
          <w:sz w:val="22"/>
          <w:szCs w:val="22"/>
          <w:lang w:eastAsia="en-US"/>
        </w:rPr>
        <w:t>,</w:t>
      </w:r>
      <w:r w:rsidRPr="00B90948">
        <w:rPr>
          <w:rFonts w:eastAsiaTheme="minorHAnsi"/>
          <w:sz w:val="22"/>
          <w:szCs w:val="22"/>
          <w:lang w:eastAsia="en-US"/>
        </w:rPr>
        <w:t xml:space="preserve"> võib olla päris pikk (eelkõige juhul</w:t>
      </w:r>
      <w:r>
        <w:rPr>
          <w:rFonts w:eastAsiaTheme="minorHAnsi"/>
          <w:sz w:val="22"/>
          <w:szCs w:val="22"/>
          <w:lang w:eastAsia="en-US"/>
        </w:rPr>
        <w:t>,</w:t>
      </w:r>
      <w:r w:rsidRPr="00B90948">
        <w:rPr>
          <w:rFonts w:eastAsiaTheme="minorHAnsi"/>
          <w:sz w:val="22"/>
          <w:szCs w:val="22"/>
          <w:lang w:eastAsia="en-US"/>
        </w:rPr>
        <w:t xml:space="preserve"> kui emitent ja investor on erinevatest riikidest).</w:t>
      </w:r>
    </w:p>
    <w:p w14:paraId="184C6BD3" w14:textId="77777777" w:rsidR="005508E5" w:rsidRDefault="005508E5" w:rsidP="005508E5">
      <w:pPr>
        <w:spacing w:before="0"/>
        <w:rPr>
          <w:rFonts w:eastAsiaTheme="minorHAnsi"/>
          <w:sz w:val="22"/>
          <w:szCs w:val="22"/>
          <w:lang w:eastAsia="en-US"/>
        </w:rPr>
      </w:pPr>
    </w:p>
    <w:p w14:paraId="46D12DD5" w14:textId="77777777" w:rsidR="005508E5" w:rsidRPr="006016E0" w:rsidRDefault="005508E5" w:rsidP="005508E5">
      <w:pPr>
        <w:spacing w:before="0"/>
        <w:rPr>
          <w:rFonts w:eastAsiaTheme="minorHAnsi"/>
          <w:b/>
          <w:sz w:val="20"/>
          <w:szCs w:val="20"/>
          <w:lang w:eastAsia="en-US"/>
        </w:rPr>
      </w:pPr>
      <w:r w:rsidRPr="006016E0">
        <w:rPr>
          <w:rFonts w:eastAsiaTheme="minorHAnsi"/>
          <w:b/>
          <w:sz w:val="20"/>
          <w:szCs w:val="20"/>
          <w:lang w:eastAsia="en-US"/>
        </w:rPr>
        <w:t>Joonis 2. „Klassikaliste“ väärtpaberite (</w:t>
      </w:r>
      <w:proofErr w:type="spellStart"/>
      <w:r w:rsidRPr="006016E0">
        <w:rPr>
          <w:rFonts w:eastAsiaTheme="minorHAnsi"/>
          <w:b/>
          <w:sz w:val="20"/>
          <w:szCs w:val="20"/>
          <w:lang w:eastAsia="en-US"/>
        </w:rPr>
        <w:t>MiFID</w:t>
      </w:r>
      <w:proofErr w:type="spellEnd"/>
      <w:r w:rsidRPr="006016E0">
        <w:rPr>
          <w:rFonts w:eastAsiaTheme="minorHAnsi"/>
          <w:b/>
          <w:sz w:val="20"/>
          <w:szCs w:val="20"/>
          <w:lang w:eastAsia="en-US"/>
        </w:rPr>
        <w:t xml:space="preserve"> väärtpaberite) registreerimine</w:t>
      </w:r>
      <w:r w:rsidRPr="0034053D">
        <w:rPr>
          <w:rFonts w:eastAsiaTheme="minorHAnsi"/>
          <w:sz w:val="20"/>
          <w:szCs w:val="20"/>
          <w:vertAlign w:val="superscript"/>
          <w:lang w:eastAsia="en-US"/>
        </w:rPr>
        <w:footnoteReference w:id="17"/>
      </w:r>
    </w:p>
    <w:p w14:paraId="61D81659" w14:textId="77777777" w:rsidR="005508E5" w:rsidRDefault="005508E5" w:rsidP="005508E5">
      <w:pPr>
        <w:spacing w:before="0"/>
        <w:rPr>
          <w:rFonts w:eastAsiaTheme="minorHAnsi"/>
          <w:b/>
          <w:sz w:val="22"/>
          <w:szCs w:val="22"/>
          <w:lang w:eastAsia="en-US"/>
        </w:rPr>
      </w:pPr>
    </w:p>
    <w:p w14:paraId="39DE4998" w14:textId="77777777" w:rsidR="005508E5" w:rsidRDefault="005508E5" w:rsidP="005508E5">
      <w:pPr>
        <w:spacing w:before="0"/>
        <w:rPr>
          <w:rFonts w:eastAsiaTheme="minorHAnsi"/>
          <w:b/>
          <w:sz w:val="22"/>
          <w:szCs w:val="22"/>
          <w:lang w:eastAsia="en-US"/>
        </w:rPr>
      </w:pPr>
      <w:r>
        <w:rPr>
          <w:noProof/>
        </w:rPr>
        <w:drawing>
          <wp:inline distT="0" distB="0" distL="0" distR="0" wp14:anchorId="3531687E" wp14:editId="43827E84">
            <wp:extent cx="4579952" cy="2043486"/>
            <wp:effectExtent l="0" t="0" r="0" b="0"/>
            <wp:docPr id="20" name="Pilt 22" descr="ipo"/>
            <wp:cNvGraphicFramePr/>
            <a:graphic xmlns:a="http://schemas.openxmlformats.org/drawingml/2006/main">
              <a:graphicData uri="http://schemas.openxmlformats.org/drawingml/2006/picture">
                <pic:pic xmlns:pic="http://schemas.openxmlformats.org/drawingml/2006/picture">
                  <pic:nvPicPr>
                    <pic:cNvPr id="16" name="Pilt 16" descr="ip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888" cy="2048812"/>
                    </a:xfrm>
                    <a:prstGeom prst="rect">
                      <a:avLst/>
                    </a:prstGeom>
                    <a:noFill/>
                    <a:ln>
                      <a:noFill/>
                    </a:ln>
                  </pic:spPr>
                </pic:pic>
              </a:graphicData>
            </a:graphic>
          </wp:inline>
        </w:drawing>
      </w:r>
    </w:p>
    <w:p w14:paraId="1FBA3053" w14:textId="77777777" w:rsidR="005508E5" w:rsidRDefault="005508E5" w:rsidP="005508E5">
      <w:pPr>
        <w:spacing w:before="0"/>
        <w:rPr>
          <w:rFonts w:eastAsiaTheme="minorHAnsi"/>
          <w:sz w:val="22"/>
          <w:szCs w:val="22"/>
          <w:lang w:eastAsia="en-US"/>
        </w:rPr>
      </w:pPr>
    </w:p>
    <w:p w14:paraId="44DCAD67" w14:textId="451E3F01" w:rsidR="005508E5" w:rsidRDefault="005508E5" w:rsidP="005508E5">
      <w:pPr>
        <w:spacing w:before="0"/>
        <w:rPr>
          <w:rFonts w:eastAsiaTheme="minorHAnsi"/>
          <w:sz w:val="22"/>
          <w:szCs w:val="22"/>
          <w:lang w:eastAsia="en-US"/>
        </w:rPr>
      </w:pPr>
      <w:r w:rsidRPr="00B90948">
        <w:rPr>
          <w:rFonts w:eastAsiaTheme="minorHAnsi"/>
          <w:sz w:val="22"/>
          <w:szCs w:val="22"/>
          <w:lang w:eastAsia="en-US"/>
        </w:rPr>
        <w:lastRenderedPageBreak/>
        <w:t>Mitte-</w:t>
      </w:r>
      <w:proofErr w:type="spellStart"/>
      <w:r w:rsidRPr="00B90948">
        <w:rPr>
          <w:rFonts w:eastAsiaTheme="minorHAnsi"/>
          <w:sz w:val="22"/>
          <w:szCs w:val="22"/>
          <w:lang w:eastAsia="en-US"/>
        </w:rPr>
        <w:t>MiFID</w:t>
      </w:r>
      <w:proofErr w:type="spellEnd"/>
      <w:r w:rsidRPr="00B90948">
        <w:rPr>
          <w:rFonts w:eastAsiaTheme="minorHAnsi"/>
          <w:sz w:val="22"/>
          <w:szCs w:val="22"/>
          <w:lang w:eastAsia="en-US"/>
        </w:rPr>
        <w:t xml:space="preserve"> väärtpaberitele eeltoodud EL õiguse registreerimise nõuded ei kohaldu. Mitte-</w:t>
      </w:r>
      <w:proofErr w:type="spellStart"/>
      <w:r w:rsidRPr="00B90948">
        <w:rPr>
          <w:rFonts w:eastAsiaTheme="minorHAnsi"/>
          <w:sz w:val="22"/>
          <w:szCs w:val="22"/>
          <w:lang w:eastAsia="en-US"/>
        </w:rPr>
        <w:t>MiFID</w:t>
      </w:r>
      <w:proofErr w:type="spellEnd"/>
      <w:r w:rsidRPr="00B90948">
        <w:rPr>
          <w:rFonts w:eastAsiaTheme="minorHAnsi"/>
          <w:sz w:val="22"/>
          <w:szCs w:val="22"/>
          <w:lang w:eastAsia="en-US"/>
        </w:rPr>
        <w:t xml:space="preserve"> väärtpaberid</w:t>
      </w:r>
      <w:r w:rsidRPr="00B90948" w:rsidDel="00BE45DD">
        <w:rPr>
          <w:rFonts w:eastAsiaTheme="minorHAnsi"/>
          <w:sz w:val="22"/>
          <w:szCs w:val="22"/>
          <w:lang w:eastAsia="en-US"/>
        </w:rPr>
        <w:t xml:space="preserve"> </w:t>
      </w:r>
      <w:r>
        <w:rPr>
          <w:rFonts w:eastAsiaTheme="minorHAnsi"/>
          <w:sz w:val="22"/>
          <w:szCs w:val="22"/>
          <w:lang w:eastAsia="en-US"/>
        </w:rPr>
        <w:t>(mis ei ole vabalt võõrandatavad) või muud sarnased instrumendid</w:t>
      </w:r>
      <w:r w:rsidRPr="00B90948">
        <w:rPr>
          <w:rFonts w:eastAsiaTheme="minorHAnsi"/>
          <w:sz w:val="22"/>
          <w:szCs w:val="22"/>
          <w:lang w:eastAsia="en-US"/>
        </w:rPr>
        <w:t xml:space="preserve">, mis </w:t>
      </w:r>
      <w:r>
        <w:rPr>
          <w:rFonts w:eastAsiaTheme="minorHAnsi"/>
          <w:sz w:val="22"/>
          <w:szCs w:val="22"/>
          <w:lang w:eastAsia="en-US"/>
        </w:rPr>
        <w:t>samas kannavad endas investeerimiseesmärki</w:t>
      </w:r>
      <w:r w:rsidRPr="00B90948">
        <w:rPr>
          <w:rFonts w:eastAsiaTheme="minorHAnsi"/>
          <w:sz w:val="22"/>
          <w:szCs w:val="22"/>
          <w:lang w:eastAsia="en-US"/>
        </w:rPr>
        <w:t xml:space="preserve">, </w:t>
      </w:r>
      <w:r w:rsidRPr="00311973">
        <w:rPr>
          <w:rFonts w:eastAsiaTheme="minorHAnsi"/>
          <w:sz w:val="22"/>
          <w:szCs w:val="22"/>
          <w:lang w:eastAsia="en-US"/>
        </w:rPr>
        <w:t>võivad olla kajastatud plokiahelas</w:t>
      </w:r>
      <w:r>
        <w:rPr>
          <w:rFonts w:eastAsiaTheme="minorHAnsi"/>
          <w:sz w:val="22"/>
          <w:szCs w:val="22"/>
          <w:lang w:eastAsia="en-US"/>
        </w:rPr>
        <w:t xml:space="preserve"> (võttes arvesse äriseadustikus sätestatut)</w:t>
      </w:r>
      <w:r w:rsidRPr="00B90948">
        <w:rPr>
          <w:rFonts w:eastAsiaTheme="minorHAnsi"/>
          <w:sz w:val="22"/>
          <w:szCs w:val="22"/>
          <w:lang w:eastAsia="en-US"/>
        </w:rPr>
        <w:t xml:space="preserve">. Järgmisel joonisel on illustreeritud registripidamist läbi plokiahela. </w:t>
      </w:r>
      <w:r>
        <w:rPr>
          <w:rFonts w:eastAsiaTheme="minorHAnsi"/>
          <w:sz w:val="22"/>
          <w:szCs w:val="22"/>
          <w:lang w:eastAsia="en-US"/>
        </w:rPr>
        <w:t>S</w:t>
      </w:r>
      <w:r w:rsidRPr="00B90948">
        <w:rPr>
          <w:rFonts w:eastAsiaTheme="minorHAnsi"/>
          <w:sz w:val="22"/>
          <w:szCs w:val="22"/>
          <w:lang w:eastAsia="en-US"/>
        </w:rPr>
        <w:t>elline korraldus on üksjagu teistsugune kui nn klassikaline väärtpaberite registripidamine (vähem vahendajad, keskset osapoolt ei pruugi olla jne).</w:t>
      </w:r>
    </w:p>
    <w:p w14:paraId="60F52CAC" w14:textId="77777777" w:rsidR="005508E5" w:rsidRDefault="005508E5" w:rsidP="005508E5">
      <w:pPr>
        <w:spacing w:before="0"/>
        <w:rPr>
          <w:rFonts w:eastAsiaTheme="minorHAnsi"/>
          <w:sz w:val="22"/>
          <w:szCs w:val="22"/>
          <w:lang w:eastAsia="en-US"/>
        </w:rPr>
      </w:pPr>
    </w:p>
    <w:p w14:paraId="38BF9DAC" w14:textId="654AB8C3" w:rsidR="005508E5" w:rsidRPr="004036DC" w:rsidRDefault="005508E5" w:rsidP="005508E5">
      <w:pPr>
        <w:spacing w:before="0"/>
        <w:rPr>
          <w:rFonts w:eastAsiaTheme="minorHAnsi"/>
          <w:b/>
          <w:sz w:val="20"/>
          <w:szCs w:val="20"/>
          <w:lang w:eastAsia="en-US"/>
        </w:rPr>
      </w:pPr>
      <w:r w:rsidRPr="004036DC">
        <w:rPr>
          <w:rFonts w:eastAsiaTheme="minorHAnsi"/>
          <w:b/>
          <w:sz w:val="20"/>
          <w:szCs w:val="20"/>
          <w:lang w:eastAsia="en-US"/>
        </w:rPr>
        <w:t xml:space="preserve">Joonis </w:t>
      </w:r>
      <w:r>
        <w:rPr>
          <w:rFonts w:eastAsiaTheme="minorHAnsi"/>
          <w:b/>
          <w:sz w:val="20"/>
          <w:szCs w:val="20"/>
          <w:lang w:eastAsia="en-US"/>
        </w:rPr>
        <w:t>3</w:t>
      </w:r>
      <w:r w:rsidRPr="004036DC">
        <w:rPr>
          <w:rFonts w:eastAsiaTheme="minorHAnsi"/>
          <w:b/>
          <w:sz w:val="20"/>
          <w:szCs w:val="20"/>
          <w:lang w:eastAsia="en-US"/>
        </w:rPr>
        <w:t xml:space="preserve">. „Uudsete“ </w:t>
      </w:r>
      <w:r w:rsidR="00BD5E7F">
        <w:rPr>
          <w:rFonts w:eastAsiaTheme="minorHAnsi"/>
          <w:b/>
          <w:sz w:val="20"/>
          <w:szCs w:val="20"/>
          <w:lang w:eastAsia="en-US"/>
        </w:rPr>
        <w:t>kapitali kaasamise instrumentide</w:t>
      </w:r>
      <w:r w:rsidRPr="004036DC">
        <w:rPr>
          <w:rFonts w:eastAsiaTheme="minorHAnsi"/>
          <w:b/>
          <w:sz w:val="20"/>
          <w:szCs w:val="20"/>
          <w:lang w:eastAsia="en-US"/>
        </w:rPr>
        <w:t xml:space="preserve"> registreerimine</w:t>
      </w:r>
      <w:r w:rsidRPr="00BD5E7F">
        <w:rPr>
          <w:rFonts w:eastAsiaTheme="minorHAnsi"/>
          <w:sz w:val="20"/>
          <w:szCs w:val="20"/>
          <w:vertAlign w:val="superscript"/>
          <w:lang w:eastAsia="en-US"/>
        </w:rPr>
        <w:footnoteReference w:id="18"/>
      </w:r>
    </w:p>
    <w:p w14:paraId="2A10AB7F" w14:textId="77777777" w:rsidR="005508E5" w:rsidRPr="00B90948" w:rsidRDefault="005508E5" w:rsidP="005508E5">
      <w:pPr>
        <w:spacing w:before="0"/>
        <w:rPr>
          <w:rFonts w:eastAsiaTheme="minorHAnsi"/>
          <w:sz w:val="22"/>
          <w:szCs w:val="22"/>
          <w:lang w:eastAsia="en-US"/>
        </w:rPr>
      </w:pPr>
      <w:r>
        <w:rPr>
          <w:noProof/>
        </w:rPr>
        <w:drawing>
          <wp:inline distT="0" distB="0" distL="0" distR="0" wp14:anchorId="003C7881" wp14:editId="2AE7AB94">
            <wp:extent cx="4420926" cy="1971923"/>
            <wp:effectExtent l="0" t="0" r="0" b="9525"/>
            <wp:docPr id="21" name="Pilt 23" descr="Untitled Diagram"/>
            <wp:cNvGraphicFramePr/>
            <a:graphic xmlns:a="http://schemas.openxmlformats.org/drawingml/2006/main">
              <a:graphicData uri="http://schemas.openxmlformats.org/drawingml/2006/picture">
                <pic:pic xmlns:pic="http://schemas.openxmlformats.org/drawingml/2006/picture">
                  <pic:nvPicPr>
                    <pic:cNvPr id="15" name="Pilt 15" descr="Untitled Diagram"/>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2895" cy="1981722"/>
                    </a:xfrm>
                    <a:prstGeom prst="rect">
                      <a:avLst/>
                    </a:prstGeom>
                    <a:noFill/>
                    <a:ln>
                      <a:noFill/>
                    </a:ln>
                  </pic:spPr>
                </pic:pic>
              </a:graphicData>
            </a:graphic>
          </wp:inline>
        </w:drawing>
      </w:r>
    </w:p>
    <w:p w14:paraId="5C900313" w14:textId="77777777" w:rsidR="005508E5" w:rsidRDefault="005508E5" w:rsidP="005508E5">
      <w:pPr>
        <w:spacing w:before="0"/>
        <w:jc w:val="left"/>
        <w:rPr>
          <w:sz w:val="22"/>
          <w:szCs w:val="22"/>
          <w:lang w:eastAsia="en-US"/>
        </w:rPr>
      </w:pPr>
    </w:p>
    <w:p w14:paraId="1BD2C4E0" w14:textId="77777777" w:rsidR="005508E5" w:rsidRDefault="005508E5" w:rsidP="005508E5">
      <w:pPr>
        <w:spacing w:before="0"/>
        <w:rPr>
          <w:sz w:val="22"/>
          <w:szCs w:val="22"/>
          <w:lang w:eastAsia="en-US"/>
        </w:rPr>
      </w:pPr>
      <w:r>
        <w:rPr>
          <w:sz w:val="22"/>
          <w:szCs w:val="22"/>
          <w:lang w:eastAsia="en-US"/>
        </w:rPr>
        <w:t>Et kehtiva väärtpaberituru regulatsiooni seoseid käesoleva eelnõuga oleks võimalik paremini mõista, siis on järgmises tabelis esitatud rahastamise kaasamise viiside lõikes peamised nõuded, mida adresseerivad kehtiv väärtpaberituru õigus ja käesolev eelnõu. Nagu tabelist näha, siis on mitmed lähtekohad samad (mis puudutab info avalikustamist, tegevusloa nõudeid jms). Siiski tuleb silmas pidada, et antud tabel on esitatud suure üldistusastmega ja detailsema arusaama jaoks tuleb kindlasti tutvuda käesoleva seletuskirja 3. peatükiga.</w:t>
      </w:r>
    </w:p>
    <w:p w14:paraId="7FD77819" w14:textId="77777777" w:rsidR="005508E5" w:rsidRDefault="005508E5" w:rsidP="005508E5">
      <w:pPr>
        <w:spacing w:before="0"/>
        <w:rPr>
          <w:sz w:val="22"/>
          <w:szCs w:val="22"/>
          <w:lang w:eastAsia="en-US"/>
        </w:rPr>
      </w:pPr>
    </w:p>
    <w:p w14:paraId="0827562A" w14:textId="77777777" w:rsidR="005508E5" w:rsidRPr="004036DC" w:rsidRDefault="005508E5" w:rsidP="005508E5">
      <w:pPr>
        <w:spacing w:before="0"/>
        <w:rPr>
          <w:b/>
          <w:sz w:val="20"/>
          <w:szCs w:val="20"/>
          <w:lang w:eastAsia="en-US"/>
        </w:rPr>
      </w:pPr>
      <w:r w:rsidRPr="00A3112A">
        <w:rPr>
          <w:b/>
          <w:sz w:val="20"/>
          <w:szCs w:val="20"/>
          <w:lang w:eastAsia="en-US"/>
        </w:rPr>
        <w:t xml:space="preserve">Tabel </w:t>
      </w:r>
      <w:r w:rsidRPr="00A3112A">
        <w:rPr>
          <w:rFonts w:eastAsiaTheme="minorHAnsi"/>
          <w:b/>
          <w:sz w:val="20"/>
          <w:szCs w:val="20"/>
          <w:lang w:eastAsia="en-US"/>
        </w:rPr>
        <w:t>3. Kehtiva väärtpaberituruõiguse ja käesolevas eelnõus sätestatu üldine võrdlus</w:t>
      </w:r>
    </w:p>
    <w:tbl>
      <w:tblPr>
        <w:tblStyle w:val="Kontuurtabel2"/>
        <w:tblW w:w="9214" w:type="dxa"/>
        <w:tblInd w:w="-5" w:type="dxa"/>
        <w:tblLayout w:type="fixed"/>
        <w:tblLook w:val="04A0" w:firstRow="1" w:lastRow="0" w:firstColumn="1" w:lastColumn="0" w:noHBand="0" w:noVBand="1"/>
      </w:tblPr>
      <w:tblGrid>
        <w:gridCol w:w="1560"/>
        <w:gridCol w:w="2126"/>
        <w:gridCol w:w="1985"/>
        <w:gridCol w:w="1417"/>
        <w:gridCol w:w="2126"/>
      </w:tblGrid>
      <w:tr w:rsidR="000F3E69" w:rsidRPr="00603F6D" w14:paraId="3D4B9C0F" w14:textId="77777777" w:rsidTr="000F3E69">
        <w:trPr>
          <w:trHeight w:val="305"/>
        </w:trPr>
        <w:tc>
          <w:tcPr>
            <w:tcW w:w="1560" w:type="dxa"/>
            <w:vMerge w:val="restart"/>
            <w:shd w:val="clear" w:color="auto" w:fill="D9D9D9" w:themeFill="background1" w:themeFillShade="D9"/>
            <w:vAlign w:val="center"/>
          </w:tcPr>
          <w:p w14:paraId="68213F21" w14:textId="77777777" w:rsidR="005508E5" w:rsidRPr="00603F6D" w:rsidRDefault="005508E5" w:rsidP="00E672AE">
            <w:pPr>
              <w:spacing w:before="0"/>
              <w:jc w:val="center"/>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Peamised</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nõuded</w:t>
            </w:r>
            <w:proofErr w:type="spellEnd"/>
          </w:p>
        </w:tc>
        <w:tc>
          <w:tcPr>
            <w:tcW w:w="2126" w:type="dxa"/>
            <w:vMerge w:val="restart"/>
            <w:shd w:val="clear" w:color="auto" w:fill="D9D9D9" w:themeFill="background1" w:themeFillShade="D9"/>
            <w:vAlign w:val="center"/>
          </w:tcPr>
          <w:p w14:paraId="5E7FC5D4"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Väärtpaber</w:t>
            </w:r>
            <w:proofErr w:type="spellEnd"/>
            <w:r w:rsidRPr="00603F6D">
              <w:rPr>
                <w:rFonts w:asciiTheme="minorHAnsi" w:eastAsiaTheme="minorHAnsi" w:hAnsiTheme="minorHAnsi" w:cstheme="minorHAnsi"/>
                <w:b/>
                <w:sz w:val="16"/>
                <w:szCs w:val="16"/>
                <w:lang w:eastAsia="en-US"/>
              </w:rPr>
              <w:t xml:space="preserve"> </w:t>
            </w:r>
          </w:p>
          <w:p w14:paraId="66D544FB"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r w:rsidRPr="00603F6D">
              <w:rPr>
                <w:rFonts w:asciiTheme="minorHAnsi" w:eastAsiaTheme="minorHAnsi" w:hAnsiTheme="minorHAnsi" w:cstheme="minorHAnsi"/>
                <w:b/>
                <w:sz w:val="16"/>
                <w:szCs w:val="16"/>
                <w:lang w:eastAsia="en-US"/>
              </w:rPr>
              <w:t>(</w:t>
            </w:r>
            <w:proofErr w:type="spellStart"/>
            <w:proofErr w:type="gramStart"/>
            <w:r w:rsidRPr="00603F6D">
              <w:rPr>
                <w:rFonts w:asciiTheme="minorHAnsi" w:eastAsiaTheme="minorHAnsi" w:hAnsiTheme="minorHAnsi" w:cstheme="minorHAnsi"/>
                <w:b/>
                <w:sz w:val="16"/>
                <w:szCs w:val="16"/>
                <w:lang w:eastAsia="en-US"/>
              </w:rPr>
              <w:t>aktsia</w:t>
            </w:r>
            <w:proofErr w:type="spellEnd"/>
            <w:proofErr w:type="gram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võlakiri</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vms</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MiFIDi</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väärtpaber</w:t>
            </w:r>
            <w:proofErr w:type="spellEnd"/>
            <w:r w:rsidRPr="00603F6D">
              <w:rPr>
                <w:rFonts w:asciiTheme="minorHAnsi" w:eastAsiaTheme="minorHAnsi" w:hAnsiTheme="minorHAnsi" w:cstheme="minorHAnsi"/>
                <w:b/>
                <w:sz w:val="16"/>
                <w:szCs w:val="16"/>
                <w:lang w:eastAsia="en-US"/>
              </w:rPr>
              <w:t>)</w:t>
            </w:r>
          </w:p>
        </w:tc>
        <w:tc>
          <w:tcPr>
            <w:tcW w:w="3402" w:type="dxa"/>
            <w:gridSpan w:val="2"/>
            <w:shd w:val="clear" w:color="auto" w:fill="D9D9D9" w:themeFill="background1" w:themeFillShade="D9"/>
            <w:vAlign w:val="center"/>
          </w:tcPr>
          <w:p w14:paraId="1EC451C3"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Ühisrahastus</w:t>
            </w:r>
            <w:proofErr w:type="spellEnd"/>
          </w:p>
        </w:tc>
        <w:tc>
          <w:tcPr>
            <w:tcW w:w="2126" w:type="dxa"/>
            <w:shd w:val="clear" w:color="auto" w:fill="D9D9D9" w:themeFill="background1" w:themeFillShade="D9"/>
            <w:vAlign w:val="center"/>
          </w:tcPr>
          <w:p w14:paraId="6C8173FD"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Krüptovarad</w:t>
            </w:r>
            <w:proofErr w:type="spellEnd"/>
          </w:p>
        </w:tc>
      </w:tr>
      <w:tr w:rsidR="000F3E69" w:rsidRPr="00603F6D" w14:paraId="42A7F6C9" w14:textId="77777777" w:rsidTr="00A3112A">
        <w:trPr>
          <w:trHeight w:val="305"/>
        </w:trPr>
        <w:tc>
          <w:tcPr>
            <w:tcW w:w="1560" w:type="dxa"/>
            <w:vMerge/>
            <w:shd w:val="clear" w:color="auto" w:fill="D9D9D9" w:themeFill="background1" w:themeFillShade="D9"/>
            <w:vAlign w:val="center"/>
          </w:tcPr>
          <w:p w14:paraId="18AEBBB3" w14:textId="77777777" w:rsidR="005508E5" w:rsidRPr="00603F6D" w:rsidRDefault="005508E5" w:rsidP="00E672AE">
            <w:pPr>
              <w:spacing w:before="0"/>
              <w:jc w:val="center"/>
              <w:rPr>
                <w:rFonts w:asciiTheme="minorHAnsi" w:eastAsiaTheme="minorHAnsi" w:hAnsiTheme="minorHAnsi" w:cstheme="minorHAnsi"/>
                <w:b/>
                <w:i/>
                <w:sz w:val="16"/>
                <w:szCs w:val="16"/>
                <w:lang w:eastAsia="en-US"/>
              </w:rPr>
            </w:pPr>
          </w:p>
        </w:tc>
        <w:tc>
          <w:tcPr>
            <w:tcW w:w="2126" w:type="dxa"/>
            <w:vMerge/>
            <w:shd w:val="clear" w:color="auto" w:fill="D9D9D9" w:themeFill="background1" w:themeFillShade="D9"/>
            <w:vAlign w:val="center"/>
          </w:tcPr>
          <w:p w14:paraId="02638A1D"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
        </w:tc>
        <w:tc>
          <w:tcPr>
            <w:tcW w:w="1985" w:type="dxa"/>
            <w:shd w:val="clear" w:color="auto" w:fill="D9D9D9" w:themeFill="background1" w:themeFillShade="D9"/>
            <w:vAlign w:val="center"/>
          </w:tcPr>
          <w:p w14:paraId="3FB623F9"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Ettevõtete</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põhine</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ühisrahastus</w:t>
            </w:r>
            <w:proofErr w:type="spellEnd"/>
          </w:p>
        </w:tc>
        <w:tc>
          <w:tcPr>
            <w:tcW w:w="1417" w:type="dxa"/>
            <w:shd w:val="clear" w:color="auto" w:fill="D9D9D9" w:themeFill="background1" w:themeFillShade="D9"/>
            <w:vAlign w:val="center"/>
          </w:tcPr>
          <w:p w14:paraId="498ECC18"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Tarbimiskrediidi</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põhine</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ühisrahastus</w:t>
            </w:r>
            <w:proofErr w:type="spellEnd"/>
          </w:p>
        </w:tc>
        <w:tc>
          <w:tcPr>
            <w:tcW w:w="2126" w:type="dxa"/>
            <w:shd w:val="clear" w:color="auto" w:fill="D9D9D9" w:themeFill="background1" w:themeFillShade="D9"/>
            <w:vAlign w:val="center"/>
          </w:tcPr>
          <w:p w14:paraId="06388DE3"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roofErr w:type="spellStart"/>
            <w:r w:rsidRPr="00603F6D">
              <w:rPr>
                <w:rFonts w:asciiTheme="minorHAnsi" w:eastAsiaTheme="minorHAnsi" w:hAnsiTheme="minorHAnsi" w:cstheme="minorHAnsi"/>
                <w:b/>
                <w:sz w:val="16"/>
                <w:szCs w:val="16"/>
                <w:lang w:eastAsia="en-US"/>
              </w:rPr>
              <w:t>Investeerimispõhised</w:t>
            </w:r>
            <w:proofErr w:type="spellEnd"/>
            <w:r w:rsidRPr="00603F6D">
              <w:rPr>
                <w:rFonts w:asciiTheme="minorHAnsi" w:eastAsiaTheme="minorHAnsi" w:hAnsiTheme="minorHAnsi" w:cstheme="minorHAnsi"/>
                <w:b/>
                <w:sz w:val="16"/>
                <w:szCs w:val="16"/>
                <w:lang w:eastAsia="en-US"/>
              </w:rPr>
              <w:t xml:space="preserve"> ja </w:t>
            </w:r>
            <w:proofErr w:type="spellStart"/>
            <w:r w:rsidRPr="00603F6D">
              <w:rPr>
                <w:rFonts w:asciiTheme="minorHAnsi" w:eastAsiaTheme="minorHAnsi" w:hAnsiTheme="minorHAnsi" w:cstheme="minorHAnsi"/>
                <w:b/>
                <w:sz w:val="16"/>
                <w:szCs w:val="16"/>
                <w:lang w:eastAsia="en-US"/>
              </w:rPr>
              <w:t>muud</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krüptovarad</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sh</w:t>
            </w:r>
            <w:proofErr w:type="spellEnd"/>
            <w:r w:rsidRPr="00603F6D">
              <w:rPr>
                <w:rFonts w:asciiTheme="minorHAnsi" w:eastAsiaTheme="minorHAnsi" w:hAnsiTheme="minorHAnsi" w:cstheme="minorHAnsi"/>
                <w:b/>
                <w:sz w:val="16"/>
                <w:szCs w:val="16"/>
                <w:lang w:eastAsia="en-US"/>
              </w:rPr>
              <w:t xml:space="preserve"> </w:t>
            </w:r>
            <w:proofErr w:type="spellStart"/>
            <w:r w:rsidRPr="00603F6D">
              <w:rPr>
                <w:rFonts w:asciiTheme="minorHAnsi" w:eastAsiaTheme="minorHAnsi" w:hAnsiTheme="minorHAnsi" w:cstheme="minorHAnsi"/>
                <w:b/>
                <w:sz w:val="16"/>
                <w:szCs w:val="16"/>
                <w:lang w:eastAsia="en-US"/>
              </w:rPr>
              <w:t>virtuaalvääringud</w:t>
            </w:r>
            <w:proofErr w:type="spellEnd"/>
            <w:r w:rsidRPr="00603F6D">
              <w:rPr>
                <w:rFonts w:asciiTheme="minorHAnsi" w:eastAsiaTheme="minorHAnsi" w:hAnsiTheme="minorHAnsi" w:cstheme="minorHAnsi"/>
                <w:b/>
                <w:sz w:val="16"/>
                <w:szCs w:val="16"/>
                <w:lang w:eastAsia="en-US"/>
              </w:rPr>
              <w:t xml:space="preserve"> </w:t>
            </w:r>
          </w:p>
        </w:tc>
      </w:tr>
      <w:tr w:rsidR="005508E5" w:rsidRPr="00603F6D" w14:paraId="3AD5EA92" w14:textId="77777777" w:rsidTr="00A3112A">
        <w:trPr>
          <w:trHeight w:val="70"/>
        </w:trPr>
        <w:tc>
          <w:tcPr>
            <w:tcW w:w="9214" w:type="dxa"/>
            <w:gridSpan w:val="5"/>
            <w:vAlign w:val="center"/>
          </w:tcPr>
          <w:p w14:paraId="40B35523"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
        </w:tc>
      </w:tr>
      <w:tr w:rsidR="005508E5" w:rsidRPr="00603F6D" w14:paraId="6C0E8817" w14:textId="77777777" w:rsidTr="00A3112A">
        <w:trPr>
          <w:trHeight w:val="305"/>
        </w:trPr>
        <w:tc>
          <w:tcPr>
            <w:tcW w:w="1560" w:type="dxa"/>
            <w:vAlign w:val="center"/>
          </w:tcPr>
          <w:p w14:paraId="3B94A820"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Kohalduv</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õigus</w:t>
            </w:r>
            <w:proofErr w:type="spellEnd"/>
          </w:p>
        </w:tc>
        <w:tc>
          <w:tcPr>
            <w:tcW w:w="2126" w:type="dxa"/>
            <w:vAlign w:val="center"/>
          </w:tcPr>
          <w:p w14:paraId="5102993C"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r w:rsidRPr="00603F6D">
              <w:rPr>
                <w:rFonts w:asciiTheme="minorHAnsi" w:eastAsiaTheme="minorHAnsi" w:hAnsiTheme="minorHAnsi" w:cstheme="minorHAnsi"/>
                <w:sz w:val="16"/>
                <w:szCs w:val="16"/>
                <w:lang w:eastAsia="en-US"/>
              </w:rPr>
              <w:t xml:space="preserve">EL </w:t>
            </w:r>
            <w:proofErr w:type="spellStart"/>
            <w:r w:rsidRPr="00603F6D">
              <w:rPr>
                <w:rFonts w:asciiTheme="minorHAnsi" w:eastAsiaTheme="minorHAnsi" w:hAnsiTheme="minorHAnsi" w:cstheme="minorHAnsi"/>
                <w:sz w:val="16"/>
                <w:szCs w:val="16"/>
                <w:lang w:eastAsia="en-US"/>
              </w:rPr>
              <w:t>väärtpaberiõigus</w:t>
            </w:r>
            <w:proofErr w:type="spellEnd"/>
            <w:r w:rsidRPr="00603F6D">
              <w:rPr>
                <w:rFonts w:asciiTheme="minorHAnsi" w:eastAsiaTheme="minorHAnsi" w:hAnsiTheme="minorHAnsi" w:cstheme="minorHAnsi"/>
                <w:sz w:val="16"/>
                <w:szCs w:val="16"/>
                <w:lang w:eastAsia="en-US"/>
              </w:rPr>
              <w:t xml:space="preserve"> (MiFID, </w:t>
            </w:r>
            <w:proofErr w:type="spellStart"/>
            <w:r w:rsidRPr="00603F6D">
              <w:rPr>
                <w:rFonts w:asciiTheme="minorHAnsi" w:eastAsiaTheme="minorHAnsi" w:hAnsiTheme="minorHAnsi" w:cstheme="minorHAnsi"/>
                <w:sz w:val="16"/>
                <w:szCs w:val="16"/>
                <w:lang w:eastAsia="en-US"/>
              </w:rPr>
              <w:t>prospektimäärus</w:t>
            </w:r>
            <w:proofErr w:type="spellEnd"/>
            <w:r w:rsidRPr="00603F6D">
              <w:rPr>
                <w:rFonts w:asciiTheme="minorHAnsi" w:eastAsiaTheme="minorHAnsi" w:hAnsiTheme="minorHAnsi" w:cstheme="minorHAnsi"/>
                <w:sz w:val="16"/>
                <w:szCs w:val="16"/>
                <w:lang w:eastAsia="en-US"/>
              </w:rPr>
              <w:t>, CSDR)</w:t>
            </w:r>
          </w:p>
        </w:tc>
        <w:tc>
          <w:tcPr>
            <w:tcW w:w="1985" w:type="dxa"/>
            <w:vAlign w:val="center"/>
          </w:tcPr>
          <w:p w14:paraId="6BBD62D1"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r w:rsidRPr="00603F6D">
              <w:rPr>
                <w:rFonts w:asciiTheme="minorHAnsi" w:eastAsiaTheme="minorHAnsi" w:hAnsiTheme="minorHAnsi" w:cstheme="minorHAnsi"/>
                <w:sz w:val="16"/>
                <w:szCs w:val="16"/>
                <w:lang w:eastAsia="en-US"/>
              </w:rPr>
              <w:t xml:space="preserve">EL </w:t>
            </w:r>
            <w:proofErr w:type="spellStart"/>
            <w:r w:rsidRPr="00603F6D">
              <w:rPr>
                <w:rFonts w:asciiTheme="minorHAnsi" w:eastAsiaTheme="minorHAnsi" w:hAnsiTheme="minorHAnsi" w:cstheme="minorHAnsi"/>
                <w:sz w:val="16"/>
                <w:szCs w:val="16"/>
                <w:lang w:eastAsia="en-US"/>
              </w:rPr>
              <w:t>ühisrahastusmäärus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osaliselt</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käesolev</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w:t>
            </w:r>
            <w:proofErr w:type="spellEnd"/>
            <w:r w:rsidRPr="00603F6D">
              <w:rPr>
                <w:rFonts w:asciiTheme="minorHAnsi" w:eastAsiaTheme="minorHAnsi" w:hAnsiTheme="minorHAnsi" w:cstheme="minorHAnsi"/>
                <w:sz w:val="16"/>
                <w:szCs w:val="16"/>
                <w:lang w:eastAsia="en-US"/>
              </w:rPr>
              <w:t>)</w:t>
            </w:r>
          </w:p>
        </w:tc>
        <w:tc>
          <w:tcPr>
            <w:tcW w:w="1417" w:type="dxa"/>
            <w:vAlign w:val="center"/>
          </w:tcPr>
          <w:p w14:paraId="5B84EBD4"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Käesolev</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w:t>
            </w:r>
            <w:proofErr w:type="spellEnd"/>
          </w:p>
        </w:tc>
        <w:tc>
          <w:tcPr>
            <w:tcW w:w="2126" w:type="dxa"/>
            <w:vAlign w:val="center"/>
          </w:tcPr>
          <w:p w14:paraId="15580041"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Käesolev</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w:t>
            </w:r>
            <w:proofErr w:type="spellEnd"/>
          </w:p>
        </w:tc>
      </w:tr>
      <w:tr w:rsidR="005508E5" w:rsidRPr="00603F6D" w14:paraId="2A97EA27" w14:textId="77777777" w:rsidTr="00A3112A">
        <w:trPr>
          <w:trHeight w:val="305"/>
        </w:trPr>
        <w:tc>
          <w:tcPr>
            <w:tcW w:w="1560" w:type="dxa"/>
            <w:vAlign w:val="center"/>
          </w:tcPr>
          <w:p w14:paraId="0487C954"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
        </w:tc>
        <w:tc>
          <w:tcPr>
            <w:tcW w:w="2126" w:type="dxa"/>
            <w:vAlign w:val="center"/>
          </w:tcPr>
          <w:p w14:paraId="68434F70"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c>
          <w:tcPr>
            <w:tcW w:w="1985" w:type="dxa"/>
            <w:vAlign w:val="center"/>
          </w:tcPr>
          <w:p w14:paraId="794B772B"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c>
          <w:tcPr>
            <w:tcW w:w="1417" w:type="dxa"/>
            <w:vAlign w:val="center"/>
          </w:tcPr>
          <w:p w14:paraId="5F2793A5"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c>
          <w:tcPr>
            <w:tcW w:w="2126" w:type="dxa"/>
            <w:vAlign w:val="center"/>
          </w:tcPr>
          <w:p w14:paraId="0C5817DB"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r>
      <w:tr w:rsidR="005508E5" w:rsidRPr="00603F6D" w14:paraId="73F17909" w14:textId="77777777" w:rsidTr="00A3112A">
        <w:trPr>
          <w:trHeight w:val="305"/>
        </w:trPr>
        <w:tc>
          <w:tcPr>
            <w:tcW w:w="1560" w:type="dxa"/>
            <w:vAlign w:val="center"/>
          </w:tcPr>
          <w:p w14:paraId="20FE997C"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Nõuded</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pakkumise</w:t>
            </w:r>
            <w:proofErr w:type="spellEnd"/>
            <w:r w:rsidRPr="00603F6D">
              <w:rPr>
                <w:rFonts w:asciiTheme="minorHAnsi" w:eastAsiaTheme="minorHAnsi" w:hAnsiTheme="minorHAnsi" w:cstheme="minorHAnsi"/>
                <w:b/>
                <w:i/>
                <w:sz w:val="16"/>
                <w:szCs w:val="16"/>
                <w:lang w:eastAsia="en-US"/>
              </w:rPr>
              <w:t xml:space="preserve"> kohta info </w:t>
            </w:r>
            <w:proofErr w:type="spellStart"/>
            <w:r w:rsidRPr="00603F6D">
              <w:rPr>
                <w:rFonts w:asciiTheme="minorHAnsi" w:eastAsiaTheme="minorHAnsi" w:hAnsiTheme="minorHAnsi" w:cstheme="minorHAnsi"/>
                <w:b/>
                <w:i/>
                <w:sz w:val="16"/>
                <w:szCs w:val="16"/>
                <w:lang w:eastAsia="en-US"/>
              </w:rPr>
              <w:t>avalikustamisele</w:t>
            </w:r>
            <w:proofErr w:type="spellEnd"/>
          </w:p>
          <w:p w14:paraId="6252F02E"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
        </w:tc>
        <w:tc>
          <w:tcPr>
            <w:tcW w:w="2126" w:type="dxa"/>
          </w:tcPr>
          <w:p w14:paraId="22D4EF27"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Prospekti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koostamise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kohustus</w:t>
            </w:r>
            <w:proofErr w:type="spellEnd"/>
            <w:r w:rsidRPr="00603F6D">
              <w:rPr>
                <w:rFonts w:asciiTheme="minorHAnsi" w:eastAsiaTheme="minorHAnsi" w:hAnsiTheme="minorHAnsi" w:cstheme="minorHAnsi"/>
                <w:sz w:val="16"/>
                <w:szCs w:val="16"/>
                <w:lang w:eastAsia="en-US"/>
              </w:rPr>
              <w:t>:</w:t>
            </w:r>
          </w:p>
          <w:p w14:paraId="5DE767DC" w14:textId="77777777" w:rsidR="005508E5" w:rsidRPr="00603F6D" w:rsidRDefault="005508E5" w:rsidP="002B2C7C">
            <w:pPr>
              <w:numPr>
                <w:ilvl w:val="0"/>
                <w:numId w:val="34"/>
              </w:numPr>
              <w:spacing w:before="0"/>
              <w:ind w:left="262" w:hanging="262"/>
              <w:contextualSpacing/>
              <w:jc w:val="left"/>
              <w:rPr>
                <w:rFonts w:asciiTheme="minorHAnsi" w:eastAsiaTheme="minorHAnsi" w:hAnsiTheme="minorHAnsi" w:cstheme="minorHAnsi"/>
                <w:sz w:val="16"/>
                <w:szCs w:val="16"/>
                <w:lang w:val="fr-BE" w:eastAsia="en-US"/>
              </w:rPr>
            </w:pPr>
            <w:proofErr w:type="spellStart"/>
            <w:proofErr w:type="gramStart"/>
            <w:r w:rsidRPr="00603F6D">
              <w:rPr>
                <w:rFonts w:asciiTheme="minorHAnsi" w:eastAsiaTheme="minorHAnsi" w:hAnsiTheme="minorHAnsi" w:cstheme="minorHAnsi"/>
                <w:sz w:val="16"/>
                <w:szCs w:val="16"/>
                <w:lang w:val="fr-BE" w:eastAsia="en-US"/>
              </w:rPr>
              <w:t>kui</w:t>
            </w:r>
            <w:proofErr w:type="spellEnd"/>
            <w:proofErr w:type="gramEnd"/>
            <w:r w:rsidRPr="00603F6D">
              <w:rPr>
                <w:rFonts w:asciiTheme="minorHAnsi" w:eastAsiaTheme="minorHAnsi" w:hAnsiTheme="minorHAnsi" w:cstheme="minorHAnsi"/>
                <w:sz w:val="16"/>
                <w:szCs w:val="16"/>
                <w:lang w:val="fr-BE" w:eastAsia="en-US"/>
              </w:rPr>
              <w:t xml:space="preserve"> </w:t>
            </w:r>
            <w:proofErr w:type="spellStart"/>
            <w:r w:rsidRPr="00603F6D">
              <w:rPr>
                <w:rFonts w:asciiTheme="minorHAnsi" w:eastAsiaTheme="minorHAnsi" w:hAnsiTheme="minorHAnsi" w:cstheme="minorHAnsi"/>
                <w:sz w:val="16"/>
                <w:szCs w:val="16"/>
                <w:lang w:val="fr-BE" w:eastAsia="en-US"/>
              </w:rPr>
              <w:t>pakkumise</w:t>
            </w:r>
            <w:proofErr w:type="spellEnd"/>
            <w:r w:rsidRPr="00603F6D">
              <w:rPr>
                <w:rFonts w:asciiTheme="minorHAnsi" w:eastAsiaTheme="minorHAnsi" w:hAnsiTheme="minorHAnsi" w:cstheme="minorHAnsi"/>
                <w:sz w:val="16"/>
                <w:szCs w:val="16"/>
                <w:lang w:val="fr-BE" w:eastAsia="en-US"/>
              </w:rPr>
              <w:t xml:space="preserve"> </w:t>
            </w:r>
            <w:proofErr w:type="spellStart"/>
            <w:r w:rsidRPr="00603F6D">
              <w:rPr>
                <w:rFonts w:asciiTheme="minorHAnsi" w:eastAsiaTheme="minorHAnsi" w:hAnsiTheme="minorHAnsi" w:cstheme="minorHAnsi"/>
                <w:sz w:val="16"/>
                <w:szCs w:val="16"/>
                <w:lang w:val="fr-BE" w:eastAsia="en-US"/>
              </w:rPr>
              <w:t>koguväärtus</w:t>
            </w:r>
            <w:proofErr w:type="spellEnd"/>
            <w:r w:rsidRPr="00603F6D">
              <w:rPr>
                <w:rFonts w:asciiTheme="minorHAnsi" w:eastAsiaTheme="minorHAnsi" w:hAnsiTheme="minorHAnsi" w:cstheme="minorHAnsi"/>
                <w:sz w:val="16"/>
                <w:szCs w:val="16"/>
                <w:lang w:val="fr-BE" w:eastAsia="en-US"/>
              </w:rPr>
              <w:t xml:space="preserve"> on </w:t>
            </w:r>
            <w:proofErr w:type="spellStart"/>
            <w:r w:rsidRPr="00603F6D">
              <w:rPr>
                <w:rFonts w:asciiTheme="minorHAnsi" w:eastAsiaTheme="minorHAnsi" w:hAnsiTheme="minorHAnsi" w:cstheme="minorHAnsi"/>
                <w:sz w:val="16"/>
                <w:szCs w:val="16"/>
                <w:lang w:val="fr-BE" w:eastAsia="en-US"/>
              </w:rPr>
              <w:t>üle</w:t>
            </w:r>
            <w:proofErr w:type="spellEnd"/>
            <w:r w:rsidRPr="00603F6D">
              <w:rPr>
                <w:rFonts w:asciiTheme="minorHAnsi" w:eastAsiaTheme="minorHAnsi" w:hAnsiTheme="minorHAnsi" w:cstheme="minorHAnsi"/>
                <w:sz w:val="16"/>
                <w:szCs w:val="16"/>
                <w:lang w:val="fr-BE" w:eastAsia="en-US"/>
              </w:rPr>
              <w:t xml:space="preserve"> 5 mln euro; </w:t>
            </w:r>
            <w:proofErr w:type="spellStart"/>
            <w:r w:rsidRPr="00603F6D">
              <w:rPr>
                <w:rFonts w:asciiTheme="minorHAnsi" w:eastAsiaTheme="minorHAnsi" w:hAnsiTheme="minorHAnsi" w:cstheme="minorHAnsi"/>
                <w:sz w:val="16"/>
                <w:szCs w:val="16"/>
                <w:lang w:val="fr-BE" w:eastAsia="en-US"/>
              </w:rPr>
              <w:t>või</w:t>
            </w:r>
            <w:proofErr w:type="spellEnd"/>
          </w:p>
          <w:p w14:paraId="118841B6" w14:textId="77777777" w:rsidR="005508E5" w:rsidRPr="00603F6D" w:rsidRDefault="005508E5" w:rsidP="002B2C7C">
            <w:pPr>
              <w:numPr>
                <w:ilvl w:val="0"/>
                <w:numId w:val="34"/>
              </w:numPr>
              <w:spacing w:before="0"/>
              <w:ind w:left="262" w:hanging="262"/>
              <w:contextualSpacing/>
              <w:jc w:val="left"/>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suunatud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rohkem</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150 </w:t>
            </w:r>
            <w:proofErr w:type="spellStart"/>
            <w:r w:rsidRPr="00603F6D">
              <w:rPr>
                <w:rFonts w:asciiTheme="minorHAnsi" w:eastAsiaTheme="minorHAnsi" w:hAnsiTheme="minorHAnsi" w:cstheme="minorHAnsi"/>
                <w:sz w:val="16"/>
                <w:szCs w:val="16"/>
                <w:lang w:eastAsia="en-US"/>
              </w:rPr>
              <w:t>jaeinvestorile</w:t>
            </w:r>
            <w:proofErr w:type="spellEnd"/>
            <w:r w:rsidRPr="00603F6D">
              <w:rPr>
                <w:rFonts w:asciiTheme="minorHAnsi" w:eastAsiaTheme="minorHAnsi" w:hAnsiTheme="minorHAnsi" w:cstheme="minorHAnsi"/>
                <w:sz w:val="16"/>
                <w:szCs w:val="16"/>
                <w:lang w:eastAsia="en-US"/>
              </w:rPr>
              <w:t>.</w:t>
            </w:r>
          </w:p>
          <w:p w14:paraId="334D8DFA" w14:textId="77777777" w:rsidR="005508E5" w:rsidRPr="00603F6D" w:rsidRDefault="005508E5" w:rsidP="00E672AE">
            <w:pPr>
              <w:spacing w:before="0"/>
              <w:contextualSpacing/>
              <w:jc w:val="left"/>
              <w:rPr>
                <w:rFonts w:asciiTheme="minorHAnsi" w:eastAsiaTheme="minorHAnsi" w:hAnsiTheme="minorHAnsi" w:cstheme="minorHAnsi"/>
                <w:sz w:val="16"/>
                <w:szCs w:val="16"/>
                <w:lang w:eastAsia="en-US"/>
              </w:rPr>
            </w:pPr>
          </w:p>
          <w:p w14:paraId="414C85C3"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Avalikele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pakkumiste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vahemikus</w:t>
            </w:r>
            <w:proofErr w:type="spellEnd"/>
            <w:r w:rsidRPr="00603F6D">
              <w:rPr>
                <w:rFonts w:asciiTheme="minorHAnsi" w:eastAsiaTheme="minorHAnsi" w:hAnsiTheme="minorHAnsi" w:cstheme="minorHAnsi"/>
                <w:sz w:val="16"/>
                <w:szCs w:val="16"/>
                <w:lang w:eastAsia="en-US"/>
              </w:rPr>
              <w:t xml:space="preserve"> 1 – 5 </w:t>
            </w:r>
            <w:proofErr w:type="spellStart"/>
            <w:r w:rsidRPr="00603F6D">
              <w:rPr>
                <w:rFonts w:asciiTheme="minorHAnsi" w:eastAsiaTheme="minorHAnsi" w:hAnsiTheme="minorHAnsi" w:cstheme="minorHAnsi"/>
                <w:sz w:val="16"/>
                <w:szCs w:val="16"/>
                <w:lang w:eastAsia="en-US"/>
              </w:rPr>
              <w:t>mln</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eurot</w:t>
            </w:r>
            <w:proofErr w:type="spellEnd"/>
            <w:r w:rsidRPr="00603F6D">
              <w:rPr>
                <w:rFonts w:asciiTheme="minorHAnsi" w:eastAsiaTheme="minorHAnsi" w:hAnsiTheme="minorHAnsi" w:cstheme="minorHAnsi"/>
                <w:sz w:val="16"/>
                <w:szCs w:val="16"/>
                <w:lang w:eastAsia="en-US"/>
              </w:rPr>
              <w:t xml:space="preserve"> kohta </w:t>
            </w:r>
            <w:proofErr w:type="spellStart"/>
            <w:r w:rsidRPr="00603F6D">
              <w:rPr>
                <w:rFonts w:asciiTheme="minorHAnsi" w:eastAsiaTheme="minorHAnsi" w:hAnsiTheme="minorHAnsi" w:cstheme="minorHAnsi"/>
                <w:sz w:val="16"/>
                <w:szCs w:val="16"/>
                <w:lang w:eastAsia="en-US"/>
              </w:rPr>
              <w:t>tuleb</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koostada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nn</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lihtsamas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vormis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teabedokument</w:t>
            </w:r>
            <w:proofErr w:type="spellEnd"/>
            <w:r w:rsidRPr="00603F6D">
              <w:rPr>
                <w:rFonts w:asciiTheme="minorHAnsi" w:eastAsiaTheme="minorHAnsi" w:hAnsiTheme="minorHAnsi" w:cstheme="minorHAnsi"/>
                <w:sz w:val="16"/>
                <w:szCs w:val="16"/>
                <w:lang w:eastAsia="en-US"/>
              </w:rPr>
              <w:t>.</w:t>
            </w:r>
          </w:p>
        </w:tc>
        <w:tc>
          <w:tcPr>
            <w:tcW w:w="1985" w:type="dxa"/>
          </w:tcPr>
          <w:p w14:paraId="2FB470CB"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Põhiteabedokumendi</w:t>
            </w:r>
            <w:proofErr w:type="spellEnd"/>
            <w:r w:rsidRPr="00603F6D">
              <w:rPr>
                <w:rFonts w:asciiTheme="minorHAnsi" w:eastAsiaTheme="minorHAnsi" w:hAnsiTheme="minorHAnsi" w:cstheme="minorHAnsi"/>
                <w:sz w:val="16"/>
                <w:szCs w:val="16"/>
                <w:lang w:eastAsia="en-US"/>
              </w:rPr>
              <w:t xml:space="preserve"> (PTD) </w:t>
            </w:r>
            <w:proofErr w:type="spellStart"/>
            <w:r w:rsidRPr="00603F6D">
              <w:rPr>
                <w:rFonts w:asciiTheme="minorHAnsi" w:eastAsiaTheme="minorHAnsi" w:hAnsiTheme="minorHAnsi" w:cstheme="minorHAnsi"/>
                <w:sz w:val="16"/>
                <w:szCs w:val="16"/>
                <w:lang w:eastAsia="en-US"/>
              </w:rPr>
              <w:t>koostamise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kohustus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vastavalt</w:t>
            </w:r>
            <w:proofErr w:type="spellEnd"/>
            <w:r w:rsidRPr="00603F6D">
              <w:rPr>
                <w:rFonts w:asciiTheme="minorHAnsi" w:eastAsiaTheme="minorHAnsi" w:hAnsiTheme="minorHAnsi" w:cstheme="minorHAnsi"/>
                <w:sz w:val="16"/>
                <w:szCs w:val="16"/>
                <w:lang w:eastAsia="en-US"/>
              </w:rPr>
              <w:t xml:space="preserve"> EL </w:t>
            </w:r>
            <w:proofErr w:type="spellStart"/>
            <w:r w:rsidRPr="00603F6D">
              <w:rPr>
                <w:rFonts w:asciiTheme="minorHAnsi" w:eastAsiaTheme="minorHAnsi" w:hAnsiTheme="minorHAnsi" w:cstheme="minorHAnsi"/>
                <w:sz w:val="16"/>
                <w:szCs w:val="16"/>
                <w:lang w:eastAsia="en-US"/>
              </w:rPr>
              <w:t>määrusele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juhul</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w:t>
            </w:r>
          </w:p>
          <w:p w14:paraId="3857E540" w14:textId="77777777" w:rsidR="005508E5" w:rsidRDefault="005508E5" w:rsidP="002B2C7C">
            <w:pPr>
              <w:numPr>
                <w:ilvl w:val="0"/>
                <w:numId w:val="34"/>
              </w:numPr>
              <w:spacing w:before="0"/>
              <w:ind w:left="175" w:hanging="141"/>
              <w:contextualSpacing/>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suunatud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avalikkusele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määratlemata</w:t>
            </w:r>
            <w:proofErr w:type="spellEnd"/>
            <w:r w:rsidRPr="00603F6D">
              <w:rPr>
                <w:rFonts w:asciiTheme="minorHAnsi" w:eastAsiaTheme="minorHAnsi" w:hAnsiTheme="minorHAnsi" w:cstheme="minorHAnsi"/>
                <w:sz w:val="16"/>
                <w:szCs w:val="16"/>
                <w:lang w:eastAsia="en-US"/>
              </w:rPr>
              <w:t>); ja</w:t>
            </w:r>
          </w:p>
          <w:p w14:paraId="1F02A95C" w14:textId="77777777" w:rsidR="005508E5" w:rsidRPr="00603F6D" w:rsidRDefault="005508E5" w:rsidP="002B2C7C">
            <w:pPr>
              <w:numPr>
                <w:ilvl w:val="0"/>
                <w:numId w:val="34"/>
              </w:numPr>
              <w:spacing w:before="0"/>
              <w:ind w:left="175" w:hanging="141"/>
              <w:contextualSpacing/>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alla</w:t>
            </w:r>
            <w:proofErr w:type="spellEnd"/>
            <w:r w:rsidRPr="00603F6D">
              <w:rPr>
                <w:rFonts w:asciiTheme="minorHAnsi" w:eastAsiaTheme="minorHAnsi" w:hAnsiTheme="minorHAnsi" w:cstheme="minorHAnsi"/>
                <w:sz w:val="16"/>
                <w:szCs w:val="16"/>
                <w:lang w:eastAsia="en-US"/>
              </w:rPr>
              <w:t xml:space="preserve"> 5 </w:t>
            </w:r>
            <w:proofErr w:type="spellStart"/>
            <w:r w:rsidRPr="00603F6D">
              <w:rPr>
                <w:rFonts w:asciiTheme="minorHAnsi" w:eastAsiaTheme="minorHAnsi" w:hAnsiTheme="minorHAnsi" w:cstheme="minorHAnsi"/>
                <w:sz w:val="16"/>
                <w:szCs w:val="16"/>
                <w:lang w:eastAsia="en-US"/>
              </w:rPr>
              <w:t>mln</w:t>
            </w:r>
            <w:proofErr w:type="spellEnd"/>
            <w:r w:rsidRPr="00603F6D">
              <w:rPr>
                <w:rFonts w:asciiTheme="minorHAnsi" w:eastAsiaTheme="minorHAnsi" w:hAnsiTheme="minorHAnsi" w:cstheme="minorHAnsi"/>
                <w:sz w:val="16"/>
                <w:szCs w:val="16"/>
                <w:lang w:eastAsia="en-US"/>
              </w:rPr>
              <w:t xml:space="preserve"> euro (</w:t>
            </w:r>
            <w:proofErr w:type="spellStart"/>
            <w:r w:rsidRPr="00603F6D">
              <w:rPr>
                <w:rFonts w:asciiTheme="minorHAnsi" w:eastAsiaTheme="minorHAnsi" w:hAnsiTheme="minorHAnsi" w:cstheme="minorHAnsi"/>
                <w:sz w:val="16"/>
                <w:szCs w:val="16"/>
                <w:lang w:eastAsia="en-US"/>
              </w:rPr>
              <w:t>juhul</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üle</w:t>
            </w:r>
            <w:proofErr w:type="spellEnd"/>
            <w:r w:rsidRPr="00603F6D">
              <w:rPr>
                <w:rFonts w:asciiTheme="minorHAnsi" w:eastAsiaTheme="minorHAnsi" w:hAnsiTheme="minorHAnsi" w:cstheme="minorHAnsi"/>
                <w:sz w:val="16"/>
                <w:szCs w:val="16"/>
                <w:lang w:eastAsia="en-US"/>
              </w:rPr>
              <w:t xml:space="preserve"> 5 </w:t>
            </w:r>
            <w:proofErr w:type="spellStart"/>
            <w:r w:rsidRPr="00603F6D">
              <w:rPr>
                <w:rFonts w:asciiTheme="minorHAnsi" w:eastAsiaTheme="minorHAnsi" w:hAnsiTheme="minorHAnsi" w:cstheme="minorHAnsi"/>
                <w:sz w:val="16"/>
                <w:szCs w:val="16"/>
                <w:lang w:eastAsia="en-US"/>
              </w:rPr>
              <w:t>mln</w:t>
            </w:r>
            <w:proofErr w:type="spellEnd"/>
            <w:r w:rsidRPr="00603F6D">
              <w:rPr>
                <w:rFonts w:asciiTheme="minorHAnsi" w:eastAsiaTheme="minorHAnsi" w:hAnsiTheme="minorHAnsi" w:cstheme="minorHAnsi"/>
                <w:sz w:val="16"/>
                <w:szCs w:val="16"/>
                <w:lang w:eastAsia="en-US"/>
              </w:rPr>
              <w:t xml:space="preserve"> euro, </w:t>
            </w:r>
            <w:proofErr w:type="spellStart"/>
            <w:r w:rsidRPr="00603F6D">
              <w:rPr>
                <w:rFonts w:asciiTheme="minorHAnsi" w:eastAsiaTheme="minorHAnsi" w:hAnsiTheme="minorHAnsi" w:cstheme="minorHAnsi"/>
                <w:sz w:val="16"/>
                <w:szCs w:val="16"/>
                <w:lang w:eastAsia="en-US"/>
              </w:rPr>
              <w:t>kohaldub</w:t>
            </w:r>
            <w:proofErr w:type="spellEnd"/>
            <w:r w:rsidRPr="00603F6D">
              <w:rPr>
                <w:rFonts w:asciiTheme="minorHAnsi" w:eastAsiaTheme="minorHAnsi" w:hAnsiTheme="minorHAnsi" w:cstheme="minorHAnsi"/>
                <w:sz w:val="16"/>
                <w:szCs w:val="16"/>
                <w:lang w:eastAsia="en-US"/>
              </w:rPr>
              <w:t xml:space="preserve"> kas EL </w:t>
            </w:r>
            <w:proofErr w:type="spellStart"/>
            <w:r w:rsidRPr="00603F6D">
              <w:rPr>
                <w:rFonts w:asciiTheme="minorHAnsi" w:eastAsiaTheme="minorHAnsi" w:hAnsiTheme="minorHAnsi" w:cstheme="minorHAnsi"/>
                <w:sz w:val="16"/>
                <w:szCs w:val="16"/>
                <w:lang w:eastAsia="en-US"/>
              </w:rPr>
              <w:t>väärtpaberi-õigus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või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käesolev</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w:t>
            </w:r>
            <w:proofErr w:type="spellEnd"/>
            <w:r w:rsidRPr="00603F6D">
              <w:rPr>
                <w:rFonts w:asciiTheme="minorHAnsi" w:eastAsiaTheme="minorHAnsi" w:hAnsiTheme="minorHAnsi" w:cstheme="minorHAnsi"/>
                <w:sz w:val="16"/>
                <w:szCs w:val="16"/>
                <w:lang w:eastAsia="en-US"/>
              </w:rPr>
              <w:t>).</w:t>
            </w:r>
          </w:p>
        </w:tc>
        <w:tc>
          <w:tcPr>
            <w:tcW w:w="1417" w:type="dxa"/>
          </w:tcPr>
          <w:p w14:paraId="4427F17C" w14:textId="77777777" w:rsidR="005508E5" w:rsidRPr="00603F6D" w:rsidRDefault="005508E5" w:rsidP="00E672AE">
            <w:pPr>
              <w:spacing w:before="0"/>
              <w:rPr>
                <w:rFonts w:asciiTheme="minorHAnsi" w:eastAsiaTheme="minorHAnsi" w:hAnsiTheme="minorHAnsi" w:cstheme="minorHAnsi"/>
                <w:sz w:val="16"/>
                <w:szCs w:val="16"/>
                <w:lang w:eastAsia="en-US"/>
              </w:rPr>
            </w:pPr>
            <w:r w:rsidRPr="00603F6D">
              <w:rPr>
                <w:rFonts w:asciiTheme="minorHAnsi" w:eastAsiaTheme="minorHAnsi" w:hAnsiTheme="minorHAnsi" w:cstheme="minorHAnsi"/>
                <w:sz w:val="16"/>
                <w:szCs w:val="16"/>
                <w:lang w:eastAsia="en-US"/>
              </w:rPr>
              <w:t xml:space="preserve">PTD </w:t>
            </w:r>
            <w:proofErr w:type="spellStart"/>
            <w:r w:rsidRPr="00603F6D">
              <w:rPr>
                <w:rFonts w:asciiTheme="minorHAnsi" w:eastAsiaTheme="minorHAnsi" w:hAnsiTheme="minorHAnsi" w:cstheme="minorHAnsi"/>
                <w:sz w:val="16"/>
                <w:szCs w:val="16"/>
                <w:lang w:eastAsia="en-US"/>
              </w:rPr>
              <w:t>koostamise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kohustus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vastavalt</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käesolevale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eelnõule</w:t>
            </w:r>
            <w:proofErr w:type="spellEnd"/>
            <w:r w:rsidRPr="00603F6D">
              <w:rPr>
                <w:rFonts w:asciiTheme="minorHAnsi" w:eastAsiaTheme="minorHAnsi" w:hAnsiTheme="minorHAnsi" w:cstheme="minorHAnsi"/>
                <w:sz w:val="16"/>
                <w:szCs w:val="16"/>
                <w:lang w:eastAsia="en-US"/>
              </w:rPr>
              <w:t xml:space="preserve"> on:</w:t>
            </w:r>
          </w:p>
          <w:p w14:paraId="4B67EB54" w14:textId="77777777" w:rsidR="005508E5" w:rsidRDefault="005508E5" w:rsidP="002B2C7C">
            <w:pPr>
              <w:numPr>
                <w:ilvl w:val="0"/>
                <w:numId w:val="34"/>
              </w:numPr>
              <w:spacing w:before="0"/>
              <w:ind w:left="175" w:hanging="141"/>
              <w:contextualSpacing/>
              <w:jc w:val="left"/>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suunatud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avalikkusele</w:t>
            </w:r>
            <w:proofErr w:type="spellEnd"/>
            <w:r w:rsidRPr="00603F6D">
              <w:rPr>
                <w:rFonts w:asciiTheme="minorHAnsi" w:eastAsiaTheme="minorHAnsi" w:hAnsiTheme="minorHAnsi" w:cstheme="minorHAnsi"/>
                <w:sz w:val="16"/>
                <w:szCs w:val="16"/>
                <w:lang w:eastAsia="en-US"/>
              </w:rPr>
              <w:t>.</w:t>
            </w:r>
          </w:p>
          <w:p w14:paraId="6CBBC1B7" w14:textId="77777777" w:rsidR="005508E5" w:rsidRPr="00603F6D" w:rsidRDefault="005508E5" w:rsidP="002B2C7C">
            <w:pPr>
              <w:numPr>
                <w:ilvl w:val="0"/>
                <w:numId w:val="34"/>
              </w:numPr>
              <w:spacing w:before="0"/>
              <w:ind w:left="175" w:hanging="141"/>
              <w:contextualSpacing/>
              <w:jc w:val="left"/>
              <w:rPr>
                <w:rFonts w:asciiTheme="minorHAnsi" w:eastAsiaTheme="minorHAnsi" w:hAnsiTheme="minorHAnsi" w:cstheme="minorHAnsi"/>
                <w:sz w:val="16"/>
                <w:szCs w:val="16"/>
                <w:lang w:eastAsia="en-US"/>
              </w:rPr>
            </w:pPr>
            <w:proofErr w:type="spellStart"/>
            <w:r>
              <w:rPr>
                <w:rFonts w:asciiTheme="minorHAnsi" w:eastAsiaTheme="minorHAnsi" w:hAnsiTheme="minorHAnsi" w:cstheme="minorHAnsi"/>
                <w:sz w:val="16"/>
                <w:szCs w:val="16"/>
                <w:lang w:eastAsia="en-US"/>
              </w:rPr>
              <w:t>samas</w:t>
            </w:r>
            <w:proofErr w:type="spellEnd"/>
            <w:r>
              <w:rPr>
                <w:rFonts w:asciiTheme="minorHAnsi" w:eastAsiaTheme="minorHAnsi" w:hAnsiTheme="minorHAnsi" w:cstheme="minorHAnsi"/>
                <w:sz w:val="16"/>
                <w:szCs w:val="16"/>
                <w:lang w:eastAsia="en-US"/>
              </w:rPr>
              <w:t xml:space="preserve"> on </w:t>
            </w:r>
            <w:proofErr w:type="spellStart"/>
            <w:r>
              <w:rPr>
                <w:rFonts w:asciiTheme="minorHAnsi" w:eastAsiaTheme="minorHAnsi" w:hAnsiTheme="minorHAnsi" w:cstheme="minorHAnsi"/>
                <w:sz w:val="16"/>
                <w:szCs w:val="16"/>
                <w:lang w:eastAsia="en-US"/>
              </w:rPr>
              <w:t>nähtud</w:t>
            </w:r>
            <w:proofErr w:type="spellEnd"/>
            <w:r>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erand</w:t>
            </w:r>
            <w:proofErr w:type="spellEnd"/>
            <w:r>
              <w:rPr>
                <w:rFonts w:asciiTheme="minorHAnsi" w:eastAsiaTheme="minorHAnsi" w:hAnsiTheme="minorHAnsi" w:cstheme="minorHAnsi"/>
                <w:sz w:val="16"/>
                <w:szCs w:val="16"/>
                <w:lang w:eastAsia="en-US"/>
              </w:rPr>
              <w:t xml:space="preserve">, et mis </w:t>
            </w:r>
            <w:proofErr w:type="spellStart"/>
            <w:r>
              <w:rPr>
                <w:rFonts w:asciiTheme="minorHAnsi" w:eastAsiaTheme="minorHAnsi" w:hAnsiTheme="minorHAnsi" w:cstheme="minorHAnsi"/>
                <w:sz w:val="16"/>
                <w:szCs w:val="16"/>
                <w:lang w:eastAsia="en-US"/>
              </w:rPr>
              <w:t>vormis</w:t>
            </w:r>
            <w:proofErr w:type="spellEnd"/>
            <w:r>
              <w:rPr>
                <w:rFonts w:asciiTheme="minorHAnsi" w:eastAsiaTheme="minorHAnsi" w:hAnsiTheme="minorHAnsi" w:cstheme="minorHAnsi"/>
                <w:sz w:val="16"/>
                <w:szCs w:val="16"/>
                <w:lang w:eastAsia="en-US"/>
              </w:rPr>
              <w:t xml:space="preserve"> PTD </w:t>
            </w:r>
            <w:proofErr w:type="spellStart"/>
            <w:r>
              <w:rPr>
                <w:rFonts w:asciiTheme="minorHAnsi" w:eastAsiaTheme="minorHAnsi" w:hAnsiTheme="minorHAnsi" w:cstheme="minorHAnsi"/>
                <w:sz w:val="16"/>
                <w:szCs w:val="16"/>
                <w:lang w:eastAsia="en-US"/>
              </w:rPr>
              <w:t>koostada</w:t>
            </w:r>
            <w:proofErr w:type="spellEnd"/>
            <w:r>
              <w:rPr>
                <w:rFonts w:asciiTheme="minorHAnsi" w:eastAsiaTheme="minorHAnsi" w:hAnsiTheme="minorHAnsi" w:cstheme="minorHAnsi"/>
                <w:sz w:val="16"/>
                <w:szCs w:val="16"/>
                <w:lang w:eastAsia="en-US"/>
              </w:rPr>
              <w:t>.</w:t>
            </w:r>
          </w:p>
          <w:p w14:paraId="7A037F44"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c>
          <w:tcPr>
            <w:tcW w:w="2126" w:type="dxa"/>
          </w:tcPr>
          <w:p w14:paraId="73364238" w14:textId="77777777" w:rsidR="005508E5" w:rsidRPr="00603F6D" w:rsidRDefault="005508E5" w:rsidP="00E672AE">
            <w:pPr>
              <w:spacing w:before="0"/>
              <w:rPr>
                <w:rFonts w:asciiTheme="minorHAnsi" w:eastAsiaTheme="minorHAnsi" w:hAnsiTheme="minorHAnsi" w:cstheme="minorHAnsi"/>
                <w:sz w:val="16"/>
                <w:szCs w:val="16"/>
                <w:lang w:eastAsia="en-US"/>
              </w:rPr>
            </w:pPr>
            <w:r w:rsidRPr="00603F6D">
              <w:rPr>
                <w:rFonts w:asciiTheme="minorHAnsi" w:eastAsiaTheme="minorHAnsi" w:hAnsiTheme="minorHAnsi" w:cstheme="minorHAnsi"/>
                <w:sz w:val="16"/>
                <w:szCs w:val="16"/>
                <w:lang w:eastAsia="en-US"/>
              </w:rPr>
              <w:t xml:space="preserve">PTD </w:t>
            </w:r>
            <w:r>
              <w:rPr>
                <w:rFonts w:asciiTheme="minorHAnsi" w:eastAsiaTheme="minorHAnsi" w:hAnsiTheme="minorHAnsi" w:cstheme="minorHAnsi"/>
                <w:sz w:val="16"/>
                <w:szCs w:val="16"/>
                <w:lang w:eastAsia="en-US"/>
              </w:rPr>
              <w:t>(</w:t>
            </w:r>
            <w:proofErr w:type="spellStart"/>
            <w:r>
              <w:rPr>
                <w:rFonts w:asciiTheme="minorHAnsi" w:eastAsiaTheme="minorHAnsi" w:hAnsiTheme="minorHAnsi" w:cstheme="minorHAnsi"/>
                <w:sz w:val="16"/>
                <w:szCs w:val="16"/>
                <w:lang w:eastAsia="en-US"/>
              </w:rPr>
              <w:t>standardiseeritud</w:t>
            </w:r>
            <w:proofErr w:type="spellEnd"/>
            <w:r>
              <w:rPr>
                <w:rFonts w:asciiTheme="minorHAnsi" w:eastAsiaTheme="minorHAnsi" w:hAnsiTheme="minorHAnsi" w:cstheme="minorHAnsi"/>
                <w:sz w:val="16"/>
                <w:szCs w:val="16"/>
                <w:lang w:eastAsia="en-US"/>
              </w:rPr>
              <w:t xml:space="preserve"> </w:t>
            </w:r>
            <w:r w:rsidRPr="00603F6D">
              <w:rPr>
                <w:rFonts w:asciiTheme="minorHAnsi" w:eastAsiaTheme="minorHAnsi" w:hAnsiTheme="minorHAnsi" w:cstheme="minorHAnsi"/>
                <w:i/>
                <w:iCs/>
                <w:sz w:val="16"/>
                <w:szCs w:val="16"/>
                <w:lang w:eastAsia="en-US"/>
              </w:rPr>
              <w:t xml:space="preserve">white </w:t>
            </w:r>
            <w:proofErr w:type="spellStart"/>
            <w:r w:rsidRPr="00603F6D">
              <w:rPr>
                <w:rFonts w:asciiTheme="minorHAnsi" w:eastAsiaTheme="minorHAnsi" w:hAnsiTheme="minorHAnsi" w:cstheme="minorHAnsi"/>
                <w:i/>
                <w:iCs/>
                <w:sz w:val="16"/>
                <w:szCs w:val="16"/>
                <w:lang w:eastAsia="en-US"/>
              </w:rPr>
              <w:t>paper</w:t>
            </w:r>
            <w:r>
              <w:rPr>
                <w:rFonts w:asciiTheme="minorHAnsi" w:eastAsiaTheme="minorHAnsi" w:hAnsiTheme="minorHAnsi" w:cstheme="minorHAnsi"/>
                <w:sz w:val="16"/>
                <w:szCs w:val="16"/>
                <w:lang w:eastAsia="en-US"/>
              </w:rPr>
              <w:t>’i</w:t>
            </w:r>
            <w:proofErr w:type="spellEnd"/>
            <w:r>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koostamise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kohustus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vastavalt</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käesolevale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eelnõule</w:t>
            </w:r>
            <w:proofErr w:type="spellEnd"/>
            <w:r w:rsidRPr="00603F6D">
              <w:rPr>
                <w:rFonts w:asciiTheme="minorHAnsi" w:eastAsiaTheme="minorHAnsi" w:hAnsiTheme="minorHAnsi" w:cstheme="minorHAnsi"/>
                <w:sz w:val="16"/>
                <w:szCs w:val="16"/>
                <w:lang w:eastAsia="en-US"/>
              </w:rPr>
              <w:t xml:space="preserve"> on:</w:t>
            </w:r>
          </w:p>
          <w:p w14:paraId="03975B8E" w14:textId="77777777" w:rsidR="005508E5" w:rsidRPr="00603F6D" w:rsidRDefault="005508E5" w:rsidP="002B2C7C">
            <w:pPr>
              <w:numPr>
                <w:ilvl w:val="0"/>
                <w:numId w:val="34"/>
              </w:numPr>
              <w:spacing w:before="0"/>
              <w:ind w:left="175" w:hanging="141"/>
              <w:contextualSpacing/>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pakkumine</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suunatud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avalikkusele</w:t>
            </w:r>
            <w:proofErr w:type="spellEnd"/>
            <w:r w:rsidRPr="00603F6D">
              <w:rPr>
                <w:rFonts w:asciiTheme="minorHAnsi" w:eastAsiaTheme="minorHAnsi" w:hAnsiTheme="minorHAnsi" w:cstheme="minorHAnsi"/>
                <w:sz w:val="16"/>
                <w:szCs w:val="16"/>
                <w:lang w:eastAsia="en-US"/>
              </w:rPr>
              <w:t>.</w:t>
            </w:r>
          </w:p>
          <w:p w14:paraId="609FF7C7"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
        </w:tc>
      </w:tr>
      <w:tr w:rsidR="005508E5" w:rsidRPr="00603F6D" w14:paraId="279D7C84" w14:textId="77777777" w:rsidTr="00A3112A">
        <w:trPr>
          <w:trHeight w:val="124"/>
        </w:trPr>
        <w:tc>
          <w:tcPr>
            <w:tcW w:w="9214" w:type="dxa"/>
            <w:gridSpan w:val="5"/>
            <w:vAlign w:val="center"/>
          </w:tcPr>
          <w:p w14:paraId="11BD561E"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
        </w:tc>
      </w:tr>
      <w:tr w:rsidR="005508E5" w:rsidRPr="00603F6D" w14:paraId="3DDBF6DA" w14:textId="77777777" w:rsidTr="00A3112A">
        <w:trPr>
          <w:trHeight w:val="285"/>
        </w:trPr>
        <w:tc>
          <w:tcPr>
            <w:tcW w:w="1560" w:type="dxa"/>
          </w:tcPr>
          <w:p w14:paraId="5FBE8F98"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Pakkumise</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dokumendi</w:t>
            </w:r>
            <w:proofErr w:type="spellEnd"/>
            <w:r w:rsidRPr="00603F6D">
              <w:rPr>
                <w:rFonts w:asciiTheme="minorHAnsi" w:eastAsiaTheme="minorHAnsi" w:hAnsiTheme="minorHAnsi" w:cstheme="minorHAnsi"/>
                <w:b/>
                <w:i/>
                <w:sz w:val="16"/>
                <w:szCs w:val="16"/>
                <w:lang w:eastAsia="en-US"/>
              </w:rPr>
              <w:t xml:space="preserve"> FI-s </w:t>
            </w:r>
            <w:proofErr w:type="spellStart"/>
            <w:r w:rsidRPr="00603F6D">
              <w:rPr>
                <w:rFonts w:asciiTheme="minorHAnsi" w:eastAsiaTheme="minorHAnsi" w:hAnsiTheme="minorHAnsi" w:cstheme="minorHAnsi"/>
                <w:b/>
                <w:i/>
                <w:sz w:val="16"/>
                <w:szCs w:val="16"/>
                <w:lang w:eastAsia="en-US"/>
              </w:rPr>
              <w:t>registreerimise</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kohustus</w:t>
            </w:r>
            <w:proofErr w:type="spellEnd"/>
          </w:p>
        </w:tc>
        <w:tc>
          <w:tcPr>
            <w:tcW w:w="2126" w:type="dxa"/>
          </w:tcPr>
          <w:p w14:paraId="2C97AA8A"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Prospekt</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tuleb</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Finants-inspektsioonis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registreerida</w:t>
            </w:r>
            <w:proofErr w:type="spellEnd"/>
          </w:p>
        </w:tc>
        <w:tc>
          <w:tcPr>
            <w:tcW w:w="5528" w:type="dxa"/>
            <w:gridSpan w:val="3"/>
          </w:tcPr>
          <w:p w14:paraId="51762E53" w14:textId="77777777" w:rsidR="005508E5" w:rsidRPr="00603F6D" w:rsidRDefault="005508E5" w:rsidP="00E672AE">
            <w:pPr>
              <w:spacing w:before="0"/>
              <w:jc w:val="center"/>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koguväärtus</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üle</w:t>
            </w:r>
            <w:proofErr w:type="spellEnd"/>
            <w:r w:rsidRPr="00603F6D">
              <w:rPr>
                <w:rFonts w:asciiTheme="minorHAnsi" w:eastAsiaTheme="minorHAnsi" w:hAnsiTheme="minorHAnsi" w:cstheme="minorHAnsi"/>
                <w:sz w:val="16"/>
                <w:szCs w:val="16"/>
                <w:lang w:eastAsia="en-US"/>
              </w:rPr>
              <w:t xml:space="preserve"> 5 </w:t>
            </w:r>
            <w:proofErr w:type="spellStart"/>
            <w:r w:rsidRPr="00603F6D">
              <w:rPr>
                <w:rFonts w:asciiTheme="minorHAnsi" w:eastAsiaTheme="minorHAnsi" w:hAnsiTheme="minorHAnsi" w:cstheme="minorHAnsi"/>
                <w:sz w:val="16"/>
                <w:szCs w:val="16"/>
                <w:lang w:eastAsia="en-US"/>
              </w:rPr>
              <w:t>mln</w:t>
            </w:r>
            <w:proofErr w:type="spellEnd"/>
            <w:r w:rsidRPr="00603F6D">
              <w:rPr>
                <w:rFonts w:asciiTheme="minorHAnsi" w:eastAsiaTheme="minorHAnsi" w:hAnsiTheme="minorHAnsi" w:cstheme="minorHAnsi"/>
                <w:sz w:val="16"/>
                <w:szCs w:val="16"/>
                <w:lang w:eastAsia="en-US"/>
              </w:rPr>
              <w:t xml:space="preserve"> euro, </w:t>
            </w:r>
            <w:proofErr w:type="spellStart"/>
            <w:r w:rsidRPr="00603F6D">
              <w:rPr>
                <w:rFonts w:asciiTheme="minorHAnsi" w:eastAsiaTheme="minorHAnsi" w:hAnsiTheme="minorHAnsi" w:cstheme="minorHAnsi"/>
                <w:sz w:val="16"/>
                <w:szCs w:val="16"/>
                <w:lang w:eastAsia="en-US"/>
              </w:rPr>
              <w:t>siis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tuleb</w:t>
            </w:r>
            <w:proofErr w:type="spellEnd"/>
            <w:r w:rsidRPr="00603F6D">
              <w:rPr>
                <w:rFonts w:asciiTheme="minorHAnsi" w:eastAsiaTheme="minorHAnsi" w:hAnsiTheme="minorHAnsi" w:cstheme="minorHAnsi"/>
                <w:sz w:val="16"/>
                <w:szCs w:val="16"/>
                <w:lang w:eastAsia="en-US"/>
              </w:rPr>
              <w:t xml:space="preserve"> PTD </w:t>
            </w:r>
            <w:proofErr w:type="spellStart"/>
            <w:r w:rsidRPr="00603F6D">
              <w:rPr>
                <w:rFonts w:asciiTheme="minorHAnsi" w:eastAsiaTheme="minorHAnsi" w:hAnsiTheme="minorHAnsi" w:cstheme="minorHAnsi"/>
                <w:sz w:val="16"/>
                <w:szCs w:val="16"/>
                <w:lang w:eastAsia="en-US"/>
              </w:rPr>
              <w:t>Finantsin</w:t>
            </w:r>
            <w:r>
              <w:rPr>
                <w:rFonts w:asciiTheme="minorHAnsi" w:eastAsiaTheme="minorHAnsi" w:hAnsiTheme="minorHAnsi" w:cstheme="minorHAnsi"/>
                <w:sz w:val="16"/>
                <w:szCs w:val="16"/>
                <w:lang w:eastAsia="en-US"/>
              </w:rPr>
              <w:t>s</w:t>
            </w:r>
            <w:r w:rsidRPr="00603F6D">
              <w:rPr>
                <w:rFonts w:asciiTheme="minorHAnsi" w:eastAsiaTheme="minorHAnsi" w:hAnsiTheme="minorHAnsi" w:cstheme="minorHAnsi"/>
                <w:sz w:val="16"/>
                <w:szCs w:val="16"/>
                <w:lang w:eastAsia="en-US"/>
              </w:rPr>
              <w:t>pektsioonis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registreerida</w:t>
            </w:r>
            <w:proofErr w:type="spellEnd"/>
            <w:r>
              <w:rPr>
                <w:rFonts w:asciiTheme="minorHAnsi" w:eastAsiaTheme="minorHAnsi" w:hAnsiTheme="minorHAnsi" w:cstheme="minorHAnsi"/>
                <w:sz w:val="16"/>
                <w:szCs w:val="16"/>
                <w:lang w:eastAsia="en-US"/>
              </w:rPr>
              <w:t>.</w:t>
            </w:r>
            <w:r w:rsidRPr="00603F6D">
              <w:rPr>
                <w:rFonts w:asciiTheme="minorHAnsi" w:eastAsiaTheme="minorHAnsi" w:hAnsiTheme="minorHAnsi" w:cstheme="minorHAnsi"/>
                <w:sz w:val="16"/>
                <w:szCs w:val="16"/>
                <w:lang w:eastAsia="en-US"/>
              </w:rPr>
              <w:t xml:space="preserve"> </w:t>
            </w:r>
          </w:p>
        </w:tc>
      </w:tr>
      <w:tr w:rsidR="005508E5" w:rsidRPr="00603F6D" w14:paraId="3A829AA5" w14:textId="77777777" w:rsidTr="00A3112A">
        <w:trPr>
          <w:trHeight w:val="78"/>
        </w:trPr>
        <w:tc>
          <w:tcPr>
            <w:tcW w:w="9214" w:type="dxa"/>
            <w:gridSpan w:val="5"/>
          </w:tcPr>
          <w:p w14:paraId="3A99D4B9" w14:textId="77777777" w:rsidR="005508E5" w:rsidRPr="00603F6D" w:rsidRDefault="005508E5" w:rsidP="00E672AE">
            <w:pPr>
              <w:spacing w:before="0"/>
              <w:jc w:val="center"/>
              <w:rPr>
                <w:rFonts w:asciiTheme="minorHAnsi" w:eastAsiaTheme="minorHAnsi" w:hAnsiTheme="minorHAnsi" w:cstheme="minorHAnsi"/>
                <w:b/>
                <w:sz w:val="16"/>
                <w:szCs w:val="16"/>
                <w:lang w:eastAsia="en-US"/>
              </w:rPr>
            </w:pPr>
          </w:p>
        </w:tc>
      </w:tr>
      <w:tr w:rsidR="005508E5" w:rsidRPr="00603F6D" w14:paraId="355FD535" w14:textId="77777777" w:rsidTr="00A3112A">
        <w:trPr>
          <w:trHeight w:val="305"/>
        </w:trPr>
        <w:tc>
          <w:tcPr>
            <w:tcW w:w="1560" w:type="dxa"/>
          </w:tcPr>
          <w:p w14:paraId="3F7372D3" w14:textId="77777777" w:rsidR="005508E5" w:rsidRPr="00603F6D" w:rsidRDefault="005508E5" w:rsidP="00E672AE">
            <w:pPr>
              <w:spacing w:before="0"/>
              <w:jc w:val="left"/>
              <w:rPr>
                <w:rFonts w:asciiTheme="minorHAnsi" w:eastAsiaTheme="minorHAnsi" w:hAnsiTheme="minorHAnsi" w:cstheme="minorHAnsi"/>
                <w:b/>
                <w:i/>
                <w:sz w:val="16"/>
                <w:szCs w:val="16"/>
                <w:lang w:val="es-PE" w:eastAsia="en-US"/>
              </w:rPr>
            </w:pPr>
            <w:proofErr w:type="spellStart"/>
            <w:r w:rsidRPr="00603F6D">
              <w:rPr>
                <w:rFonts w:asciiTheme="minorHAnsi" w:eastAsiaTheme="minorHAnsi" w:hAnsiTheme="minorHAnsi" w:cstheme="minorHAnsi"/>
                <w:b/>
                <w:i/>
                <w:sz w:val="16"/>
                <w:szCs w:val="16"/>
                <w:lang w:val="es-PE" w:eastAsia="en-US"/>
              </w:rPr>
              <w:t>Nõuded</w:t>
            </w:r>
            <w:proofErr w:type="spellEnd"/>
            <w:r w:rsidRPr="00603F6D">
              <w:rPr>
                <w:rFonts w:asciiTheme="minorHAnsi" w:eastAsiaTheme="minorHAnsi" w:hAnsiTheme="minorHAnsi" w:cstheme="minorHAnsi"/>
                <w:b/>
                <w:i/>
                <w:sz w:val="16"/>
                <w:szCs w:val="16"/>
                <w:lang w:val="es-PE" w:eastAsia="en-US"/>
              </w:rPr>
              <w:t xml:space="preserve"> </w:t>
            </w:r>
            <w:proofErr w:type="spellStart"/>
            <w:r w:rsidRPr="00603F6D">
              <w:rPr>
                <w:rFonts w:asciiTheme="minorHAnsi" w:eastAsiaTheme="minorHAnsi" w:hAnsiTheme="minorHAnsi" w:cstheme="minorHAnsi"/>
                <w:b/>
                <w:i/>
                <w:sz w:val="16"/>
                <w:szCs w:val="16"/>
                <w:lang w:val="es-PE" w:eastAsia="en-US"/>
              </w:rPr>
              <w:t>muu</w:t>
            </w:r>
            <w:proofErr w:type="spellEnd"/>
            <w:r w:rsidRPr="00603F6D">
              <w:rPr>
                <w:rFonts w:asciiTheme="minorHAnsi" w:eastAsiaTheme="minorHAnsi" w:hAnsiTheme="minorHAnsi" w:cstheme="minorHAnsi"/>
                <w:b/>
                <w:i/>
                <w:sz w:val="16"/>
                <w:szCs w:val="16"/>
                <w:lang w:val="es-PE" w:eastAsia="en-US"/>
              </w:rPr>
              <w:t xml:space="preserve"> </w:t>
            </w:r>
            <w:proofErr w:type="spellStart"/>
            <w:r w:rsidRPr="00603F6D">
              <w:rPr>
                <w:rFonts w:asciiTheme="minorHAnsi" w:eastAsiaTheme="minorHAnsi" w:hAnsiTheme="minorHAnsi" w:cstheme="minorHAnsi"/>
                <w:b/>
                <w:i/>
                <w:sz w:val="16"/>
                <w:szCs w:val="16"/>
                <w:lang w:val="es-PE" w:eastAsia="en-US"/>
              </w:rPr>
              <w:t>regulaarse</w:t>
            </w:r>
            <w:proofErr w:type="spellEnd"/>
            <w:r w:rsidRPr="00603F6D">
              <w:rPr>
                <w:rFonts w:asciiTheme="minorHAnsi" w:eastAsiaTheme="minorHAnsi" w:hAnsiTheme="minorHAnsi" w:cstheme="minorHAnsi"/>
                <w:b/>
                <w:i/>
                <w:sz w:val="16"/>
                <w:szCs w:val="16"/>
                <w:lang w:val="es-PE" w:eastAsia="en-US"/>
              </w:rPr>
              <w:t xml:space="preserve"> info </w:t>
            </w:r>
            <w:proofErr w:type="spellStart"/>
            <w:r w:rsidRPr="00603F6D">
              <w:rPr>
                <w:rFonts w:asciiTheme="minorHAnsi" w:eastAsiaTheme="minorHAnsi" w:hAnsiTheme="minorHAnsi" w:cstheme="minorHAnsi"/>
                <w:b/>
                <w:i/>
                <w:sz w:val="16"/>
                <w:szCs w:val="16"/>
                <w:lang w:val="es-PE" w:eastAsia="en-US"/>
              </w:rPr>
              <w:t>avalikustamisele</w:t>
            </w:r>
            <w:proofErr w:type="spellEnd"/>
          </w:p>
        </w:tc>
        <w:tc>
          <w:tcPr>
            <w:tcW w:w="2126" w:type="dxa"/>
          </w:tcPr>
          <w:p w14:paraId="4B08DC0C" w14:textId="77777777" w:rsidR="005508E5" w:rsidRPr="00603F6D" w:rsidRDefault="005508E5" w:rsidP="00E672AE">
            <w:pPr>
              <w:spacing w:before="0"/>
              <w:rPr>
                <w:rFonts w:asciiTheme="minorHAnsi" w:eastAsiaTheme="minorHAnsi" w:hAnsiTheme="minorHAnsi" w:cstheme="minorHAnsi"/>
                <w:sz w:val="16"/>
                <w:szCs w:val="16"/>
                <w:lang w:val="es-PE" w:eastAsia="en-US"/>
              </w:rPr>
            </w:pPr>
            <w:proofErr w:type="spellStart"/>
            <w:r w:rsidRPr="00603F6D">
              <w:rPr>
                <w:rFonts w:asciiTheme="minorHAnsi" w:eastAsiaTheme="minorHAnsi" w:hAnsiTheme="minorHAnsi" w:cstheme="minorHAnsi"/>
                <w:sz w:val="16"/>
                <w:szCs w:val="16"/>
                <w:lang w:val="es-PE" w:eastAsia="en-US"/>
              </w:rPr>
              <w:t>Regulaarne</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aruandluskohustus</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kui</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emitendi</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väärtpaberitega</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kaubeldakse</w:t>
            </w:r>
            <w:proofErr w:type="spellEnd"/>
            <w:r w:rsidRPr="00603F6D">
              <w:rPr>
                <w:rFonts w:asciiTheme="minorHAnsi" w:eastAsiaTheme="minorHAnsi" w:hAnsiTheme="minorHAnsi" w:cstheme="minorHAnsi"/>
                <w:sz w:val="16"/>
                <w:szCs w:val="16"/>
                <w:lang w:val="es-PE" w:eastAsia="en-US"/>
              </w:rPr>
              <w:t>).</w:t>
            </w:r>
          </w:p>
        </w:tc>
        <w:tc>
          <w:tcPr>
            <w:tcW w:w="5528" w:type="dxa"/>
            <w:gridSpan w:val="3"/>
          </w:tcPr>
          <w:p w14:paraId="2DEE9892"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val="es-PE" w:eastAsia="en-US"/>
              </w:rPr>
              <w:t>Regulaarne</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aruandluskohustus</w:t>
            </w:r>
            <w:proofErr w:type="spellEnd"/>
            <w:r w:rsidRPr="00603F6D">
              <w:rPr>
                <w:rFonts w:asciiTheme="minorHAnsi" w:eastAsiaTheme="minorHAnsi" w:hAnsiTheme="minorHAnsi" w:cstheme="minorHAnsi"/>
                <w:sz w:val="16"/>
                <w:szCs w:val="16"/>
                <w:lang w:val="es-PE" w:eastAsia="en-US"/>
              </w:rPr>
              <w:t xml:space="preserve"> ja </w:t>
            </w:r>
            <w:proofErr w:type="spellStart"/>
            <w:r w:rsidRPr="00603F6D">
              <w:rPr>
                <w:rFonts w:asciiTheme="minorHAnsi" w:eastAsiaTheme="minorHAnsi" w:hAnsiTheme="minorHAnsi" w:cstheme="minorHAnsi"/>
                <w:sz w:val="16"/>
                <w:szCs w:val="16"/>
                <w:lang w:val="es-PE" w:eastAsia="en-US"/>
              </w:rPr>
              <w:t>eraldi</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nõuded</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konkreetse</w:t>
            </w:r>
            <w:proofErr w:type="spellEnd"/>
            <w:r w:rsidRPr="00603F6D">
              <w:rPr>
                <w:rFonts w:asciiTheme="minorHAnsi" w:eastAsiaTheme="minorHAnsi" w:hAnsiTheme="minorHAnsi" w:cstheme="minorHAnsi"/>
                <w:sz w:val="16"/>
                <w:szCs w:val="16"/>
                <w:lang w:val="es-PE" w:eastAsia="en-US"/>
              </w:rPr>
              <w:t xml:space="preserve"> </w:t>
            </w:r>
            <w:proofErr w:type="spellStart"/>
            <w:r w:rsidRPr="00603F6D">
              <w:rPr>
                <w:rFonts w:asciiTheme="minorHAnsi" w:eastAsiaTheme="minorHAnsi" w:hAnsiTheme="minorHAnsi" w:cstheme="minorHAnsi"/>
                <w:sz w:val="16"/>
                <w:szCs w:val="16"/>
                <w:lang w:val="es-PE" w:eastAsia="en-US"/>
              </w:rPr>
              <w:t>investeerimisprojekti</w:t>
            </w:r>
            <w:proofErr w:type="spellEnd"/>
            <w:r w:rsidRPr="00603F6D">
              <w:rPr>
                <w:rFonts w:asciiTheme="minorHAnsi" w:eastAsiaTheme="minorHAnsi" w:hAnsiTheme="minorHAnsi" w:cstheme="minorHAnsi"/>
                <w:sz w:val="16"/>
                <w:szCs w:val="16"/>
                <w:lang w:val="es-PE" w:eastAsia="en-US"/>
              </w:rPr>
              <w:t xml:space="preserve"> kohta.</w:t>
            </w:r>
          </w:p>
        </w:tc>
      </w:tr>
      <w:tr w:rsidR="005508E5" w:rsidRPr="00603F6D" w14:paraId="1A6D8FD6" w14:textId="77777777" w:rsidTr="00A3112A">
        <w:trPr>
          <w:trHeight w:val="70"/>
        </w:trPr>
        <w:tc>
          <w:tcPr>
            <w:tcW w:w="9214" w:type="dxa"/>
            <w:gridSpan w:val="5"/>
          </w:tcPr>
          <w:p w14:paraId="388326A0" w14:textId="77777777" w:rsidR="005508E5" w:rsidRPr="00603F6D" w:rsidRDefault="005508E5" w:rsidP="00E672AE">
            <w:pPr>
              <w:spacing w:before="0"/>
              <w:rPr>
                <w:rFonts w:asciiTheme="minorHAnsi" w:eastAsiaTheme="minorHAnsi" w:hAnsiTheme="minorHAnsi" w:cstheme="minorHAnsi"/>
                <w:b/>
                <w:sz w:val="16"/>
                <w:szCs w:val="16"/>
                <w:lang w:eastAsia="en-US"/>
              </w:rPr>
            </w:pPr>
          </w:p>
        </w:tc>
      </w:tr>
      <w:tr w:rsidR="005508E5" w:rsidRPr="00603F6D" w14:paraId="224C5527" w14:textId="77777777" w:rsidTr="00A3112A">
        <w:trPr>
          <w:trHeight w:val="285"/>
        </w:trPr>
        <w:tc>
          <w:tcPr>
            <w:tcW w:w="1560" w:type="dxa"/>
          </w:tcPr>
          <w:p w14:paraId="7833B1B2"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Tegevusloa</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nõue</w:t>
            </w:r>
            <w:proofErr w:type="spellEnd"/>
          </w:p>
        </w:tc>
        <w:tc>
          <w:tcPr>
            <w:tcW w:w="2126" w:type="dxa"/>
          </w:tcPr>
          <w:p w14:paraId="7234F944"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Vajalik</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krediidiasutuse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investeerimisühingu</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või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fondivalitseja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tegevusluba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väärtpabereid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pakutakse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investeerimisteenuse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osutamise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raames</w:t>
            </w:r>
            <w:proofErr w:type="spellEnd"/>
            <w:r w:rsidRPr="00603F6D">
              <w:rPr>
                <w:rFonts w:asciiTheme="minorHAnsi" w:eastAsiaTheme="minorHAnsi" w:hAnsiTheme="minorHAnsi" w:cstheme="minorHAnsi"/>
                <w:sz w:val="16"/>
                <w:szCs w:val="16"/>
                <w:lang w:eastAsia="en-US"/>
              </w:rPr>
              <w:t>).</w:t>
            </w:r>
          </w:p>
        </w:tc>
        <w:tc>
          <w:tcPr>
            <w:tcW w:w="3402" w:type="dxa"/>
            <w:gridSpan w:val="2"/>
          </w:tcPr>
          <w:p w14:paraId="754B8C6D"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Juhul</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kui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vahendeid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kaasatakse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läbi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ühisrahastusplatvormi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siis</w:t>
            </w:r>
            <w:proofErr w:type="spellEnd"/>
            <w:r w:rsidRPr="00603F6D">
              <w:rPr>
                <w:rFonts w:asciiTheme="minorHAnsi" w:eastAsiaTheme="minorHAnsi" w:hAnsiTheme="minorHAnsi" w:cstheme="minorHAnsi"/>
                <w:sz w:val="16"/>
                <w:szCs w:val="16"/>
                <w:lang w:eastAsia="en-US"/>
              </w:rPr>
              <w:t xml:space="preserve"> on </w:t>
            </w:r>
            <w:proofErr w:type="spellStart"/>
            <w:r>
              <w:rPr>
                <w:rFonts w:asciiTheme="minorHAnsi" w:eastAsiaTheme="minorHAnsi" w:hAnsiTheme="minorHAnsi" w:cstheme="minorHAnsi"/>
                <w:sz w:val="16"/>
                <w:szCs w:val="16"/>
                <w:lang w:eastAsia="en-US"/>
              </w:rPr>
              <w:t>selle</w:t>
            </w:r>
            <w:proofErr w:type="spellEnd"/>
            <w:r>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teenuse</w:t>
            </w:r>
            <w:proofErr w:type="spellEnd"/>
            <w:r>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osutamiseks</w:t>
            </w:r>
            <w:proofErr w:type="spellEnd"/>
            <w:r>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s.t.</w:t>
            </w:r>
            <w:proofErr w:type="spellEnd"/>
            <w:r>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ühisrahastusteenuse</w:t>
            </w:r>
            <w:proofErr w:type="spellEnd"/>
            <w:r>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vajalik</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Finantsinspektsiooni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tegevusluba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Ühekordse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pakkumise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jaoks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tegevusluba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vajalik</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taotleda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ei</w:t>
            </w:r>
            <w:proofErr w:type="spellEnd"/>
            <w:r w:rsidRPr="00603F6D">
              <w:rPr>
                <w:rFonts w:asciiTheme="minorHAnsi" w:eastAsiaTheme="minorHAnsi" w:hAnsiTheme="minorHAnsi" w:cstheme="minorHAnsi"/>
                <w:sz w:val="16"/>
                <w:szCs w:val="16"/>
                <w:lang w:eastAsia="en-US"/>
              </w:rPr>
              <w:t xml:space="preserve"> ole. </w:t>
            </w:r>
          </w:p>
        </w:tc>
        <w:tc>
          <w:tcPr>
            <w:tcW w:w="2126" w:type="dxa"/>
          </w:tcPr>
          <w:p w14:paraId="6E5732FF"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Erinevate</w:t>
            </w:r>
            <w:proofErr w:type="spellEnd"/>
            <w:r w:rsidRPr="00603F6D">
              <w:rPr>
                <w:rFonts w:asciiTheme="minorHAnsi" w:eastAsiaTheme="minorHAnsi" w:hAnsiTheme="minorHAnsi" w:cstheme="minorHAnsi"/>
                <w:sz w:val="16"/>
                <w:szCs w:val="16"/>
                <w:lang w:eastAsia="en-US"/>
              </w:rPr>
              <w:t xml:space="preserve"> </w:t>
            </w:r>
            <w:proofErr w:type="spellStart"/>
            <w:r>
              <w:rPr>
                <w:rFonts w:asciiTheme="minorHAnsi" w:eastAsiaTheme="minorHAnsi" w:hAnsiTheme="minorHAnsi" w:cstheme="minorHAnsi"/>
                <w:sz w:val="16"/>
                <w:szCs w:val="16"/>
                <w:lang w:eastAsia="en-US"/>
              </w:rPr>
              <w:t>krüptovaradega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seotud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teenuste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osutamise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jaoks</w:t>
            </w:r>
            <w:proofErr w:type="spellEnd"/>
            <w:r w:rsidRPr="00603F6D">
              <w:rPr>
                <w:rFonts w:asciiTheme="minorHAnsi" w:eastAsiaTheme="minorHAnsi" w:hAnsiTheme="minorHAnsi" w:cstheme="minorHAnsi"/>
                <w:sz w:val="16"/>
                <w:szCs w:val="16"/>
                <w:lang w:eastAsia="en-US"/>
              </w:rPr>
              <w:t xml:space="preserve"> on </w:t>
            </w:r>
            <w:proofErr w:type="spellStart"/>
            <w:r w:rsidRPr="00603F6D">
              <w:rPr>
                <w:rFonts w:asciiTheme="minorHAnsi" w:eastAsiaTheme="minorHAnsi" w:hAnsiTheme="minorHAnsi" w:cstheme="minorHAnsi"/>
                <w:sz w:val="16"/>
                <w:szCs w:val="16"/>
                <w:lang w:eastAsia="en-US"/>
              </w:rPr>
              <w:t>vajalik</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Finantsinspektsiooni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tegevusluba</w:t>
            </w:r>
            <w:proofErr w:type="spellEnd"/>
            <w:r w:rsidRPr="00603F6D">
              <w:rPr>
                <w:rFonts w:asciiTheme="minorHAnsi" w:eastAsiaTheme="minorHAnsi" w:hAnsiTheme="minorHAnsi" w:cstheme="minorHAnsi"/>
                <w:sz w:val="16"/>
                <w:szCs w:val="16"/>
                <w:lang w:eastAsia="en-US"/>
              </w:rPr>
              <w:t>.</w:t>
            </w:r>
          </w:p>
        </w:tc>
      </w:tr>
      <w:tr w:rsidR="005508E5" w:rsidRPr="00603F6D" w14:paraId="67CEA99C" w14:textId="77777777" w:rsidTr="00A3112A">
        <w:trPr>
          <w:trHeight w:val="70"/>
        </w:trPr>
        <w:tc>
          <w:tcPr>
            <w:tcW w:w="9214" w:type="dxa"/>
            <w:gridSpan w:val="5"/>
          </w:tcPr>
          <w:p w14:paraId="656B7E06" w14:textId="77777777" w:rsidR="005508E5" w:rsidRPr="00603F6D" w:rsidRDefault="005508E5" w:rsidP="00E672AE">
            <w:pPr>
              <w:spacing w:before="0"/>
              <w:rPr>
                <w:rFonts w:asciiTheme="minorHAnsi" w:eastAsiaTheme="minorHAnsi" w:hAnsiTheme="minorHAnsi" w:cstheme="minorHAnsi"/>
                <w:b/>
                <w:sz w:val="16"/>
                <w:szCs w:val="16"/>
                <w:lang w:eastAsia="en-US"/>
              </w:rPr>
            </w:pPr>
          </w:p>
        </w:tc>
      </w:tr>
      <w:tr w:rsidR="005508E5" w:rsidRPr="00603F6D" w14:paraId="1B6DD48A" w14:textId="77777777" w:rsidTr="00A3112A">
        <w:trPr>
          <w:trHeight w:val="285"/>
        </w:trPr>
        <w:tc>
          <w:tcPr>
            <w:tcW w:w="1560" w:type="dxa"/>
          </w:tcPr>
          <w:p w14:paraId="7E4DA20E"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Nõuded</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kauplemiskohale</w:t>
            </w:r>
            <w:proofErr w:type="spellEnd"/>
          </w:p>
        </w:tc>
        <w:tc>
          <w:tcPr>
            <w:tcW w:w="2126" w:type="dxa"/>
          </w:tcPr>
          <w:p w14:paraId="034EF1DE"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Eraldi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nõuded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kauplemiskohtadele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börsile</w:t>
            </w:r>
            <w:proofErr w:type="spellEnd"/>
            <w:r w:rsidRPr="00603F6D">
              <w:rPr>
                <w:rFonts w:asciiTheme="minorHAnsi" w:eastAsiaTheme="minorHAnsi" w:hAnsiTheme="minorHAnsi" w:cstheme="minorHAnsi"/>
                <w:sz w:val="16"/>
                <w:szCs w:val="16"/>
                <w:lang w:eastAsia="en-US"/>
              </w:rPr>
              <w:t xml:space="preserve"> ja </w:t>
            </w:r>
            <w:proofErr w:type="spellStart"/>
            <w:r w:rsidRPr="00603F6D">
              <w:rPr>
                <w:rFonts w:asciiTheme="minorHAnsi" w:eastAsiaTheme="minorHAnsi" w:hAnsiTheme="minorHAnsi" w:cstheme="minorHAnsi"/>
                <w:sz w:val="16"/>
                <w:szCs w:val="16"/>
                <w:lang w:eastAsia="en-US"/>
              </w:rPr>
              <w:t>alternatiivbörsile</w:t>
            </w:r>
            <w:proofErr w:type="spellEnd"/>
            <w:r w:rsidRPr="00603F6D">
              <w:rPr>
                <w:rFonts w:asciiTheme="minorHAnsi" w:eastAsiaTheme="minorHAnsi" w:hAnsiTheme="minorHAnsi" w:cstheme="minorHAnsi"/>
                <w:sz w:val="16"/>
                <w:szCs w:val="16"/>
                <w:lang w:eastAsia="en-US"/>
              </w:rPr>
              <w:t>).</w:t>
            </w:r>
          </w:p>
        </w:tc>
        <w:tc>
          <w:tcPr>
            <w:tcW w:w="1985" w:type="dxa"/>
          </w:tcPr>
          <w:p w14:paraId="06A19204"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Eraldi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nõuded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nn</w:t>
            </w:r>
            <w:proofErr w:type="spellEnd"/>
            <w:r w:rsidRPr="00603F6D">
              <w:rPr>
                <w:rFonts w:asciiTheme="minorHAnsi" w:eastAsiaTheme="minorHAnsi" w:hAnsiTheme="minorHAnsi" w:cstheme="minorHAnsi"/>
                <w:sz w:val="16"/>
                <w:szCs w:val="16"/>
                <w:lang w:eastAsia="en-US"/>
              </w:rPr>
              <w:t xml:space="preserve"> </w:t>
            </w:r>
            <w:r w:rsidRPr="00603F6D">
              <w:rPr>
                <w:rFonts w:asciiTheme="minorHAnsi" w:eastAsiaTheme="minorHAnsi" w:hAnsiTheme="minorHAnsi" w:cstheme="minorHAnsi"/>
                <w:i/>
                <w:sz w:val="16"/>
                <w:szCs w:val="16"/>
                <w:lang w:eastAsia="en-US"/>
              </w:rPr>
              <w:t>bulletin board</w:t>
            </w:r>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stiilis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kauplemiskeskkonna</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korraldamisele</w:t>
            </w:r>
            <w:proofErr w:type="spellEnd"/>
            <w:r w:rsidRPr="00603F6D">
              <w:rPr>
                <w:rFonts w:asciiTheme="minorHAnsi" w:eastAsiaTheme="minorHAnsi" w:hAnsiTheme="minorHAnsi" w:cstheme="minorHAnsi"/>
                <w:sz w:val="16"/>
                <w:szCs w:val="16"/>
                <w:lang w:eastAsia="en-US"/>
              </w:rPr>
              <w:t>.</w:t>
            </w:r>
          </w:p>
        </w:tc>
        <w:tc>
          <w:tcPr>
            <w:tcW w:w="1417" w:type="dxa"/>
          </w:tcPr>
          <w:p w14:paraId="7F6B580D"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Eraldi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nõuded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finantsvahendusplatvormi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korraldamisele</w:t>
            </w:r>
            <w:proofErr w:type="spellEnd"/>
            <w:r w:rsidRPr="00603F6D">
              <w:rPr>
                <w:rFonts w:asciiTheme="minorHAnsi" w:eastAsiaTheme="minorHAnsi" w:hAnsiTheme="minorHAnsi" w:cstheme="minorHAnsi"/>
                <w:sz w:val="16"/>
                <w:szCs w:val="16"/>
                <w:lang w:eastAsia="en-US"/>
              </w:rPr>
              <w:t>.</w:t>
            </w:r>
          </w:p>
        </w:tc>
        <w:tc>
          <w:tcPr>
            <w:tcW w:w="2126" w:type="dxa"/>
          </w:tcPr>
          <w:p w14:paraId="541DEF30" w14:textId="2F98C528"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Eraldi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nõuded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finantsvahendusplatvormi</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korraldamisele</w:t>
            </w:r>
            <w:proofErr w:type="spellEnd"/>
            <w:r w:rsidRPr="00603F6D">
              <w:rPr>
                <w:rFonts w:asciiTheme="minorHAnsi" w:eastAsiaTheme="minorHAnsi" w:hAnsiTheme="minorHAnsi" w:cstheme="minorHAnsi"/>
                <w:sz w:val="16"/>
                <w:szCs w:val="16"/>
                <w:lang w:eastAsia="en-US"/>
              </w:rPr>
              <w:t>.</w:t>
            </w:r>
          </w:p>
        </w:tc>
      </w:tr>
      <w:tr w:rsidR="005508E5" w:rsidRPr="00603F6D" w14:paraId="3669B7D6" w14:textId="77777777" w:rsidTr="00A3112A">
        <w:trPr>
          <w:trHeight w:val="96"/>
        </w:trPr>
        <w:tc>
          <w:tcPr>
            <w:tcW w:w="9214" w:type="dxa"/>
            <w:gridSpan w:val="5"/>
          </w:tcPr>
          <w:p w14:paraId="5F7F6C47" w14:textId="77777777" w:rsidR="005508E5" w:rsidRPr="00603F6D" w:rsidRDefault="005508E5" w:rsidP="00E672AE">
            <w:pPr>
              <w:spacing w:before="0"/>
              <w:rPr>
                <w:rFonts w:asciiTheme="minorHAnsi" w:eastAsiaTheme="minorHAnsi" w:hAnsiTheme="minorHAnsi" w:cstheme="minorHAnsi"/>
                <w:b/>
                <w:sz w:val="16"/>
                <w:szCs w:val="16"/>
                <w:lang w:eastAsia="en-US"/>
              </w:rPr>
            </w:pPr>
          </w:p>
        </w:tc>
      </w:tr>
      <w:tr w:rsidR="005508E5" w:rsidRPr="00603F6D" w14:paraId="2C80D91A" w14:textId="77777777" w:rsidTr="00A3112A">
        <w:trPr>
          <w:trHeight w:val="285"/>
        </w:trPr>
        <w:tc>
          <w:tcPr>
            <w:tcW w:w="1560" w:type="dxa"/>
          </w:tcPr>
          <w:p w14:paraId="10BE50A1" w14:textId="77777777" w:rsidR="005508E5" w:rsidRPr="00603F6D" w:rsidRDefault="005508E5" w:rsidP="00E672AE">
            <w:pPr>
              <w:spacing w:before="0"/>
              <w:jc w:val="left"/>
              <w:rPr>
                <w:rFonts w:asciiTheme="minorHAnsi" w:eastAsiaTheme="minorHAnsi" w:hAnsiTheme="minorHAnsi" w:cstheme="minorHAnsi"/>
                <w:b/>
                <w:i/>
                <w:sz w:val="16"/>
                <w:szCs w:val="16"/>
                <w:lang w:eastAsia="en-US"/>
              </w:rPr>
            </w:pPr>
            <w:proofErr w:type="spellStart"/>
            <w:r w:rsidRPr="00603F6D">
              <w:rPr>
                <w:rFonts w:asciiTheme="minorHAnsi" w:eastAsiaTheme="minorHAnsi" w:hAnsiTheme="minorHAnsi" w:cstheme="minorHAnsi"/>
                <w:b/>
                <w:i/>
                <w:sz w:val="16"/>
                <w:szCs w:val="16"/>
                <w:lang w:eastAsia="en-US"/>
              </w:rPr>
              <w:t>Nõuded</w:t>
            </w:r>
            <w:proofErr w:type="spellEnd"/>
            <w:r w:rsidRPr="00603F6D">
              <w:rPr>
                <w:rFonts w:asciiTheme="minorHAnsi" w:eastAsiaTheme="minorHAnsi" w:hAnsiTheme="minorHAnsi" w:cstheme="minorHAnsi"/>
                <w:b/>
                <w:i/>
                <w:sz w:val="16"/>
                <w:szCs w:val="16"/>
                <w:lang w:eastAsia="en-US"/>
              </w:rPr>
              <w:t xml:space="preserve"> </w:t>
            </w:r>
            <w:proofErr w:type="spellStart"/>
            <w:r w:rsidRPr="00603F6D">
              <w:rPr>
                <w:rFonts w:asciiTheme="minorHAnsi" w:eastAsiaTheme="minorHAnsi" w:hAnsiTheme="minorHAnsi" w:cstheme="minorHAnsi"/>
                <w:b/>
                <w:i/>
                <w:sz w:val="16"/>
                <w:szCs w:val="16"/>
                <w:lang w:eastAsia="en-US"/>
              </w:rPr>
              <w:t>registripidamisele</w:t>
            </w:r>
            <w:proofErr w:type="spellEnd"/>
          </w:p>
        </w:tc>
        <w:tc>
          <w:tcPr>
            <w:tcW w:w="2126" w:type="dxa"/>
          </w:tcPr>
          <w:p w14:paraId="7027F9B1" w14:textId="77777777" w:rsidR="005508E5" w:rsidRPr="00603F6D" w:rsidRDefault="005508E5" w:rsidP="00E672AE">
            <w:pPr>
              <w:spacing w:before="0"/>
              <w:rPr>
                <w:rFonts w:asciiTheme="minorHAnsi" w:eastAsiaTheme="minorHAnsi" w:hAnsiTheme="minorHAnsi" w:cstheme="minorHAnsi"/>
                <w:sz w:val="16"/>
                <w:szCs w:val="16"/>
                <w:lang w:eastAsia="en-US"/>
              </w:rPr>
            </w:pPr>
            <w:proofErr w:type="spellStart"/>
            <w:r w:rsidRPr="00603F6D">
              <w:rPr>
                <w:rFonts w:asciiTheme="minorHAnsi" w:eastAsiaTheme="minorHAnsi" w:hAnsiTheme="minorHAnsi" w:cstheme="minorHAnsi"/>
                <w:sz w:val="16"/>
                <w:szCs w:val="16"/>
                <w:lang w:eastAsia="en-US"/>
              </w:rPr>
              <w:t>Kauplemiskohas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kauplemisele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võetud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väärtpaberid</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tuleb</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väärtpaberite</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kesk-depositooriumis</w:t>
            </w:r>
            <w:proofErr w:type="spellEnd"/>
            <w:r w:rsidRPr="00603F6D">
              <w:rPr>
                <w:rFonts w:asciiTheme="minorHAnsi" w:eastAsiaTheme="minorHAnsi" w:hAnsiTheme="minorHAnsi" w:cstheme="minorHAnsi"/>
                <w:sz w:val="16"/>
                <w:szCs w:val="16"/>
                <w:lang w:eastAsia="en-US"/>
              </w:rPr>
              <w:t xml:space="preserve"> </w:t>
            </w:r>
            <w:proofErr w:type="spellStart"/>
            <w:r w:rsidRPr="00603F6D">
              <w:rPr>
                <w:rFonts w:asciiTheme="minorHAnsi" w:eastAsiaTheme="minorHAnsi" w:hAnsiTheme="minorHAnsi" w:cstheme="minorHAnsi"/>
                <w:sz w:val="16"/>
                <w:szCs w:val="16"/>
                <w:lang w:eastAsia="en-US"/>
              </w:rPr>
              <w:t>registreerida</w:t>
            </w:r>
            <w:proofErr w:type="spellEnd"/>
            <w:r w:rsidRPr="00603F6D">
              <w:rPr>
                <w:rFonts w:asciiTheme="minorHAnsi" w:eastAsiaTheme="minorHAnsi" w:hAnsiTheme="minorHAnsi" w:cstheme="minorHAnsi"/>
                <w:sz w:val="16"/>
                <w:szCs w:val="16"/>
                <w:lang w:eastAsia="en-US"/>
              </w:rPr>
              <w:t>.</w:t>
            </w:r>
          </w:p>
        </w:tc>
        <w:tc>
          <w:tcPr>
            <w:tcW w:w="5528" w:type="dxa"/>
            <w:gridSpan w:val="3"/>
          </w:tcPr>
          <w:p w14:paraId="48A2E6E6" w14:textId="77777777" w:rsidR="005508E5" w:rsidRPr="00603F6D" w:rsidRDefault="005508E5" w:rsidP="00E672AE">
            <w:pPr>
              <w:spacing w:before="0"/>
              <w:rPr>
                <w:rFonts w:asciiTheme="minorHAnsi" w:eastAsiaTheme="minorHAnsi" w:hAnsiTheme="minorHAnsi" w:cstheme="minorHAnsi"/>
                <w:sz w:val="16"/>
                <w:szCs w:val="16"/>
                <w:lang w:val="pt-PT" w:eastAsia="en-US"/>
              </w:rPr>
            </w:pPr>
            <w:r w:rsidRPr="00603F6D">
              <w:rPr>
                <w:rFonts w:asciiTheme="minorHAnsi" w:eastAsiaTheme="minorHAnsi" w:hAnsiTheme="minorHAnsi" w:cstheme="minorHAnsi"/>
                <w:sz w:val="16"/>
                <w:szCs w:val="16"/>
                <w:lang w:val="pt-PT" w:eastAsia="en-US"/>
              </w:rPr>
              <w:t>Eraldi registripidamise nõudeid ette nähtud ei ole.</w:t>
            </w:r>
            <w:r>
              <w:rPr>
                <w:rFonts w:asciiTheme="minorHAnsi" w:eastAsiaTheme="minorHAnsi" w:hAnsiTheme="minorHAnsi" w:cstheme="minorHAnsi"/>
                <w:sz w:val="16"/>
                <w:szCs w:val="16"/>
                <w:lang w:val="pt-PT" w:eastAsia="en-US"/>
              </w:rPr>
              <w:t xml:space="preserve"> Nõuded on ette nähtud andmete ja tehingute säilitamisele.</w:t>
            </w:r>
          </w:p>
        </w:tc>
      </w:tr>
    </w:tbl>
    <w:p w14:paraId="6615823A" w14:textId="77777777" w:rsidR="005508E5" w:rsidRDefault="005508E5" w:rsidP="005508E5">
      <w:pPr>
        <w:spacing w:before="0"/>
        <w:jc w:val="left"/>
        <w:rPr>
          <w:sz w:val="22"/>
          <w:szCs w:val="22"/>
          <w:lang w:eastAsia="en-US"/>
        </w:rPr>
      </w:pPr>
    </w:p>
    <w:p w14:paraId="6231C55B" w14:textId="77777777" w:rsidR="005508E5" w:rsidRPr="00383646" w:rsidRDefault="005508E5" w:rsidP="005508E5">
      <w:pPr>
        <w:pStyle w:val="Heading2"/>
        <w:numPr>
          <w:ilvl w:val="1"/>
          <w:numId w:val="9"/>
        </w:numPr>
        <w:spacing w:before="0"/>
        <w:ind w:left="426" w:hanging="426"/>
        <w:rPr>
          <w:color w:val="auto"/>
          <w:sz w:val="22"/>
          <w:szCs w:val="22"/>
        </w:rPr>
      </w:pPr>
      <w:r w:rsidRPr="00383646">
        <w:rPr>
          <w:color w:val="auto"/>
          <w:sz w:val="22"/>
          <w:szCs w:val="22"/>
        </w:rPr>
        <w:t>Kehtiv regulatsioon ja turuülevaade</w:t>
      </w:r>
    </w:p>
    <w:p w14:paraId="2A6D2F8B" w14:textId="77777777" w:rsidR="005508E5" w:rsidRDefault="005508E5" w:rsidP="005508E5">
      <w:pPr>
        <w:spacing w:before="0"/>
        <w:jc w:val="left"/>
        <w:rPr>
          <w:sz w:val="22"/>
          <w:szCs w:val="22"/>
          <w:lang w:eastAsia="en-US"/>
        </w:rPr>
      </w:pPr>
    </w:p>
    <w:p w14:paraId="39C5A829" w14:textId="77777777" w:rsidR="005508E5" w:rsidRPr="007C1801" w:rsidRDefault="005508E5" w:rsidP="005508E5">
      <w:pPr>
        <w:spacing w:before="0"/>
        <w:jc w:val="left"/>
        <w:rPr>
          <w:b/>
          <w:sz w:val="22"/>
          <w:szCs w:val="22"/>
          <w:lang w:eastAsia="en-US"/>
        </w:rPr>
      </w:pPr>
      <w:r w:rsidRPr="007C1801">
        <w:rPr>
          <w:b/>
          <w:sz w:val="22"/>
          <w:szCs w:val="22"/>
          <w:lang w:eastAsia="en-US"/>
        </w:rPr>
        <w:t>Väärtpaber</w:t>
      </w:r>
      <w:r>
        <w:rPr>
          <w:b/>
          <w:sz w:val="22"/>
          <w:szCs w:val="22"/>
          <w:lang w:eastAsia="en-US"/>
        </w:rPr>
        <w:t xml:space="preserve"> EL ja Eesti õiguses</w:t>
      </w:r>
    </w:p>
    <w:p w14:paraId="6ED0FD5D" w14:textId="77777777" w:rsidR="005508E5" w:rsidRDefault="005508E5" w:rsidP="005508E5">
      <w:pPr>
        <w:spacing w:before="0"/>
        <w:rPr>
          <w:sz w:val="22"/>
          <w:szCs w:val="22"/>
        </w:rPr>
      </w:pPr>
    </w:p>
    <w:p w14:paraId="6294DC22" w14:textId="77777777" w:rsidR="005508E5" w:rsidRDefault="005508E5" w:rsidP="005508E5">
      <w:pPr>
        <w:spacing w:before="0"/>
        <w:rPr>
          <w:sz w:val="22"/>
          <w:szCs w:val="22"/>
        </w:rPr>
      </w:pPr>
      <w:r>
        <w:rPr>
          <w:sz w:val="22"/>
          <w:szCs w:val="22"/>
        </w:rPr>
        <w:t xml:space="preserve">Nagu eespool märgitud, siis </w:t>
      </w:r>
      <w:proofErr w:type="spellStart"/>
      <w:r w:rsidRPr="007C1801">
        <w:rPr>
          <w:sz w:val="22"/>
          <w:szCs w:val="22"/>
        </w:rPr>
        <w:t>MiFID</w:t>
      </w:r>
      <w:proofErr w:type="spellEnd"/>
      <w:r>
        <w:rPr>
          <w:sz w:val="22"/>
          <w:szCs w:val="22"/>
        </w:rPr>
        <w:t xml:space="preserve"> II</w:t>
      </w:r>
      <w:r w:rsidRPr="007C1801">
        <w:rPr>
          <w:sz w:val="22"/>
          <w:szCs w:val="22"/>
        </w:rPr>
        <w:t xml:space="preserve"> art</w:t>
      </w:r>
      <w:r>
        <w:rPr>
          <w:sz w:val="22"/>
          <w:szCs w:val="22"/>
        </w:rPr>
        <w:t>ikli</w:t>
      </w:r>
      <w:r w:rsidRPr="007C1801">
        <w:rPr>
          <w:sz w:val="22"/>
          <w:szCs w:val="22"/>
        </w:rPr>
        <w:t xml:space="preserve"> 4</w:t>
      </w:r>
      <w:r>
        <w:rPr>
          <w:sz w:val="22"/>
          <w:szCs w:val="22"/>
        </w:rPr>
        <w:t xml:space="preserve"> lõige </w:t>
      </w:r>
      <w:r w:rsidRPr="007C1801">
        <w:rPr>
          <w:sz w:val="22"/>
          <w:szCs w:val="22"/>
        </w:rPr>
        <w:t>1 p</w:t>
      </w:r>
      <w:r>
        <w:rPr>
          <w:sz w:val="22"/>
          <w:szCs w:val="22"/>
        </w:rPr>
        <w:t>unkt</w:t>
      </w:r>
      <w:r w:rsidRPr="007C1801">
        <w:rPr>
          <w:sz w:val="22"/>
          <w:szCs w:val="22"/>
        </w:rPr>
        <w:t xml:space="preserve"> 44 määratleb võõrandatavad väärtpaberid, mis on kapitaliturul kaubeldavad</w:t>
      </w:r>
      <w:r>
        <w:rPr>
          <w:sz w:val="22"/>
          <w:szCs w:val="22"/>
        </w:rPr>
        <w:t xml:space="preserve"> (ja üleantavad)</w:t>
      </w:r>
      <w:r w:rsidRPr="007C1801">
        <w:rPr>
          <w:sz w:val="22"/>
          <w:szCs w:val="22"/>
        </w:rPr>
        <w:t>, mh</w:t>
      </w:r>
      <w:r>
        <w:rPr>
          <w:sz w:val="22"/>
          <w:szCs w:val="22"/>
        </w:rPr>
        <w:t>:</w:t>
      </w:r>
    </w:p>
    <w:p w14:paraId="03CDEE3B" w14:textId="77777777" w:rsidR="005508E5" w:rsidRDefault="005508E5" w:rsidP="005508E5">
      <w:pPr>
        <w:spacing w:before="0"/>
        <w:rPr>
          <w:sz w:val="22"/>
          <w:szCs w:val="22"/>
        </w:rPr>
      </w:pPr>
      <w:r w:rsidRPr="007C1801">
        <w:rPr>
          <w:sz w:val="22"/>
          <w:szCs w:val="22"/>
        </w:rPr>
        <w:t>i) äriühingute aktsiad, osad ja muud väärtpaberid, mis on samaväärsed äriühingute, seltsingute või muude üksuste aktsiate või osadega, ning aktsiate hoidmistunnistused</w:t>
      </w:r>
      <w:r>
        <w:rPr>
          <w:sz w:val="22"/>
          <w:szCs w:val="22"/>
        </w:rPr>
        <w:t>;</w:t>
      </w:r>
    </w:p>
    <w:p w14:paraId="0E38F3CD" w14:textId="77777777" w:rsidR="005508E5" w:rsidRDefault="005508E5" w:rsidP="005508E5">
      <w:pPr>
        <w:spacing w:before="0"/>
        <w:rPr>
          <w:sz w:val="22"/>
          <w:szCs w:val="22"/>
        </w:rPr>
      </w:pPr>
      <w:r w:rsidRPr="007C1801">
        <w:rPr>
          <w:sz w:val="22"/>
          <w:szCs w:val="22"/>
        </w:rPr>
        <w:t>ii) võlakirjad</w:t>
      </w:r>
      <w:r w:rsidRPr="007C1801">
        <w:rPr>
          <w:sz w:val="22"/>
          <w:szCs w:val="22"/>
          <w:vertAlign w:val="superscript"/>
        </w:rPr>
        <w:footnoteReference w:id="19"/>
      </w:r>
      <w:r w:rsidRPr="007C1801">
        <w:rPr>
          <w:sz w:val="22"/>
          <w:szCs w:val="22"/>
        </w:rPr>
        <w:t xml:space="preserve"> või muus vormis </w:t>
      </w:r>
      <w:proofErr w:type="spellStart"/>
      <w:r w:rsidRPr="007C1801">
        <w:rPr>
          <w:sz w:val="22"/>
          <w:szCs w:val="22"/>
        </w:rPr>
        <w:t>väärtpaberistatud</w:t>
      </w:r>
      <w:proofErr w:type="spellEnd"/>
      <w:r w:rsidRPr="007C1801">
        <w:rPr>
          <w:sz w:val="22"/>
          <w:szCs w:val="22"/>
        </w:rPr>
        <w:t xml:space="preserve"> võlad, sealhulgas selliste väärtpaberite hoidmistunnistused</w:t>
      </w:r>
      <w:r>
        <w:rPr>
          <w:sz w:val="22"/>
          <w:szCs w:val="22"/>
        </w:rPr>
        <w:t>;</w:t>
      </w:r>
      <w:r w:rsidRPr="007C1801">
        <w:rPr>
          <w:sz w:val="22"/>
          <w:szCs w:val="22"/>
        </w:rPr>
        <w:t xml:space="preserve"> </w:t>
      </w:r>
    </w:p>
    <w:p w14:paraId="39EDB2F3" w14:textId="77777777" w:rsidR="005508E5" w:rsidRDefault="005508E5" w:rsidP="005508E5">
      <w:pPr>
        <w:spacing w:before="0"/>
        <w:rPr>
          <w:sz w:val="22"/>
          <w:szCs w:val="22"/>
        </w:rPr>
      </w:pPr>
      <w:r w:rsidRPr="007C1801">
        <w:rPr>
          <w:sz w:val="22"/>
          <w:szCs w:val="22"/>
        </w:rPr>
        <w:t xml:space="preserve">iii) muud väärtpaberid, mis annavad õiguse omandada või võõrandada selliseid vabalt võõrandatavaid väärtpabereid või millest tuleneb rahaline arveldus, mille kindlaksmääramise aluseks on vabalt võõrandatavad väärtpaberid, valuutad, intressimäärad või tootlused, kaubad või muud indeksid või näitajad. </w:t>
      </w:r>
    </w:p>
    <w:p w14:paraId="6EF6E5F2" w14:textId="77777777" w:rsidR="005508E5" w:rsidRDefault="005508E5" w:rsidP="005508E5">
      <w:pPr>
        <w:spacing w:before="0"/>
        <w:rPr>
          <w:sz w:val="22"/>
          <w:szCs w:val="22"/>
        </w:rPr>
      </w:pPr>
    </w:p>
    <w:p w14:paraId="10E074AC" w14:textId="77777777" w:rsidR="005508E5" w:rsidRPr="007C1801" w:rsidRDefault="005508E5" w:rsidP="005508E5">
      <w:pPr>
        <w:spacing w:before="0"/>
        <w:rPr>
          <w:sz w:val="22"/>
          <w:szCs w:val="22"/>
        </w:rPr>
      </w:pPr>
      <w:r>
        <w:rPr>
          <w:sz w:val="22"/>
          <w:szCs w:val="22"/>
        </w:rPr>
        <w:t>EL p</w:t>
      </w:r>
      <w:r w:rsidRPr="007C1801">
        <w:rPr>
          <w:sz w:val="22"/>
          <w:szCs w:val="22"/>
        </w:rPr>
        <w:t>rospekti</w:t>
      </w:r>
      <w:r>
        <w:rPr>
          <w:sz w:val="22"/>
          <w:szCs w:val="22"/>
        </w:rPr>
        <w:t>määruses</w:t>
      </w:r>
      <w:r w:rsidRPr="007C1801">
        <w:rPr>
          <w:sz w:val="22"/>
          <w:szCs w:val="22"/>
        </w:rPr>
        <w:t xml:space="preserve"> on väärtpaberite üldiste liikidena toodud välja omakapitali- ja mitteomakapitaliväärtpaberid. </w:t>
      </w:r>
      <w:proofErr w:type="spellStart"/>
      <w:r w:rsidRPr="007C1801">
        <w:rPr>
          <w:sz w:val="22"/>
          <w:szCs w:val="22"/>
        </w:rPr>
        <w:t>MiFID</w:t>
      </w:r>
      <w:proofErr w:type="spellEnd"/>
      <w:r>
        <w:rPr>
          <w:sz w:val="22"/>
          <w:szCs w:val="22"/>
        </w:rPr>
        <w:t xml:space="preserve"> II</w:t>
      </w:r>
      <w:r w:rsidRPr="007C1801">
        <w:rPr>
          <w:sz w:val="22"/>
          <w:szCs w:val="22"/>
        </w:rPr>
        <w:t xml:space="preserve"> kohaselt on seega </w:t>
      </w:r>
      <w:r w:rsidRPr="007C1801">
        <w:rPr>
          <w:bCs/>
          <w:sz w:val="22"/>
          <w:szCs w:val="22"/>
        </w:rPr>
        <w:t>väärtpaberi üheks tunnuseks</w:t>
      </w:r>
      <w:r w:rsidRPr="007C1801">
        <w:rPr>
          <w:sz w:val="22"/>
          <w:szCs w:val="22"/>
        </w:rPr>
        <w:t xml:space="preserve"> kapitaliturul </w:t>
      </w:r>
      <w:proofErr w:type="spellStart"/>
      <w:r w:rsidRPr="007C1801">
        <w:rPr>
          <w:sz w:val="22"/>
          <w:szCs w:val="22"/>
        </w:rPr>
        <w:t>kaubeldavus</w:t>
      </w:r>
      <w:proofErr w:type="spellEnd"/>
      <w:r w:rsidRPr="007C1801">
        <w:rPr>
          <w:sz w:val="22"/>
          <w:szCs w:val="22"/>
        </w:rPr>
        <w:t>. Euroopa Komisjon on seisukohal, et kapitaliturg on laiem kui reguleeritud turg ja selle all mõistetakse kõiki olukordi, kus saavad kokku väärtpaberite os</w:t>
      </w:r>
      <w:r>
        <w:rPr>
          <w:sz w:val="22"/>
          <w:szCs w:val="22"/>
        </w:rPr>
        <w:t>t</w:t>
      </w:r>
      <w:r w:rsidRPr="007C1801">
        <w:rPr>
          <w:sz w:val="22"/>
          <w:szCs w:val="22"/>
        </w:rPr>
        <w:t>mise ja müümise huvid.</w:t>
      </w:r>
      <w:r w:rsidRPr="007C1801">
        <w:rPr>
          <w:sz w:val="22"/>
          <w:szCs w:val="22"/>
          <w:vertAlign w:val="superscript"/>
        </w:rPr>
        <w:footnoteReference w:id="20"/>
      </w:r>
    </w:p>
    <w:p w14:paraId="0DE8926D" w14:textId="77777777" w:rsidR="005508E5" w:rsidRDefault="005508E5" w:rsidP="005508E5">
      <w:pPr>
        <w:spacing w:before="0"/>
        <w:jc w:val="left"/>
        <w:rPr>
          <w:sz w:val="22"/>
          <w:szCs w:val="22"/>
          <w:lang w:eastAsia="en-US"/>
        </w:rPr>
      </w:pPr>
    </w:p>
    <w:p w14:paraId="2E460BF5" w14:textId="77777777" w:rsidR="005508E5" w:rsidRDefault="005508E5" w:rsidP="005508E5">
      <w:pPr>
        <w:spacing w:before="0"/>
        <w:rPr>
          <w:bCs/>
          <w:sz w:val="22"/>
          <w:szCs w:val="22"/>
        </w:rPr>
      </w:pPr>
      <w:r w:rsidRPr="009E2F88">
        <w:rPr>
          <w:rFonts w:eastAsiaTheme="minorHAnsi"/>
          <w:sz w:val="22"/>
          <w:szCs w:val="22"/>
          <w:lang w:eastAsia="en-US"/>
        </w:rPr>
        <w:t xml:space="preserve">Vabalt </w:t>
      </w:r>
      <w:proofErr w:type="spellStart"/>
      <w:r w:rsidRPr="009E2F88">
        <w:rPr>
          <w:rFonts w:eastAsiaTheme="minorHAnsi"/>
          <w:sz w:val="22"/>
          <w:szCs w:val="22"/>
          <w:lang w:eastAsia="en-US"/>
        </w:rPr>
        <w:t>võõrandatavuse</w:t>
      </w:r>
      <w:proofErr w:type="spellEnd"/>
      <w:r w:rsidRPr="009E2F88">
        <w:rPr>
          <w:rFonts w:eastAsiaTheme="minorHAnsi"/>
          <w:sz w:val="22"/>
          <w:szCs w:val="22"/>
          <w:lang w:eastAsia="en-US"/>
        </w:rPr>
        <w:t xml:space="preserve"> mõiste sisustamisel on </w:t>
      </w:r>
      <w:r>
        <w:rPr>
          <w:rFonts w:eastAsiaTheme="minorHAnsi"/>
          <w:sz w:val="22"/>
          <w:szCs w:val="22"/>
          <w:lang w:eastAsia="en-US"/>
        </w:rPr>
        <w:t xml:space="preserve">EL </w:t>
      </w:r>
      <w:r w:rsidRPr="009E2F88">
        <w:rPr>
          <w:rFonts w:eastAsiaTheme="minorHAnsi"/>
          <w:sz w:val="22"/>
          <w:szCs w:val="22"/>
          <w:lang w:eastAsia="en-US"/>
        </w:rPr>
        <w:t xml:space="preserve">liikmesriikidel olnud erinev praktika. </w:t>
      </w:r>
      <w:r w:rsidRPr="00367CFF">
        <w:rPr>
          <w:sz w:val="22"/>
          <w:szCs w:val="22"/>
        </w:rPr>
        <w:t xml:space="preserve">Eestis on väärtpaberi defineerimisel kriteeriumiks võetud ühepoolse tahteavalduse alusel </w:t>
      </w:r>
      <w:proofErr w:type="spellStart"/>
      <w:r w:rsidRPr="00367CFF">
        <w:rPr>
          <w:sz w:val="22"/>
          <w:szCs w:val="22"/>
        </w:rPr>
        <w:t>üleantavus</w:t>
      </w:r>
      <w:proofErr w:type="spellEnd"/>
      <w:r w:rsidRPr="00367CFF">
        <w:rPr>
          <w:sz w:val="22"/>
          <w:szCs w:val="22"/>
        </w:rPr>
        <w:t xml:space="preserve"> ning tegemist peab olema varalise õiguse, kohustuse või lepinguga (VPTS § 2 lg 1). </w:t>
      </w:r>
      <w:r w:rsidRPr="00367CFF">
        <w:rPr>
          <w:bCs/>
          <w:sz w:val="22"/>
          <w:szCs w:val="22"/>
        </w:rPr>
        <w:t xml:space="preserve">Vastavalt VÕS § 917 </w:t>
      </w:r>
      <w:proofErr w:type="spellStart"/>
      <w:r w:rsidRPr="00367CFF">
        <w:rPr>
          <w:bCs/>
          <w:sz w:val="22"/>
          <w:szCs w:val="22"/>
        </w:rPr>
        <w:t>lg-le</w:t>
      </w:r>
      <w:proofErr w:type="spellEnd"/>
      <w:r w:rsidRPr="00367CFF">
        <w:rPr>
          <w:bCs/>
          <w:sz w:val="22"/>
          <w:szCs w:val="22"/>
        </w:rPr>
        <w:t xml:space="preserve"> 1 on väärtpaber iga dokument, millega on seotud mingi varaline õigus selliselt, et seda ei ole võimalik dokumendist eraldi teostada. </w:t>
      </w:r>
      <w:r w:rsidRPr="00367CFF">
        <w:rPr>
          <w:sz w:val="22"/>
          <w:szCs w:val="22"/>
        </w:rPr>
        <w:t>Seadusega sätestatud juhtudel loetakse väärtpaberiks ka õigusi, mida väljendatakse ja antakse üle üksnes registrikande vahendusel (VÕS § 917 lg 2 esimene lause).</w:t>
      </w:r>
      <w:r w:rsidRPr="00367CFF">
        <w:rPr>
          <w:bCs/>
          <w:sz w:val="22"/>
          <w:szCs w:val="22"/>
        </w:rPr>
        <w:t xml:space="preserve"> </w:t>
      </w:r>
    </w:p>
    <w:p w14:paraId="50457DDC" w14:textId="77777777" w:rsidR="005508E5" w:rsidRDefault="005508E5" w:rsidP="005508E5">
      <w:pPr>
        <w:spacing w:before="0"/>
        <w:rPr>
          <w:bCs/>
          <w:sz w:val="22"/>
          <w:szCs w:val="22"/>
        </w:rPr>
      </w:pPr>
    </w:p>
    <w:p w14:paraId="14FA422F" w14:textId="77777777" w:rsidR="005508E5" w:rsidRPr="00367CFF" w:rsidRDefault="005508E5" w:rsidP="005508E5">
      <w:pPr>
        <w:spacing w:before="0"/>
        <w:rPr>
          <w:sz w:val="22"/>
          <w:szCs w:val="22"/>
        </w:rPr>
      </w:pPr>
      <w:r>
        <w:rPr>
          <w:bCs/>
          <w:sz w:val="22"/>
          <w:szCs w:val="22"/>
        </w:rPr>
        <w:t>Sisuliselt võib kõiki muid väärtpaberi sarnaseid objekte (mis ei klassifitseeru väärtpaberiks VPTS § 2 tähenduses) käsitada nõuetena.</w:t>
      </w:r>
    </w:p>
    <w:p w14:paraId="5FC9AFB5" w14:textId="77777777" w:rsidR="005508E5" w:rsidRDefault="005508E5" w:rsidP="005508E5">
      <w:pPr>
        <w:spacing w:before="0"/>
        <w:jc w:val="left"/>
        <w:rPr>
          <w:sz w:val="22"/>
          <w:szCs w:val="22"/>
          <w:lang w:eastAsia="en-US"/>
        </w:rPr>
      </w:pPr>
    </w:p>
    <w:p w14:paraId="57669A27" w14:textId="77777777" w:rsidR="005508E5" w:rsidRPr="00367CFF" w:rsidRDefault="005508E5" w:rsidP="005508E5">
      <w:pPr>
        <w:spacing w:before="0"/>
        <w:rPr>
          <w:sz w:val="22"/>
          <w:szCs w:val="22"/>
        </w:rPr>
      </w:pPr>
      <w:r w:rsidRPr="00367CFF">
        <w:rPr>
          <w:sz w:val="22"/>
          <w:szCs w:val="22"/>
        </w:rPr>
        <w:t xml:space="preserve">Nõude ja väärtpaberi vahel ei ole praktikas alati kerge vahet teha, arvestades nõuete ja väärtpaberitega tehtavate tehingute võimalikke sarnaseid eesmärke. Seetõttu tuleks igakordselt hinnata ka ettevõtja poolt pakutava teenuse sisulist poolt. Ka Euroopa Komisjon on sedastanud, et nõuete loovutamise valdkonnas </w:t>
      </w:r>
      <w:r w:rsidRPr="00367CFF">
        <w:rPr>
          <w:sz w:val="22"/>
          <w:szCs w:val="22"/>
        </w:rPr>
        <w:lastRenderedPageBreak/>
        <w:t>valitseb ebakindlus, kuivõrd väärtpaberite ja nõuetega tehakse enamjaolt sarnaseid tehinguid.</w:t>
      </w:r>
      <w:r w:rsidRPr="00367CFF">
        <w:rPr>
          <w:sz w:val="22"/>
          <w:szCs w:val="22"/>
          <w:vertAlign w:val="superscript"/>
        </w:rPr>
        <w:footnoteReference w:id="21"/>
      </w:r>
      <w:r w:rsidRPr="00367CFF">
        <w:rPr>
          <w:sz w:val="22"/>
          <w:szCs w:val="22"/>
        </w:rPr>
        <w:t xml:space="preserve"> Lisaks tuleb mainida, et loovutamistehingud arenevad pidevalt ja need võivad hõlmata ka mitme nõude loovutamist korraga või nii olemasolevate kui ka tulevaste nõuete loovutamist. Osade ärimudelite puhul võivad investeeringud olla struktureeritud mh selliselt, et vältida teatud regulatsioonide kohaldumist, investeeringute puhul nt vältides väärtpaberina kvalifitseerumist. </w:t>
      </w:r>
    </w:p>
    <w:p w14:paraId="1634BD7C" w14:textId="77777777" w:rsidR="005508E5" w:rsidRPr="00367CFF" w:rsidRDefault="005508E5" w:rsidP="005508E5">
      <w:pPr>
        <w:spacing w:before="0"/>
        <w:rPr>
          <w:sz w:val="22"/>
          <w:szCs w:val="22"/>
        </w:rPr>
      </w:pPr>
      <w:r w:rsidRPr="00367CFF">
        <w:rPr>
          <w:sz w:val="22"/>
          <w:szCs w:val="22"/>
        </w:rPr>
        <w:br/>
        <w:t xml:space="preserve">Lisaks kapitaliturul </w:t>
      </w:r>
      <w:proofErr w:type="spellStart"/>
      <w:r w:rsidRPr="00367CFF">
        <w:rPr>
          <w:sz w:val="22"/>
          <w:szCs w:val="22"/>
        </w:rPr>
        <w:t>kaubeldavuse</w:t>
      </w:r>
      <w:proofErr w:type="spellEnd"/>
      <w:r w:rsidRPr="00367CFF">
        <w:rPr>
          <w:sz w:val="22"/>
          <w:szCs w:val="22"/>
        </w:rPr>
        <w:t xml:space="preserve"> aspektile on väärtpaberi tunnuseks ka selle </w:t>
      </w:r>
      <w:proofErr w:type="spellStart"/>
      <w:r w:rsidRPr="00367CFF">
        <w:rPr>
          <w:sz w:val="22"/>
          <w:szCs w:val="22"/>
        </w:rPr>
        <w:t>üleantavus</w:t>
      </w:r>
      <w:proofErr w:type="spellEnd"/>
      <w:r w:rsidRPr="00367CFF">
        <w:rPr>
          <w:sz w:val="22"/>
          <w:szCs w:val="22"/>
        </w:rPr>
        <w:t xml:space="preserve">, mille väljaselgitamiseks on vajalik hinnata, kas ja mis tingimustel on väärtpaber üleantav. </w:t>
      </w:r>
      <w:proofErr w:type="spellStart"/>
      <w:r w:rsidRPr="00367CFF">
        <w:rPr>
          <w:sz w:val="22"/>
          <w:szCs w:val="22"/>
        </w:rPr>
        <w:t>Üleantavuse</w:t>
      </w:r>
      <w:proofErr w:type="spellEnd"/>
      <w:r w:rsidRPr="00367CFF">
        <w:rPr>
          <w:sz w:val="22"/>
          <w:szCs w:val="22"/>
        </w:rPr>
        <w:t xml:space="preserve"> tähenduse kohta VPTS otsest vastust ei anna. Selle kohta on </w:t>
      </w:r>
      <w:r>
        <w:rPr>
          <w:sz w:val="22"/>
          <w:szCs w:val="22"/>
        </w:rPr>
        <w:t>Euroopa K</w:t>
      </w:r>
      <w:r w:rsidRPr="00367CFF">
        <w:rPr>
          <w:sz w:val="22"/>
          <w:szCs w:val="22"/>
        </w:rPr>
        <w:t>omisjon viidanud aga olukorrale, kui väärtpaberitega kaupl</w:t>
      </w:r>
      <w:r>
        <w:rPr>
          <w:sz w:val="22"/>
          <w:szCs w:val="22"/>
        </w:rPr>
        <w:t>emine on võimalik reguleeritud turul (sisuliselt väärtpaberibörsil)</w:t>
      </w:r>
      <w:r w:rsidRPr="00367CFF">
        <w:rPr>
          <w:sz w:val="22"/>
          <w:szCs w:val="22"/>
        </w:rPr>
        <w:t xml:space="preserve"> või </w:t>
      </w:r>
      <w:proofErr w:type="spellStart"/>
      <w:r>
        <w:rPr>
          <w:sz w:val="22"/>
          <w:szCs w:val="22"/>
        </w:rPr>
        <w:t>mitmepoolses</w:t>
      </w:r>
      <w:proofErr w:type="spellEnd"/>
      <w:r>
        <w:rPr>
          <w:sz w:val="22"/>
          <w:szCs w:val="22"/>
        </w:rPr>
        <w:t xml:space="preserve"> kauplemissüsteemis (sisuliselt </w:t>
      </w:r>
      <w:r w:rsidRPr="00367CFF">
        <w:rPr>
          <w:sz w:val="22"/>
          <w:szCs w:val="22"/>
        </w:rPr>
        <w:t>alternatiivtur</w:t>
      </w:r>
      <w:r>
        <w:rPr>
          <w:sz w:val="22"/>
          <w:szCs w:val="22"/>
        </w:rPr>
        <w:t>ul)</w:t>
      </w:r>
      <w:r w:rsidRPr="00367CFF">
        <w:rPr>
          <w:sz w:val="22"/>
          <w:szCs w:val="22"/>
        </w:rPr>
        <w:t>.</w:t>
      </w:r>
      <w:r w:rsidRPr="00367CFF">
        <w:rPr>
          <w:sz w:val="22"/>
          <w:szCs w:val="22"/>
          <w:vertAlign w:val="superscript"/>
        </w:rPr>
        <w:footnoteReference w:id="22"/>
      </w:r>
      <w:r w:rsidRPr="00367CFF">
        <w:rPr>
          <w:sz w:val="22"/>
          <w:szCs w:val="22"/>
        </w:rPr>
        <w:t xml:space="preserve"> VPTS § 2 lg 1 sõnastuse ja kapitalituru laiema definitsiooni alusel võib Eesti õiguse kontekstis </w:t>
      </w:r>
      <w:proofErr w:type="spellStart"/>
      <w:r w:rsidRPr="00367CFF">
        <w:rPr>
          <w:sz w:val="22"/>
          <w:szCs w:val="22"/>
        </w:rPr>
        <w:t>üleantavuse</w:t>
      </w:r>
      <w:proofErr w:type="spellEnd"/>
      <w:r w:rsidRPr="00367CFF">
        <w:rPr>
          <w:sz w:val="22"/>
          <w:szCs w:val="22"/>
        </w:rPr>
        <w:t xml:space="preserve"> kohta öelda, et see tähendab väärtpaberite vabalt võõrandatavust, mis on võimalik eelkõige juhul, kui võõrandamiseks ei ole takistusi. </w:t>
      </w:r>
    </w:p>
    <w:p w14:paraId="0056066F" w14:textId="77777777" w:rsidR="005508E5" w:rsidRPr="00367CFF" w:rsidRDefault="005508E5" w:rsidP="005508E5">
      <w:pPr>
        <w:spacing w:before="0"/>
        <w:rPr>
          <w:sz w:val="22"/>
          <w:szCs w:val="22"/>
        </w:rPr>
      </w:pPr>
    </w:p>
    <w:p w14:paraId="7F416F44" w14:textId="77777777" w:rsidR="005508E5" w:rsidRDefault="005508E5" w:rsidP="005508E5">
      <w:pPr>
        <w:spacing w:before="0"/>
        <w:rPr>
          <w:sz w:val="22"/>
          <w:szCs w:val="22"/>
        </w:rPr>
      </w:pPr>
      <w:r w:rsidRPr="00367CFF">
        <w:rPr>
          <w:sz w:val="22"/>
          <w:szCs w:val="22"/>
        </w:rPr>
        <w:t xml:space="preserve">Seega on oluline hinnata ka väärtpaberi </w:t>
      </w:r>
      <w:proofErr w:type="spellStart"/>
      <w:r w:rsidRPr="00367CFF">
        <w:rPr>
          <w:sz w:val="22"/>
          <w:szCs w:val="22"/>
        </w:rPr>
        <w:t>võõrandatavuse</w:t>
      </w:r>
      <w:proofErr w:type="spellEnd"/>
      <w:r w:rsidRPr="00367CFF">
        <w:rPr>
          <w:sz w:val="22"/>
          <w:szCs w:val="22"/>
        </w:rPr>
        <w:t xml:space="preserve"> ja </w:t>
      </w:r>
      <w:proofErr w:type="spellStart"/>
      <w:r w:rsidRPr="00367CFF">
        <w:rPr>
          <w:sz w:val="22"/>
          <w:szCs w:val="22"/>
        </w:rPr>
        <w:t>kaubeldavusega</w:t>
      </w:r>
      <w:proofErr w:type="spellEnd"/>
      <w:r w:rsidRPr="00367CFF">
        <w:rPr>
          <w:sz w:val="22"/>
          <w:szCs w:val="22"/>
        </w:rPr>
        <w:t xml:space="preserve"> seotud küsimusi. </w:t>
      </w:r>
      <w:proofErr w:type="spellStart"/>
      <w:r w:rsidRPr="00367CFF">
        <w:rPr>
          <w:sz w:val="22"/>
          <w:szCs w:val="22"/>
        </w:rPr>
        <w:t>Võõrandatavuse</w:t>
      </w:r>
      <w:proofErr w:type="spellEnd"/>
      <w:r w:rsidRPr="00367CFF">
        <w:rPr>
          <w:sz w:val="22"/>
          <w:szCs w:val="22"/>
        </w:rPr>
        <w:t xml:space="preserve"> osas on õiguskirjanduses välja toodud, et see tähendab üksnes ringlusesse laskmise võimalust, </w:t>
      </w:r>
      <w:proofErr w:type="spellStart"/>
      <w:r w:rsidRPr="00367CFF">
        <w:rPr>
          <w:sz w:val="22"/>
          <w:szCs w:val="22"/>
        </w:rPr>
        <w:t>kaubeldavus</w:t>
      </w:r>
      <w:proofErr w:type="spellEnd"/>
      <w:r w:rsidRPr="00367CFF">
        <w:rPr>
          <w:sz w:val="22"/>
          <w:szCs w:val="22"/>
        </w:rPr>
        <w:t xml:space="preserve"> eeldab, et väärtpabereid on võimalik turustada, st teatud väärtuse olemasolu.</w:t>
      </w:r>
      <w:r w:rsidRPr="00367CFF">
        <w:rPr>
          <w:sz w:val="22"/>
          <w:szCs w:val="22"/>
          <w:vertAlign w:val="superscript"/>
        </w:rPr>
        <w:footnoteReference w:id="23"/>
      </w:r>
      <w:r w:rsidRPr="00367CFF">
        <w:rPr>
          <w:sz w:val="22"/>
          <w:szCs w:val="22"/>
        </w:rPr>
        <w:t xml:space="preserve"> Hinnangu andmisel tuleks lisaks väärtpaberi tunnuste analüüsimisele arvesse võtta ka investeeringu mahtusid, investorite jaoks kaasnevaid riske ja kapitali kaasamise eesmärke. Väärtpaberit tuleks vaadata kui tervikut, koos sellest tulenevate õiguste ja kohustustega.</w:t>
      </w:r>
    </w:p>
    <w:p w14:paraId="0C568496" w14:textId="77777777" w:rsidR="005508E5" w:rsidRDefault="005508E5" w:rsidP="005508E5">
      <w:pPr>
        <w:spacing w:before="0"/>
        <w:rPr>
          <w:sz w:val="22"/>
          <w:szCs w:val="22"/>
        </w:rPr>
      </w:pPr>
    </w:p>
    <w:p w14:paraId="6E291A2C" w14:textId="77777777" w:rsidR="005508E5" w:rsidRPr="00367CFF" w:rsidRDefault="005508E5" w:rsidP="005508E5">
      <w:pPr>
        <w:spacing w:before="0"/>
        <w:rPr>
          <w:sz w:val="22"/>
          <w:szCs w:val="22"/>
        </w:rPr>
      </w:pPr>
      <w:r w:rsidRPr="00367CFF">
        <w:rPr>
          <w:sz w:val="22"/>
          <w:szCs w:val="22"/>
        </w:rPr>
        <w:t xml:space="preserve">Nõude loovutamine on käsutustehing tsiviilseadustiku üldosa seaduse § 6 lg 3 mõistes, kuivõrd muudetakse olemasoleva nõudeõiguse kuuluvust. Nõude loovutamise sisuks on võlaõigusliku nõude tehingu alusel ülekandmine seniselt võlausaldajalt uuele võlausaldajale, st toimub võlausaldaja vahetus. Nõuete loovutamise üldtingimused on sätestatud </w:t>
      </w:r>
      <w:proofErr w:type="spellStart"/>
      <w:r w:rsidRPr="00367CFF">
        <w:rPr>
          <w:sz w:val="22"/>
          <w:szCs w:val="22"/>
        </w:rPr>
        <w:t>VÕS-is</w:t>
      </w:r>
      <w:proofErr w:type="spellEnd"/>
      <w:r w:rsidRPr="00367CFF">
        <w:rPr>
          <w:sz w:val="22"/>
          <w:szCs w:val="22"/>
        </w:rPr>
        <w:t xml:space="preserve">. Seadus eristab nõuete ja kohustuste üleminekut. Võlausaldaja võib oma nõude tulenevalt VÕS § 164 </w:t>
      </w:r>
      <w:proofErr w:type="spellStart"/>
      <w:r w:rsidRPr="00367CFF">
        <w:rPr>
          <w:sz w:val="22"/>
          <w:szCs w:val="22"/>
        </w:rPr>
        <w:t>lg-st</w:t>
      </w:r>
      <w:proofErr w:type="spellEnd"/>
      <w:r w:rsidRPr="00367CFF">
        <w:rPr>
          <w:sz w:val="22"/>
          <w:szCs w:val="22"/>
        </w:rPr>
        <w:t xml:space="preserve"> 1 võlgniku nõusolekust sõltumata anda lepingu alusel tervikuna või osaliselt üle teisele isikule. Nõude osaline loovutamine võib toimuda mh sellisel juhul, kui nõude esemeks on rahalise kohustuse täitmine (nt nõudega seotud kõrvalnõuete</w:t>
      </w:r>
      <w:r w:rsidRPr="00367CFF">
        <w:rPr>
          <w:sz w:val="22"/>
          <w:szCs w:val="22"/>
          <w:vertAlign w:val="superscript"/>
        </w:rPr>
        <w:footnoteReference w:id="24"/>
      </w:r>
      <w:r w:rsidRPr="00367CFF">
        <w:rPr>
          <w:sz w:val="22"/>
          <w:szCs w:val="22"/>
        </w:rPr>
        <w:t xml:space="preserve"> loovutamine). Nõude loovutamisega astub uus võlausaldaja senise asemele (VÕS § 164 lg 2). See tähendab, et toimub loovutatud nõude üleminek uuele võlausaldajale ja senine võlausaldaja asendub uuega. Kui nõudeid loovutatakse osaliselt, siis ühe võlausaldaja asemele tekivad osavõlausaldajad, kes võivad teistest sõltumatult panna maksma osa endisest kohustusest.</w:t>
      </w:r>
    </w:p>
    <w:p w14:paraId="39DE0637" w14:textId="77777777" w:rsidR="005508E5" w:rsidRPr="00367CFF" w:rsidRDefault="005508E5" w:rsidP="005508E5">
      <w:pPr>
        <w:spacing w:before="0"/>
        <w:rPr>
          <w:sz w:val="22"/>
          <w:szCs w:val="22"/>
        </w:rPr>
      </w:pPr>
    </w:p>
    <w:p w14:paraId="15A14C1E" w14:textId="77777777" w:rsidR="005508E5" w:rsidRDefault="005508E5" w:rsidP="005508E5">
      <w:pPr>
        <w:spacing w:before="0"/>
        <w:rPr>
          <w:sz w:val="22"/>
          <w:szCs w:val="22"/>
        </w:rPr>
      </w:pPr>
      <w:r w:rsidRPr="00367CFF">
        <w:rPr>
          <w:sz w:val="22"/>
          <w:szCs w:val="22"/>
        </w:rPr>
        <w:t>Laenunõuete loovutamise piirangute osas võivad arvesse tulla eelkõige seaduslikud piirangud või vastavad kokkulepped. Üldiselt tuleb nõude loovutamisel arvestada piirangutega, mis tu</w:t>
      </w:r>
      <w:r>
        <w:rPr>
          <w:sz w:val="22"/>
          <w:szCs w:val="22"/>
        </w:rPr>
        <w:t>lenevad VÕS §-dest</w:t>
      </w:r>
      <w:r w:rsidRPr="00367CFF">
        <w:rPr>
          <w:sz w:val="22"/>
          <w:szCs w:val="22"/>
        </w:rPr>
        <w:t xml:space="preserve"> 166 ja 164. Võlaõigusseaduse § 164 lõike 1 teise lause esimese alternatiivi kohaselt ei või nõuet loovutada, kui loovutamine on seadusest tulenevalt keelatud. Sellisel juhul võivad olla asjakohased seadusest tulenevad piirangud, nt KAS § 63 lg 4 ja KAVS § 46 lg 2.</w:t>
      </w:r>
    </w:p>
    <w:p w14:paraId="67F1D018" w14:textId="77777777" w:rsidR="005508E5" w:rsidRDefault="005508E5" w:rsidP="005508E5">
      <w:pPr>
        <w:spacing w:before="0"/>
        <w:rPr>
          <w:sz w:val="22"/>
          <w:szCs w:val="22"/>
        </w:rPr>
      </w:pPr>
    </w:p>
    <w:p w14:paraId="42C92793" w14:textId="77777777" w:rsidR="005508E5" w:rsidRDefault="005508E5" w:rsidP="005508E5">
      <w:pPr>
        <w:autoSpaceDE w:val="0"/>
        <w:autoSpaceDN w:val="0"/>
        <w:rPr>
          <w:sz w:val="22"/>
          <w:szCs w:val="22"/>
          <w:lang w:eastAsia="en-GB"/>
        </w:rPr>
      </w:pPr>
      <w:r>
        <w:rPr>
          <w:sz w:val="22"/>
          <w:szCs w:val="22"/>
          <w:lang w:eastAsia="en-US"/>
        </w:rPr>
        <w:t xml:space="preserve">Oluline on siinkohal märkida, et käesoleva eelnõu uues versioonis soovitakse erinevate varaliikide nn avalikkuse pakkumise režiim viia võimalikult lähedale väärtpaberituru seaduses sätestatud väärtpaberite avaliku pakkumise režiimile. Ehk käesoleva eelnõu uue versiooni kohaselt tuleb üksnes üle 5 miljoni </w:t>
      </w:r>
      <w:proofErr w:type="spellStart"/>
      <w:r>
        <w:rPr>
          <w:sz w:val="22"/>
          <w:szCs w:val="22"/>
          <w:lang w:eastAsia="en-US"/>
        </w:rPr>
        <w:t>eurose</w:t>
      </w:r>
      <w:proofErr w:type="spellEnd"/>
      <w:r>
        <w:rPr>
          <w:sz w:val="22"/>
          <w:szCs w:val="22"/>
          <w:lang w:eastAsia="en-US"/>
        </w:rPr>
        <w:t xml:space="preserve"> koguväärtusega varade pakkumise puhul esitada põhiteabedokument Finantsinspektsioonile kooskõlastamiseks. Samamoodi tuleb VPTS § 15 lg 1 kohaselt VPTS kohaldamisalasse kuuluvate väärtpaberite emiteerimisel registreerida vastava pakkumise prospekt Finantsinspektsioonis, kui tegemist on väärtpaberite pakkumisega, mille koguväärtus on üle 5 miljoni euro. K</w:t>
      </w:r>
      <w:r w:rsidRPr="00787FA5">
        <w:rPr>
          <w:sz w:val="22"/>
          <w:szCs w:val="22"/>
          <w:lang w:eastAsia="en-US"/>
        </w:rPr>
        <w:t>ui</w:t>
      </w:r>
      <w:r>
        <w:rPr>
          <w:sz w:val="22"/>
          <w:szCs w:val="22"/>
          <w:lang w:eastAsia="en-US"/>
        </w:rPr>
        <w:t xml:space="preserve"> vastavate</w:t>
      </w:r>
      <w:r w:rsidRPr="00787FA5">
        <w:rPr>
          <w:sz w:val="22"/>
          <w:szCs w:val="22"/>
          <w:lang w:eastAsia="en-US"/>
        </w:rPr>
        <w:t xml:space="preserve"> </w:t>
      </w:r>
      <w:r>
        <w:rPr>
          <w:sz w:val="22"/>
          <w:szCs w:val="22"/>
          <w:lang w:eastAsia="en-US"/>
        </w:rPr>
        <w:t xml:space="preserve">varade </w:t>
      </w:r>
      <w:r w:rsidRPr="00787FA5">
        <w:rPr>
          <w:sz w:val="22"/>
          <w:szCs w:val="22"/>
          <w:lang w:eastAsia="en-US"/>
        </w:rPr>
        <w:t>pakkumise suurus jääb alla 5 miljoni euro</w:t>
      </w:r>
      <w:r>
        <w:rPr>
          <w:sz w:val="22"/>
          <w:szCs w:val="22"/>
          <w:lang w:eastAsia="en-US"/>
        </w:rPr>
        <w:t>, siis põhiteabedokumenti Finantsinspektsioonile teadmiseks esitada ei ole vaja (selline lähenemine oli varasemas eelnõu versioonis)</w:t>
      </w:r>
      <w:r w:rsidRPr="00787FA5">
        <w:rPr>
          <w:sz w:val="22"/>
          <w:szCs w:val="22"/>
          <w:lang w:eastAsia="en-US"/>
        </w:rPr>
        <w:t>.</w:t>
      </w:r>
    </w:p>
    <w:p w14:paraId="39FFF9BC" w14:textId="77777777" w:rsidR="005508E5" w:rsidRDefault="005508E5" w:rsidP="005508E5">
      <w:pPr>
        <w:spacing w:before="0"/>
        <w:rPr>
          <w:sz w:val="22"/>
          <w:szCs w:val="22"/>
          <w:lang w:eastAsia="en-US"/>
        </w:rPr>
      </w:pPr>
    </w:p>
    <w:p w14:paraId="2C1C7824" w14:textId="77777777" w:rsidR="005508E5" w:rsidRDefault="005508E5" w:rsidP="005508E5">
      <w:pPr>
        <w:spacing w:before="0"/>
        <w:jc w:val="left"/>
        <w:rPr>
          <w:b/>
          <w:sz w:val="22"/>
          <w:szCs w:val="22"/>
          <w:lang w:eastAsia="en-US"/>
        </w:rPr>
      </w:pPr>
      <w:proofErr w:type="spellStart"/>
      <w:r w:rsidRPr="00367CFF">
        <w:rPr>
          <w:b/>
          <w:sz w:val="22"/>
          <w:szCs w:val="22"/>
          <w:lang w:eastAsia="en-US"/>
        </w:rPr>
        <w:t>Ühisrahastus</w:t>
      </w:r>
      <w:proofErr w:type="spellEnd"/>
    </w:p>
    <w:p w14:paraId="523686BA" w14:textId="77777777" w:rsidR="005508E5" w:rsidRPr="00BA29AC" w:rsidRDefault="005508E5" w:rsidP="002B2C7C">
      <w:pPr>
        <w:numPr>
          <w:ilvl w:val="0"/>
          <w:numId w:val="22"/>
        </w:numPr>
        <w:rPr>
          <w:b/>
          <w:sz w:val="22"/>
          <w:szCs w:val="22"/>
        </w:rPr>
      </w:pPr>
      <w:r w:rsidRPr="00BA29AC">
        <w:rPr>
          <w:b/>
          <w:sz w:val="22"/>
          <w:szCs w:val="22"/>
        </w:rPr>
        <w:t>Eesti õigus</w:t>
      </w:r>
    </w:p>
    <w:p w14:paraId="10DB732D" w14:textId="77777777" w:rsidR="005508E5" w:rsidRPr="00367CFF" w:rsidRDefault="005508E5" w:rsidP="005508E5">
      <w:pPr>
        <w:spacing w:before="0"/>
        <w:rPr>
          <w:sz w:val="22"/>
          <w:szCs w:val="22"/>
        </w:rPr>
      </w:pPr>
    </w:p>
    <w:p w14:paraId="4DDE4483" w14:textId="77777777" w:rsidR="005508E5" w:rsidRPr="00367CFF" w:rsidRDefault="005508E5" w:rsidP="005508E5">
      <w:pPr>
        <w:spacing w:before="0"/>
        <w:rPr>
          <w:sz w:val="22"/>
          <w:szCs w:val="22"/>
        </w:rPr>
      </w:pPr>
      <w:proofErr w:type="spellStart"/>
      <w:r w:rsidRPr="00367CFF">
        <w:rPr>
          <w:sz w:val="22"/>
          <w:szCs w:val="22"/>
        </w:rPr>
        <w:t>Ühisrahastamine</w:t>
      </w:r>
      <w:proofErr w:type="spellEnd"/>
      <w:r w:rsidRPr="00367CFF">
        <w:rPr>
          <w:sz w:val="22"/>
          <w:szCs w:val="22"/>
        </w:rPr>
        <w:t xml:space="preserve"> on alternatiivne võimalus finantseerida selliseid projekte, mida teised </w:t>
      </w:r>
      <w:proofErr w:type="spellStart"/>
      <w:r w:rsidRPr="00367CFF">
        <w:rPr>
          <w:sz w:val="22"/>
          <w:szCs w:val="22"/>
        </w:rPr>
        <w:t>finant</w:t>
      </w:r>
      <w:r>
        <w:rPr>
          <w:sz w:val="22"/>
          <w:szCs w:val="22"/>
        </w:rPr>
        <w:t>steenused</w:t>
      </w:r>
      <w:proofErr w:type="spellEnd"/>
      <w:r>
        <w:rPr>
          <w:sz w:val="22"/>
          <w:szCs w:val="22"/>
        </w:rPr>
        <w:t xml:space="preserve"> ei pruugi rahuldada. </w:t>
      </w:r>
      <w:r w:rsidRPr="00367CFF">
        <w:rPr>
          <w:sz w:val="22"/>
          <w:szCs w:val="22"/>
        </w:rPr>
        <w:t xml:space="preserve">Käesoleval ajal ei ole Eestis </w:t>
      </w:r>
      <w:proofErr w:type="spellStart"/>
      <w:r w:rsidRPr="00367CFF">
        <w:rPr>
          <w:sz w:val="22"/>
          <w:szCs w:val="22"/>
        </w:rPr>
        <w:t>ühisrahastusega</w:t>
      </w:r>
      <w:proofErr w:type="spellEnd"/>
      <w:r w:rsidRPr="00367CFF">
        <w:rPr>
          <w:sz w:val="22"/>
          <w:szCs w:val="22"/>
        </w:rPr>
        <w:t xml:space="preserve"> tegelevate ettevõtete äritegevust eriseadustega reguleeritud </w:t>
      </w:r>
      <w:r>
        <w:rPr>
          <w:sz w:val="22"/>
          <w:szCs w:val="22"/>
        </w:rPr>
        <w:t>ja</w:t>
      </w:r>
      <w:r w:rsidRPr="00367CFF">
        <w:rPr>
          <w:sz w:val="22"/>
          <w:szCs w:val="22"/>
        </w:rPr>
        <w:t xml:space="preserve"> Eesti õiguses puuduvad selged alused </w:t>
      </w:r>
      <w:proofErr w:type="spellStart"/>
      <w:r w:rsidRPr="00367CFF">
        <w:rPr>
          <w:sz w:val="22"/>
          <w:szCs w:val="22"/>
        </w:rPr>
        <w:t>ühisrahastuse</w:t>
      </w:r>
      <w:proofErr w:type="spellEnd"/>
      <w:r w:rsidRPr="00367CFF">
        <w:rPr>
          <w:sz w:val="22"/>
          <w:szCs w:val="22"/>
        </w:rPr>
        <w:t xml:space="preserve"> investeeringute määratlemiseks. </w:t>
      </w:r>
      <w:proofErr w:type="spellStart"/>
      <w:r w:rsidRPr="00367CFF">
        <w:rPr>
          <w:sz w:val="22"/>
          <w:szCs w:val="22"/>
        </w:rPr>
        <w:t>Ühisrahastusettevõtja</w:t>
      </w:r>
      <w:proofErr w:type="spellEnd"/>
      <w:r w:rsidRPr="00367CFF">
        <w:rPr>
          <w:sz w:val="22"/>
          <w:szCs w:val="22"/>
        </w:rPr>
        <w:t xml:space="preserve"> investeeringutele kohalduv regulatsioon </w:t>
      </w:r>
      <w:r>
        <w:rPr>
          <w:sz w:val="22"/>
          <w:szCs w:val="22"/>
        </w:rPr>
        <w:t>on siiani sõltunud</w:t>
      </w:r>
      <w:r w:rsidRPr="00367CFF">
        <w:rPr>
          <w:sz w:val="22"/>
          <w:szCs w:val="22"/>
        </w:rPr>
        <w:t xml:space="preserve"> eelkõige </w:t>
      </w:r>
      <w:r>
        <w:rPr>
          <w:sz w:val="22"/>
          <w:szCs w:val="22"/>
        </w:rPr>
        <w:t>ettevõtja</w:t>
      </w:r>
      <w:r w:rsidRPr="00367CFF">
        <w:rPr>
          <w:sz w:val="22"/>
          <w:szCs w:val="22"/>
        </w:rPr>
        <w:t xml:space="preserve"> ärimudelist ja rahastusprojekti struktureerimisest.</w:t>
      </w:r>
    </w:p>
    <w:p w14:paraId="62F73426" w14:textId="77777777" w:rsidR="005508E5" w:rsidRPr="00367CFF" w:rsidRDefault="005508E5" w:rsidP="005508E5">
      <w:pPr>
        <w:spacing w:before="0"/>
        <w:rPr>
          <w:sz w:val="22"/>
          <w:szCs w:val="22"/>
        </w:rPr>
      </w:pPr>
    </w:p>
    <w:p w14:paraId="4098787C" w14:textId="77777777" w:rsidR="005508E5" w:rsidRPr="00367CFF" w:rsidRDefault="005508E5" w:rsidP="005508E5">
      <w:pPr>
        <w:spacing w:before="0"/>
        <w:rPr>
          <w:sz w:val="22"/>
          <w:szCs w:val="22"/>
        </w:rPr>
      </w:pPr>
      <w:r w:rsidRPr="00367CFF">
        <w:rPr>
          <w:sz w:val="22"/>
          <w:szCs w:val="22"/>
        </w:rPr>
        <w:t xml:space="preserve">Kui </w:t>
      </w:r>
      <w:proofErr w:type="spellStart"/>
      <w:r w:rsidRPr="00367CFF">
        <w:rPr>
          <w:sz w:val="22"/>
          <w:szCs w:val="22"/>
        </w:rPr>
        <w:t>ühisrahastusettevõtja</w:t>
      </w:r>
      <w:proofErr w:type="spellEnd"/>
      <w:r w:rsidRPr="00367CFF">
        <w:rPr>
          <w:sz w:val="22"/>
          <w:szCs w:val="22"/>
        </w:rPr>
        <w:t xml:space="preserve"> soovib vahendada tarbijale krediiti </w:t>
      </w:r>
      <w:r>
        <w:rPr>
          <w:sz w:val="22"/>
          <w:szCs w:val="22"/>
        </w:rPr>
        <w:t>krediidiandjate ja -vahendajate seaduse (</w:t>
      </w:r>
      <w:r w:rsidRPr="00367CFF">
        <w:rPr>
          <w:sz w:val="22"/>
          <w:szCs w:val="22"/>
        </w:rPr>
        <w:t>KAVS</w:t>
      </w:r>
      <w:r>
        <w:rPr>
          <w:sz w:val="22"/>
          <w:szCs w:val="22"/>
        </w:rPr>
        <w:t>)</w:t>
      </w:r>
      <w:r w:rsidRPr="00367CFF">
        <w:rPr>
          <w:sz w:val="22"/>
          <w:szCs w:val="22"/>
        </w:rPr>
        <w:t xml:space="preserve"> § 2 lg 2 kohaselt, peab nimetatud ettevõtja taotlema Finantsinspektsioonilt krediidivahendaja tegevusloa.</w:t>
      </w:r>
      <w:r w:rsidRPr="00367CFF">
        <w:rPr>
          <w:sz w:val="22"/>
          <w:szCs w:val="22"/>
          <w:vertAlign w:val="superscript"/>
        </w:rPr>
        <w:footnoteReference w:id="25"/>
      </w:r>
      <w:r w:rsidRPr="00367CFF">
        <w:rPr>
          <w:sz w:val="22"/>
          <w:szCs w:val="22"/>
        </w:rPr>
        <w:t xml:space="preserve"> </w:t>
      </w:r>
      <w:r>
        <w:rPr>
          <w:sz w:val="22"/>
          <w:szCs w:val="22"/>
        </w:rPr>
        <w:t xml:space="preserve">KAVS aga ei näe aga sellistele teenuseosutajatele ette eraldi investorkaitse alaseid nõudeid. </w:t>
      </w:r>
      <w:r w:rsidRPr="00367CFF">
        <w:rPr>
          <w:sz w:val="22"/>
          <w:szCs w:val="22"/>
        </w:rPr>
        <w:t xml:space="preserve">Samas võivad </w:t>
      </w:r>
      <w:proofErr w:type="spellStart"/>
      <w:r w:rsidRPr="00367CFF">
        <w:rPr>
          <w:sz w:val="22"/>
          <w:szCs w:val="22"/>
        </w:rPr>
        <w:t>ühisrahastusele</w:t>
      </w:r>
      <w:proofErr w:type="spellEnd"/>
      <w:r w:rsidRPr="00367CFF">
        <w:rPr>
          <w:sz w:val="22"/>
          <w:szCs w:val="22"/>
        </w:rPr>
        <w:t xml:space="preserve">, sõltuvalt selle eesmärkidest </w:t>
      </w:r>
      <w:r>
        <w:rPr>
          <w:sz w:val="22"/>
          <w:szCs w:val="22"/>
        </w:rPr>
        <w:t>ja tegevusmudelist, kohalduda ka näiteks</w:t>
      </w:r>
      <w:r w:rsidRPr="00367CFF">
        <w:rPr>
          <w:sz w:val="22"/>
          <w:szCs w:val="22"/>
        </w:rPr>
        <w:t xml:space="preserve"> väärtpaberituruseadus (VPTS), krediidiasutuste seadus (KAS), makseasutuste ja e-raha asutuste seadus</w:t>
      </w:r>
      <w:r>
        <w:rPr>
          <w:sz w:val="22"/>
          <w:szCs w:val="22"/>
        </w:rPr>
        <w:t xml:space="preserve"> (MERAS)</w:t>
      </w:r>
      <w:r w:rsidRPr="00367CFF">
        <w:rPr>
          <w:sz w:val="22"/>
          <w:szCs w:val="22"/>
        </w:rPr>
        <w:t xml:space="preserve"> </w:t>
      </w:r>
      <w:r>
        <w:rPr>
          <w:sz w:val="22"/>
          <w:szCs w:val="22"/>
        </w:rPr>
        <w:t>või</w:t>
      </w:r>
      <w:r w:rsidRPr="00367CFF">
        <w:rPr>
          <w:sz w:val="22"/>
          <w:szCs w:val="22"/>
        </w:rPr>
        <w:t xml:space="preserve"> investeerimisfondide seadus</w:t>
      </w:r>
      <w:r>
        <w:rPr>
          <w:sz w:val="22"/>
          <w:szCs w:val="22"/>
        </w:rPr>
        <w:t xml:space="preserve"> (IFS). </w:t>
      </w:r>
      <w:proofErr w:type="spellStart"/>
      <w:r w:rsidRPr="00367CFF">
        <w:rPr>
          <w:sz w:val="22"/>
          <w:szCs w:val="22"/>
        </w:rPr>
        <w:t>Ühisrahastus</w:t>
      </w:r>
      <w:r>
        <w:rPr>
          <w:sz w:val="22"/>
          <w:szCs w:val="22"/>
        </w:rPr>
        <w:t>teenuse</w:t>
      </w:r>
      <w:proofErr w:type="spellEnd"/>
      <w:r>
        <w:rPr>
          <w:sz w:val="22"/>
          <w:szCs w:val="22"/>
        </w:rPr>
        <w:t xml:space="preserve"> osutajal</w:t>
      </w:r>
      <w:r w:rsidRPr="00367CFF">
        <w:rPr>
          <w:sz w:val="22"/>
          <w:szCs w:val="22"/>
        </w:rPr>
        <w:t xml:space="preserve"> lasub oma ärimudeli hindamise kohustus. </w:t>
      </w:r>
      <w:r>
        <w:rPr>
          <w:sz w:val="22"/>
          <w:szCs w:val="22"/>
        </w:rPr>
        <w:t>Teenuseosutaja peab analüüsima</w:t>
      </w:r>
      <w:r w:rsidRPr="00367CFF">
        <w:rPr>
          <w:sz w:val="22"/>
          <w:szCs w:val="22"/>
        </w:rPr>
        <w:t>, kas tulenevalt tema tegevustest on tal kohustus järgida mõnda eelnimetatud seadust ja kas tema tegevuses võivad esineda se</w:t>
      </w:r>
      <w:r>
        <w:rPr>
          <w:sz w:val="22"/>
          <w:szCs w:val="22"/>
        </w:rPr>
        <w:t>llised tunnused, mille kohaselt</w:t>
      </w:r>
      <w:r w:rsidRPr="00367CFF">
        <w:rPr>
          <w:sz w:val="22"/>
          <w:szCs w:val="22"/>
        </w:rPr>
        <w:t xml:space="preserve"> on vaja taotleda tegevusluba või registreerida oma</w:t>
      </w:r>
      <w:r>
        <w:rPr>
          <w:sz w:val="22"/>
          <w:szCs w:val="22"/>
        </w:rPr>
        <w:t xml:space="preserve"> tegevus Finantsinspektsioonis.</w:t>
      </w:r>
    </w:p>
    <w:p w14:paraId="34530F5B" w14:textId="77777777" w:rsidR="005508E5" w:rsidRPr="00367CFF" w:rsidRDefault="005508E5" w:rsidP="005508E5">
      <w:pPr>
        <w:spacing w:before="0"/>
        <w:rPr>
          <w:sz w:val="22"/>
          <w:szCs w:val="22"/>
        </w:rPr>
      </w:pPr>
    </w:p>
    <w:p w14:paraId="7180D585" w14:textId="77777777" w:rsidR="005508E5" w:rsidRPr="00367CFF" w:rsidRDefault="005508E5" w:rsidP="005508E5">
      <w:pPr>
        <w:spacing w:before="0"/>
        <w:rPr>
          <w:sz w:val="22"/>
          <w:szCs w:val="22"/>
        </w:rPr>
      </w:pPr>
      <w:r w:rsidRPr="00367CFF">
        <w:rPr>
          <w:sz w:val="22"/>
          <w:szCs w:val="22"/>
        </w:rPr>
        <w:t>K</w:t>
      </w:r>
      <w:r>
        <w:rPr>
          <w:sz w:val="22"/>
          <w:szCs w:val="22"/>
        </w:rPr>
        <w:t xml:space="preserve">AS </w:t>
      </w:r>
      <w:r w:rsidRPr="00367CFF">
        <w:rPr>
          <w:sz w:val="22"/>
          <w:szCs w:val="22"/>
        </w:rPr>
        <w:t xml:space="preserve">kohaselt on õigus avalikkuselt hoiuseid või muid tagasimakstavaid rahalisi vahendeid kaasata ainult krediidiasutustel (§ 4 lg 1). Teatud tingimustel võib selliseks tegevuseks olla ka väärpaberite pakkumine. </w:t>
      </w:r>
      <w:r>
        <w:rPr>
          <w:sz w:val="22"/>
          <w:szCs w:val="22"/>
        </w:rPr>
        <w:t>KAS</w:t>
      </w:r>
      <w:r w:rsidRPr="00367CFF">
        <w:rPr>
          <w:sz w:val="22"/>
          <w:szCs w:val="22"/>
        </w:rPr>
        <w:t xml:space="preserve"> tähenduses loetakse avalikkuselt kaasatuks hoiused või muud tagasimakstavad rahalised vahendid, mille puhul ettepanek raha hoiustamiseks või muude tagasimakstavate rahaliste vahendite muul viisil kaasamiseks on tehtud avalikkusele (§ 4 lg 2). Avalikkuse all mõistetakse eelnevalt kindlaksmääramata isikute ringi (KAS § 4 lg 3). </w:t>
      </w:r>
      <w:proofErr w:type="spellStart"/>
      <w:r w:rsidRPr="00367CFF">
        <w:rPr>
          <w:sz w:val="22"/>
          <w:szCs w:val="22"/>
        </w:rPr>
        <w:t>Ühisrahastamine</w:t>
      </w:r>
      <w:proofErr w:type="spellEnd"/>
      <w:r w:rsidRPr="00367CFF">
        <w:rPr>
          <w:sz w:val="22"/>
          <w:szCs w:val="22"/>
        </w:rPr>
        <w:t xml:space="preserve"> toimub tavapäraselt avalike internetiplatvormide kaudu ja selle näol on tegemist peamiselt üldsusele suunatud avatud pakkumisega tahteavalduse tegemiseks osaleda konkreetse projekti rahastamises. Seega on üldjuhul tegemist investeeringu avaliku pakkumisega, mida pakutakse määratlemata hulgale isikutele. Mitte-avaliku pakkumisega on tegemist üksnes juhul, kui pakkumine on suunatud konkreetselt kitsale ringile investoritele.</w:t>
      </w:r>
      <w:r>
        <w:rPr>
          <w:sz w:val="22"/>
          <w:szCs w:val="22"/>
        </w:rPr>
        <w:t xml:space="preserve"> Käesoleva eelnõuga täpsustatakse antud aspekti ka </w:t>
      </w:r>
      <w:proofErr w:type="spellStart"/>
      <w:r>
        <w:rPr>
          <w:sz w:val="22"/>
          <w:szCs w:val="22"/>
        </w:rPr>
        <w:t>ühisrahastusteenuste</w:t>
      </w:r>
      <w:proofErr w:type="spellEnd"/>
      <w:r>
        <w:rPr>
          <w:sz w:val="22"/>
          <w:szCs w:val="22"/>
        </w:rPr>
        <w:t xml:space="preserve"> puhul (vt eelnõu § 2 lg 10 ning § 3 </w:t>
      </w:r>
      <w:proofErr w:type="spellStart"/>
      <w:r>
        <w:rPr>
          <w:sz w:val="22"/>
          <w:szCs w:val="22"/>
        </w:rPr>
        <w:t>lg-d</w:t>
      </w:r>
      <w:proofErr w:type="spellEnd"/>
      <w:r>
        <w:rPr>
          <w:sz w:val="22"/>
          <w:szCs w:val="22"/>
        </w:rPr>
        <w:t xml:space="preserve"> 2 ja 4 ning § 5 lg 1).</w:t>
      </w:r>
    </w:p>
    <w:p w14:paraId="768C49BF" w14:textId="77777777" w:rsidR="005508E5" w:rsidRDefault="005508E5" w:rsidP="005508E5">
      <w:pPr>
        <w:spacing w:before="0"/>
        <w:jc w:val="left"/>
        <w:rPr>
          <w:sz w:val="22"/>
          <w:szCs w:val="22"/>
          <w:lang w:eastAsia="en-US"/>
        </w:rPr>
      </w:pPr>
    </w:p>
    <w:p w14:paraId="7EF61D18" w14:textId="77777777" w:rsidR="005508E5" w:rsidRPr="00E06313" w:rsidRDefault="005508E5" w:rsidP="002B2C7C">
      <w:pPr>
        <w:numPr>
          <w:ilvl w:val="0"/>
          <w:numId w:val="21"/>
        </w:numPr>
        <w:rPr>
          <w:b/>
          <w:sz w:val="22"/>
          <w:szCs w:val="22"/>
        </w:rPr>
      </w:pPr>
      <w:r w:rsidRPr="00E06313">
        <w:rPr>
          <w:b/>
          <w:sz w:val="22"/>
          <w:szCs w:val="22"/>
        </w:rPr>
        <w:t>Euroopa Liidu õigus</w:t>
      </w:r>
    </w:p>
    <w:p w14:paraId="42C71389" w14:textId="77777777" w:rsidR="005508E5" w:rsidRDefault="005508E5" w:rsidP="005508E5">
      <w:pPr>
        <w:spacing w:before="0"/>
        <w:jc w:val="left"/>
        <w:rPr>
          <w:sz w:val="22"/>
          <w:szCs w:val="22"/>
          <w:lang w:eastAsia="en-US"/>
        </w:rPr>
      </w:pPr>
    </w:p>
    <w:p w14:paraId="6A45454F" w14:textId="77777777" w:rsidR="005508E5" w:rsidRDefault="005508E5" w:rsidP="005508E5">
      <w:pPr>
        <w:spacing w:before="0"/>
        <w:rPr>
          <w:bCs/>
          <w:sz w:val="22"/>
          <w:szCs w:val="22"/>
          <w:lang w:eastAsia="en-US"/>
        </w:rPr>
      </w:pPr>
      <w:r w:rsidRPr="00AC254A">
        <w:rPr>
          <w:sz w:val="22"/>
          <w:szCs w:val="22"/>
          <w:lang w:eastAsia="en-US"/>
        </w:rPr>
        <w:t>2018. aastal avalda</w:t>
      </w:r>
      <w:r>
        <w:rPr>
          <w:sz w:val="22"/>
          <w:szCs w:val="22"/>
          <w:lang w:eastAsia="en-US"/>
        </w:rPr>
        <w:t>ti</w:t>
      </w:r>
      <w:r w:rsidRPr="00AC254A">
        <w:rPr>
          <w:sz w:val="22"/>
          <w:szCs w:val="22"/>
          <w:lang w:eastAsia="en-US"/>
        </w:rPr>
        <w:t xml:space="preserve"> Euroopa Komisjoni </w:t>
      </w:r>
      <w:proofErr w:type="spellStart"/>
      <w:r w:rsidRPr="00AC254A">
        <w:rPr>
          <w:sz w:val="22"/>
          <w:szCs w:val="22"/>
          <w:lang w:eastAsia="en-US"/>
        </w:rPr>
        <w:t>FinTech</w:t>
      </w:r>
      <w:proofErr w:type="spellEnd"/>
      <w:r w:rsidRPr="00AC254A">
        <w:rPr>
          <w:sz w:val="22"/>
          <w:szCs w:val="22"/>
          <w:lang w:eastAsia="en-US"/>
        </w:rPr>
        <w:t xml:space="preserve"> tegevuskava, mille eesmärk on suurendada Euroopa finantssektori konkurentsivõimelisust ja innovaatilisust.</w:t>
      </w:r>
      <w:r>
        <w:rPr>
          <w:sz w:val="22"/>
          <w:szCs w:val="22"/>
          <w:lang w:eastAsia="en-US"/>
        </w:rPr>
        <w:t xml:space="preserve"> Tegevuskava raames esitati ka ettepanek teatud </w:t>
      </w:r>
      <w:proofErr w:type="spellStart"/>
      <w:r>
        <w:rPr>
          <w:sz w:val="22"/>
          <w:szCs w:val="22"/>
          <w:lang w:eastAsia="en-US"/>
        </w:rPr>
        <w:t>ühisrahastumudelite</w:t>
      </w:r>
      <w:proofErr w:type="spellEnd"/>
      <w:r>
        <w:rPr>
          <w:sz w:val="22"/>
          <w:szCs w:val="22"/>
          <w:lang w:eastAsia="en-US"/>
        </w:rPr>
        <w:t xml:space="preserve"> reguleerimiseks </w:t>
      </w:r>
      <w:proofErr w:type="spellStart"/>
      <w:r>
        <w:rPr>
          <w:sz w:val="22"/>
          <w:szCs w:val="22"/>
          <w:lang w:eastAsia="en-US"/>
        </w:rPr>
        <w:t>EL-s</w:t>
      </w:r>
      <w:proofErr w:type="spellEnd"/>
      <w:r>
        <w:rPr>
          <w:sz w:val="22"/>
          <w:szCs w:val="22"/>
          <w:lang w:eastAsia="en-US"/>
        </w:rPr>
        <w:t xml:space="preserve">. 7.10.2020 võeti vastu Euroopa Parlamendi ja nõukogu määrus (EL) 2020/1503 </w:t>
      </w:r>
      <w:r>
        <w:rPr>
          <w:bCs/>
          <w:sz w:val="22"/>
          <w:szCs w:val="22"/>
          <w:lang w:eastAsia="en-US"/>
        </w:rPr>
        <w:t xml:space="preserve"> (edaspidi nimetatud ka EL </w:t>
      </w:r>
      <w:proofErr w:type="spellStart"/>
      <w:r>
        <w:rPr>
          <w:bCs/>
          <w:sz w:val="22"/>
          <w:szCs w:val="22"/>
          <w:lang w:eastAsia="en-US"/>
        </w:rPr>
        <w:t>ühisrahastusmäärus</w:t>
      </w:r>
      <w:proofErr w:type="spellEnd"/>
      <w:r>
        <w:rPr>
          <w:bCs/>
          <w:sz w:val="22"/>
          <w:szCs w:val="22"/>
          <w:lang w:eastAsia="en-US"/>
        </w:rPr>
        <w:t>).</w:t>
      </w:r>
      <w:r w:rsidRPr="00367CFF">
        <w:rPr>
          <w:rFonts w:eastAsiaTheme="minorEastAsia"/>
          <w:sz w:val="22"/>
          <w:szCs w:val="22"/>
          <w:lang w:eastAsia="en-US"/>
        </w:rPr>
        <w:footnoteReference w:id="26"/>
      </w:r>
      <w:r>
        <w:rPr>
          <w:b/>
          <w:bCs/>
          <w:sz w:val="22"/>
          <w:szCs w:val="22"/>
          <w:lang w:eastAsia="en-US"/>
        </w:rPr>
        <w:t xml:space="preserve"> </w:t>
      </w:r>
    </w:p>
    <w:p w14:paraId="7E80E008" w14:textId="77777777" w:rsidR="005508E5" w:rsidRDefault="005508E5" w:rsidP="005508E5">
      <w:pPr>
        <w:spacing w:before="0"/>
        <w:rPr>
          <w:bCs/>
          <w:sz w:val="22"/>
          <w:szCs w:val="22"/>
          <w:lang w:eastAsia="en-US"/>
        </w:rPr>
      </w:pPr>
    </w:p>
    <w:p w14:paraId="311F882C" w14:textId="77777777" w:rsidR="005508E5" w:rsidRDefault="005508E5" w:rsidP="005508E5">
      <w:pPr>
        <w:spacing w:before="0"/>
        <w:rPr>
          <w:sz w:val="22"/>
          <w:szCs w:val="22"/>
          <w:lang w:eastAsia="en-US"/>
        </w:rPr>
      </w:pPr>
      <w:r>
        <w:rPr>
          <w:bCs/>
          <w:sz w:val="22"/>
          <w:szCs w:val="22"/>
          <w:lang w:eastAsia="en-US"/>
        </w:rPr>
        <w:t xml:space="preserve">Nimetatud </w:t>
      </w:r>
      <w:r w:rsidRPr="00367CFF">
        <w:rPr>
          <w:sz w:val="22"/>
          <w:szCs w:val="22"/>
          <w:lang w:eastAsia="en-US"/>
        </w:rPr>
        <w:t xml:space="preserve">määruse eesmärk on, et </w:t>
      </w:r>
      <w:proofErr w:type="spellStart"/>
      <w:r w:rsidRPr="00367CFF">
        <w:rPr>
          <w:sz w:val="22"/>
          <w:szCs w:val="22"/>
          <w:lang w:eastAsia="en-US"/>
        </w:rPr>
        <w:t>ühisrahastusteenuse</w:t>
      </w:r>
      <w:proofErr w:type="spellEnd"/>
      <w:r w:rsidRPr="00367CFF">
        <w:rPr>
          <w:sz w:val="22"/>
          <w:szCs w:val="22"/>
          <w:lang w:eastAsia="en-US"/>
        </w:rPr>
        <w:t xml:space="preserve"> osutajad saaksid kergesti oma teenuseid pakkuda terves ELis, mis aitaks mitmekesistada Euroopa finantssüsteemi, toetades finantsstabiilsust, investorikaitset ja </w:t>
      </w:r>
      <w:proofErr w:type="spellStart"/>
      <w:r w:rsidRPr="00367CFF">
        <w:rPr>
          <w:sz w:val="22"/>
          <w:szCs w:val="22"/>
          <w:lang w:eastAsia="en-US"/>
        </w:rPr>
        <w:t>turuosalistevahelist</w:t>
      </w:r>
      <w:proofErr w:type="spellEnd"/>
      <w:r w:rsidRPr="00367CFF">
        <w:rPr>
          <w:sz w:val="22"/>
          <w:szCs w:val="22"/>
          <w:lang w:eastAsia="en-US"/>
        </w:rPr>
        <w:t xml:space="preserve"> konkurentsi. Piiriülese teenuse osutamiseks on ette nähtud tegevuslubade andmise kord, mis võimaldab ELis piiriüleselt tegutseda ilma edaspidi igas liikmesriigis tegevusluba taotlemata. Samas kindlustatakse, et </w:t>
      </w:r>
      <w:proofErr w:type="spellStart"/>
      <w:r w:rsidRPr="00367CFF">
        <w:rPr>
          <w:sz w:val="22"/>
          <w:szCs w:val="22"/>
          <w:lang w:eastAsia="en-US"/>
        </w:rPr>
        <w:t>ühisrahastusteenuse</w:t>
      </w:r>
      <w:proofErr w:type="spellEnd"/>
      <w:r w:rsidRPr="00367CFF">
        <w:rPr>
          <w:sz w:val="22"/>
          <w:szCs w:val="22"/>
          <w:lang w:eastAsia="en-US"/>
        </w:rPr>
        <w:t xml:space="preserve"> osutajad on allutatud raamistikule, mis tagab nende nõuetekohase haldamise ja rahastajate kaitse, keskendudes usaldusväärsele riskijuhtimisele</w:t>
      </w:r>
      <w:r w:rsidRPr="000428A4">
        <w:rPr>
          <w:sz w:val="22"/>
          <w:szCs w:val="22"/>
          <w:lang w:eastAsia="en-US"/>
        </w:rPr>
        <w:t xml:space="preserve">, eriti ärikäitumisele, sobivusele ja nõuetele vastavusele, hoolsuskohustusele ja </w:t>
      </w:r>
      <w:r w:rsidRPr="000428A4">
        <w:rPr>
          <w:sz w:val="22"/>
          <w:szCs w:val="22"/>
          <w:lang w:eastAsia="en-US"/>
        </w:rPr>
        <w:lastRenderedPageBreak/>
        <w:t xml:space="preserve">nõuetekohasele teabe avalikustamisele. See peaks suurendama </w:t>
      </w:r>
      <w:r>
        <w:rPr>
          <w:sz w:val="22"/>
          <w:szCs w:val="22"/>
          <w:lang w:eastAsia="en-US"/>
        </w:rPr>
        <w:t xml:space="preserve">ühtlasi ka </w:t>
      </w:r>
      <w:r w:rsidRPr="000428A4">
        <w:rPr>
          <w:sz w:val="22"/>
          <w:szCs w:val="22"/>
          <w:lang w:eastAsia="en-US"/>
        </w:rPr>
        <w:t xml:space="preserve">investorite </w:t>
      </w:r>
      <w:r>
        <w:rPr>
          <w:sz w:val="22"/>
          <w:szCs w:val="22"/>
          <w:lang w:eastAsia="en-US"/>
        </w:rPr>
        <w:t xml:space="preserve">kaitset. Määrust kohaldatakse alates 10.11.2021 ja see rakendub lõplikult hiljemalt 2022. a. 10. novembril (selleks ajaks peavad need </w:t>
      </w:r>
      <w:proofErr w:type="spellStart"/>
      <w:r>
        <w:rPr>
          <w:sz w:val="22"/>
          <w:szCs w:val="22"/>
          <w:lang w:eastAsia="en-US"/>
        </w:rPr>
        <w:t>ühisrahastusteenuse</w:t>
      </w:r>
      <w:proofErr w:type="spellEnd"/>
      <w:r>
        <w:rPr>
          <w:sz w:val="22"/>
          <w:szCs w:val="22"/>
          <w:lang w:eastAsia="en-US"/>
        </w:rPr>
        <w:t xml:space="preserve"> osutajad, kes soovivad oma tegevust jätkata, saama hiljemalt Finantsinspektsioonilt tegevusloa). </w:t>
      </w:r>
    </w:p>
    <w:p w14:paraId="21B7BDCD" w14:textId="77777777" w:rsidR="005508E5" w:rsidRDefault="005508E5" w:rsidP="005508E5">
      <w:pPr>
        <w:spacing w:before="0"/>
        <w:rPr>
          <w:sz w:val="22"/>
          <w:szCs w:val="22"/>
          <w:lang w:eastAsia="en-US"/>
        </w:rPr>
      </w:pPr>
    </w:p>
    <w:p w14:paraId="20F935B2" w14:textId="77777777" w:rsidR="005508E5" w:rsidRDefault="005508E5" w:rsidP="005508E5">
      <w:pPr>
        <w:spacing w:before="0"/>
        <w:rPr>
          <w:bCs/>
          <w:sz w:val="22"/>
          <w:szCs w:val="22"/>
          <w:lang w:eastAsia="en-US"/>
        </w:rPr>
      </w:pPr>
      <w:r>
        <w:rPr>
          <w:sz w:val="22"/>
          <w:szCs w:val="22"/>
          <w:lang w:eastAsia="en-US"/>
        </w:rPr>
        <w:t xml:space="preserve">Lisaks EL </w:t>
      </w:r>
      <w:proofErr w:type="spellStart"/>
      <w:r>
        <w:rPr>
          <w:sz w:val="22"/>
          <w:szCs w:val="22"/>
          <w:lang w:eastAsia="en-US"/>
        </w:rPr>
        <w:t>ühisrahastusmäärusele</w:t>
      </w:r>
      <w:proofErr w:type="spellEnd"/>
      <w:r>
        <w:rPr>
          <w:sz w:val="22"/>
          <w:szCs w:val="22"/>
          <w:lang w:eastAsia="en-US"/>
        </w:rPr>
        <w:t xml:space="preserve"> võeti 7.10.2020 vastu ka direktiiv 2020/1504, </w:t>
      </w:r>
      <w:r w:rsidRPr="006C341B">
        <w:rPr>
          <w:bCs/>
          <w:sz w:val="22"/>
          <w:szCs w:val="22"/>
          <w:lang w:eastAsia="en-US"/>
        </w:rPr>
        <w:t xml:space="preserve">millega muudetakse </w:t>
      </w:r>
      <w:r>
        <w:rPr>
          <w:bCs/>
          <w:sz w:val="22"/>
          <w:szCs w:val="22"/>
          <w:lang w:eastAsia="en-US"/>
        </w:rPr>
        <w:t xml:space="preserve">omakorda </w:t>
      </w:r>
      <w:proofErr w:type="spellStart"/>
      <w:r>
        <w:rPr>
          <w:bCs/>
          <w:sz w:val="22"/>
          <w:szCs w:val="22"/>
          <w:lang w:eastAsia="en-US"/>
        </w:rPr>
        <w:t>MiFID</w:t>
      </w:r>
      <w:proofErr w:type="spellEnd"/>
      <w:r>
        <w:rPr>
          <w:bCs/>
          <w:sz w:val="22"/>
          <w:szCs w:val="22"/>
          <w:lang w:eastAsia="en-US"/>
        </w:rPr>
        <w:t xml:space="preserve"> II direktiivi.</w:t>
      </w:r>
      <w:r w:rsidRPr="00AF468B">
        <w:rPr>
          <w:rFonts w:eastAsiaTheme="minorEastAsia"/>
          <w:sz w:val="22"/>
          <w:szCs w:val="22"/>
          <w:lang w:eastAsia="en-US"/>
        </w:rPr>
        <w:footnoteReference w:id="27"/>
      </w:r>
      <w:r>
        <w:rPr>
          <w:bCs/>
          <w:sz w:val="22"/>
          <w:szCs w:val="22"/>
          <w:lang w:eastAsia="en-US"/>
        </w:rPr>
        <w:t xml:space="preserve"> Nimelt lisati </w:t>
      </w:r>
      <w:proofErr w:type="spellStart"/>
      <w:r>
        <w:rPr>
          <w:bCs/>
          <w:sz w:val="22"/>
          <w:szCs w:val="22"/>
          <w:lang w:eastAsia="en-US"/>
        </w:rPr>
        <w:t>MiFID</w:t>
      </w:r>
      <w:proofErr w:type="spellEnd"/>
      <w:r>
        <w:rPr>
          <w:bCs/>
          <w:sz w:val="22"/>
          <w:szCs w:val="22"/>
          <w:lang w:eastAsia="en-US"/>
        </w:rPr>
        <w:t xml:space="preserve"> d</w:t>
      </w:r>
      <w:r w:rsidRPr="00AF468B">
        <w:rPr>
          <w:bCs/>
          <w:sz w:val="22"/>
          <w:szCs w:val="22"/>
          <w:lang w:eastAsia="en-US"/>
        </w:rPr>
        <w:t xml:space="preserve">irektiivi artikli 2 lõikesse 1 </w:t>
      </w:r>
      <w:r>
        <w:rPr>
          <w:bCs/>
          <w:sz w:val="22"/>
          <w:szCs w:val="22"/>
          <w:lang w:eastAsia="en-US"/>
        </w:rPr>
        <w:t xml:space="preserve">punkt p, millega välistatakse </w:t>
      </w:r>
      <w:proofErr w:type="spellStart"/>
      <w:r>
        <w:rPr>
          <w:bCs/>
          <w:sz w:val="22"/>
          <w:szCs w:val="22"/>
          <w:lang w:eastAsia="en-US"/>
        </w:rPr>
        <w:t>MiFID</w:t>
      </w:r>
      <w:proofErr w:type="spellEnd"/>
      <w:r>
        <w:rPr>
          <w:bCs/>
          <w:sz w:val="22"/>
          <w:szCs w:val="22"/>
          <w:lang w:eastAsia="en-US"/>
        </w:rPr>
        <w:t xml:space="preserve"> II regulatsiooni kohaldamisalast EL </w:t>
      </w:r>
      <w:proofErr w:type="spellStart"/>
      <w:r>
        <w:rPr>
          <w:bCs/>
          <w:sz w:val="22"/>
          <w:szCs w:val="22"/>
          <w:lang w:eastAsia="en-US"/>
        </w:rPr>
        <w:t>ühisrahastus</w:t>
      </w:r>
      <w:r w:rsidRPr="00AF468B">
        <w:rPr>
          <w:bCs/>
          <w:sz w:val="22"/>
          <w:szCs w:val="22"/>
          <w:lang w:eastAsia="en-US"/>
        </w:rPr>
        <w:t>määruse</w:t>
      </w:r>
      <w:proofErr w:type="spellEnd"/>
      <w:r>
        <w:rPr>
          <w:bCs/>
          <w:sz w:val="22"/>
          <w:szCs w:val="22"/>
          <w:lang w:eastAsia="en-US"/>
        </w:rPr>
        <w:t xml:space="preserve"> </w:t>
      </w:r>
      <w:r w:rsidRPr="00AF468B">
        <w:rPr>
          <w:bCs/>
          <w:sz w:val="22"/>
          <w:szCs w:val="22"/>
          <w:lang w:eastAsia="en-US"/>
        </w:rPr>
        <w:t xml:space="preserve">artikli 2 lõike 1 punktis e määratletud </w:t>
      </w:r>
      <w:proofErr w:type="spellStart"/>
      <w:r w:rsidRPr="00AF468B">
        <w:rPr>
          <w:bCs/>
          <w:sz w:val="22"/>
          <w:szCs w:val="22"/>
          <w:lang w:eastAsia="en-US"/>
        </w:rPr>
        <w:t>ühisrahastusteenuse</w:t>
      </w:r>
      <w:proofErr w:type="spellEnd"/>
      <w:r w:rsidRPr="00AF468B">
        <w:rPr>
          <w:bCs/>
          <w:sz w:val="22"/>
          <w:szCs w:val="22"/>
          <w:lang w:eastAsia="en-US"/>
        </w:rPr>
        <w:t xml:space="preserve"> osuta</w:t>
      </w:r>
      <w:r>
        <w:rPr>
          <w:bCs/>
          <w:sz w:val="22"/>
          <w:szCs w:val="22"/>
          <w:lang w:eastAsia="en-US"/>
        </w:rPr>
        <w:t xml:space="preserve">jad. Liikmesriikidel oli viidatud direktiivi kohaselt kohustus nõue siseriiklikku õigusesse </w:t>
      </w:r>
      <w:proofErr w:type="spellStart"/>
      <w:r>
        <w:rPr>
          <w:bCs/>
          <w:sz w:val="22"/>
          <w:szCs w:val="22"/>
          <w:lang w:eastAsia="en-US"/>
        </w:rPr>
        <w:t>implementeerida</w:t>
      </w:r>
      <w:proofErr w:type="spellEnd"/>
      <w:r>
        <w:rPr>
          <w:bCs/>
          <w:sz w:val="22"/>
          <w:szCs w:val="22"/>
          <w:lang w:eastAsia="en-US"/>
        </w:rPr>
        <w:t xml:space="preserve"> hiljemalt 2021. a. 10. maiks  ja seda tuli hakata kohaldama alates 10.11.2021. Vastavad täiendused on sisse viidud VPTS-i. Käesoleva eelnõuga need VPTS-i sätted aga tühistatakse ja viiakse sisse käesolevasse eelnõusse endasse (kuna käesolev eelnõu on sobilikum koht võrreldes VPTS-</w:t>
      </w:r>
      <w:proofErr w:type="spellStart"/>
      <w:r>
        <w:rPr>
          <w:bCs/>
          <w:sz w:val="22"/>
          <w:szCs w:val="22"/>
          <w:lang w:eastAsia="en-US"/>
        </w:rPr>
        <w:t>ga</w:t>
      </w:r>
      <w:proofErr w:type="spellEnd"/>
      <w:r>
        <w:rPr>
          <w:bCs/>
          <w:sz w:val="22"/>
          <w:szCs w:val="22"/>
          <w:lang w:eastAsia="en-US"/>
        </w:rPr>
        <w:t xml:space="preserve"> nende normide sätestamiseks).</w:t>
      </w:r>
    </w:p>
    <w:p w14:paraId="138DA770" w14:textId="77777777" w:rsidR="005508E5" w:rsidRDefault="005508E5" w:rsidP="005508E5">
      <w:pPr>
        <w:spacing w:before="0"/>
        <w:rPr>
          <w:bCs/>
          <w:sz w:val="22"/>
          <w:szCs w:val="22"/>
          <w:lang w:eastAsia="en-US"/>
        </w:rPr>
      </w:pPr>
    </w:p>
    <w:p w14:paraId="3C5D28E3" w14:textId="77777777" w:rsidR="005508E5" w:rsidRPr="00367CFF" w:rsidRDefault="005508E5" w:rsidP="005508E5">
      <w:pPr>
        <w:spacing w:before="0"/>
        <w:rPr>
          <w:sz w:val="22"/>
          <w:szCs w:val="22"/>
        </w:rPr>
      </w:pPr>
      <w:r w:rsidRPr="00D45394">
        <w:rPr>
          <w:sz w:val="22"/>
          <w:szCs w:val="22"/>
        </w:rPr>
        <w:t xml:space="preserve">EL </w:t>
      </w:r>
      <w:proofErr w:type="spellStart"/>
      <w:r w:rsidRPr="00D45394">
        <w:rPr>
          <w:sz w:val="22"/>
          <w:szCs w:val="22"/>
        </w:rPr>
        <w:t>ühisrahastusmäärus</w:t>
      </w:r>
      <w:proofErr w:type="spellEnd"/>
      <w:r w:rsidRPr="00D45394">
        <w:rPr>
          <w:sz w:val="22"/>
          <w:szCs w:val="22"/>
        </w:rPr>
        <w:t xml:space="preserve"> kõikidele </w:t>
      </w:r>
      <w:proofErr w:type="spellStart"/>
      <w:r w:rsidRPr="00D45394">
        <w:rPr>
          <w:sz w:val="22"/>
          <w:szCs w:val="22"/>
        </w:rPr>
        <w:t>ühisrahastuse</w:t>
      </w:r>
      <w:proofErr w:type="spellEnd"/>
      <w:r w:rsidRPr="00D45394">
        <w:rPr>
          <w:sz w:val="22"/>
          <w:szCs w:val="22"/>
        </w:rPr>
        <w:t xml:space="preserve"> viisidele või vormidele ei kohaldu ehk teatud </w:t>
      </w:r>
      <w:proofErr w:type="spellStart"/>
      <w:r w:rsidRPr="00D45394">
        <w:rPr>
          <w:sz w:val="22"/>
          <w:szCs w:val="22"/>
        </w:rPr>
        <w:t>ühisrahastusmudelitele</w:t>
      </w:r>
      <w:proofErr w:type="spellEnd"/>
      <w:r w:rsidRPr="00D45394">
        <w:rPr>
          <w:sz w:val="22"/>
          <w:szCs w:val="22"/>
        </w:rPr>
        <w:t xml:space="preserve"> ei ole EL tasemel nõudeid ühtlustatud. See puudutab eelkõige tarbijakrediidi vahendamisega tegelevaid </w:t>
      </w:r>
      <w:proofErr w:type="spellStart"/>
      <w:r w:rsidRPr="00D45394">
        <w:rPr>
          <w:sz w:val="22"/>
          <w:szCs w:val="22"/>
        </w:rPr>
        <w:t>ühisrahastusteenuse</w:t>
      </w:r>
      <w:proofErr w:type="spellEnd"/>
      <w:r w:rsidRPr="00D45394">
        <w:rPr>
          <w:sz w:val="22"/>
          <w:szCs w:val="22"/>
        </w:rPr>
        <w:t xml:space="preserve"> </w:t>
      </w:r>
      <w:proofErr w:type="spellStart"/>
      <w:r w:rsidRPr="00D45394">
        <w:rPr>
          <w:sz w:val="22"/>
          <w:szCs w:val="22"/>
        </w:rPr>
        <w:t>osutajajaid</w:t>
      </w:r>
      <w:proofErr w:type="spellEnd"/>
      <w:r w:rsidRPr="00D45394">
        <w:rPr>
          <w:sz w:val="22"/>
          <w:szCs w:val="22"/>
        </w:rPr>
        <w:t xml:space="preserve">. Eelnõuga hõlmatakse ka sellised </w:t>
      </w:r>
      <w:proofErr w:type="spellStart"/>
      <w:r w:rsidRPr="00D45394">
        <w:rPr>
          <w:sz w:val="22"/>
          <w:szCs w:val="22"/>
        </w:rPr>
        <w:t>ühisrahastusteenuse</w:t>
      </w:r>
      <w:proofErr w:type="spellEnd"/>
      <w:r w:rsidRPr="00D45394">
        <w:rPr>
          <w:sz w:val="22"/>
          <w:szCs w:val="22"/>
        </w:rPr>
        <w:t xml:space="preserve"> osutajad, kes võimaldavad investeerimist ka tarbijakrediidi projektidesse.</w:t>
      </w:r>
    </w:p>
    <w:p w14:paraId="5CF664F4" w14:textId="77777777" w:rsidR="005508E5" w:rsidRPr="0082450F" w:rsidRDefault="005508E5" w:rsidP="005508E5">
      <w:pPr>
        <w:spacing w:before="0"/>
        <w:jc w:val="left"/>
        <w:rPr>
          <w:sz w:val="22"/>
          <w:szCs w:val="22"/>
          <w:lang w:eastAsia="en-US"/>
        </w:rPr>
      </w:pPr>
    </w:p>
    <w:p w14:paraId="738BD255" w14:textId="77777777" w:rsidR="005508E5" w:rsidRPr="000428A4" w:rsidRDefault="005508E5" w:rsidP="005508E5">
      <w:pPr>
        <w:spacing w:before="0"/>
        <w:jc w:val="left"/>
        <w:rPr>
          <w:b/>
          <w:sz w:val="22"/>
          <w:szCs w:val="22"/>
          <w:lang w:eastAsia="en-US"/>
        </w:rPr>
      </w:pPr>
      <w:proofErr w:type="spellStart"/>
      <w:r w:rsidRPr="000428A4">
        <w:rPr>
          <w:b/>
          <w:sz w:val="22"/>
          <w:szCs w:val="22"/>
          <w:lang w:eastAsia="en-US"/>
        </w:rPr>
        <w:t>Krüptovarad</w:t>
      </w:r>
      <w:proofErr w:type="spellEnd"/>
    </w:p>
    <w:p w14:paraId="56110415" w14:textId="77777777" w:rsidR="005508E5" w:rsidRDefault="005508E5" w:rsidP="005508E5">
      <w:pPr>
        <w:spacing w:before="0"/>
        <w:jc w:val="left"/>
        <w:rPr>
          <w:sz w:val="22"/>
          <w:szCs w:val="22"/>
          <w:lang w:eastAsia="en-US"/>
        </w:rPr>
      </w:pPr>
    </w:p>
    <w:p w14:paraId="65D6878C" w14:textId="77777777" w:rsidR="005508E5" w:rsidRDefault="005508E5" w:rsidP="002B2C7C">
      <w:pPr>
        <w:numPr>
          <w:ilvl w:val="0"/>
          <w:numId w:val="20"/>
        </w:numPr>
        <w:rPr>
          <w:b/>
          <w:sz w:val="22"/>
          <w:szCs w:val="22"/>
        </w:rPr>
      </w:pPr>
      <w:r w:rsidRPr="00E06313">
        <w:rPr>
          <w:b/>
          <w:sz w:val="22"/>
          <w:szCs w:val="22"/>
        </w:rPr>
        <w:t>Eesti õigus</w:t>
      </w:r>
    </w:p>
    <w:p w14:paraId="721AF19B" w14:textId="77777777" w:rsidR="005508E5" w:rsidRPr="00E06313" w:rsidRDefault="005508E5" w:rsidP="005508E5">
      <w:pPr>
        <w:rPr>
          <w:b/>
          <w:sz w:val="22"/>
          <w:szCs w:val="22"/>
        </w:rPr>
      </w:pPr>
    </w:p>
    <w:p w14:paraId="0EB3A8CB" w14:textId="77777777" w:rsidR="005508E5" w:rsidRDefault="005508E5" w:rsidP="005508E5">
      <w:pPr>
        <w:spacing w:before="0"/>
        <w:rPr>
          <w:color w:val="000000"/>
          <w:sz w:val="22"/>
          <w:szCs w:val="22"/>
        </w:rPr>
      </w:pPr>
      <w:proofErr w:type="spellStart"/>
      <w:r>
        <w:rPr>
          <w:color w:val="000000"/>
          <w:sz w:val="22"/>
          <w:szCs w:val="22"/>
        </w:rPr>
        <w:t>Krüptovarad</w:t>
      </w:r>
      <w:proofErr w:type="spellEnd"/>
      <w:r>
        <w:rPr>
          <w:color w:val="000000"/>
          <w:sz w:val="22"/>
          <w:szCs w:val="22"/>
        </w:rPr>
        <w:t xml:space="preserve"> on Eesti õiguses defineerimata mõiste, kuid </w:t>
      </w:r>
      <w:proofErr w:type="spellStart"/>
      <w:r>
        <w:rPr>
          <w:color w:val="000000"/>
          <w:sz w:val="22"/>
          <w:szCs w:val="22"/>
        </w:rPr>
        <w:t>krüptovarade</w:t>
      </w:r>
      <w:proofErr w:type="spellEnd"/>
      <w:r>
        <w:rPr>
          <w:color w:val="000000"/>
          <w:sz w:val="22"/>
          <w:szCs w:val="22"/>
        </w:rPr>
        <w:t xml:space="preserve"> alla võib tinglikult liigitada kõiki instrumente, mis on esitatud </w:t>
      </w:r>
      <w:proofErr w:type="spellStart"/>
      <w:r>
        <w:rPr>
          <w:color w:val="000000"/>
          <w:sz w:val="22"/>
          <w:szCs w:val="22"/>
        </w:rPr>
        <w:t>krüptograafilisel</w:t>
      </w:r>
      <w:proofErr w:type="spellEnd"/>
      <w:r>
        <w:rPr>
          <w:color w:val="000000"/>
          <w:sz w:val="22"/>
          <w:szCs w:val="22"/>
        </w:rPr>
        <w:t xml:space="preserve"> kujul. </w:t>
      </w:r>
      <w:proofErr w:type="spellStart"/>
      <w:r>
        <w:rPr>
          <w:color w:val="000000"/>
          <w:sz w:val="22"/>
          <w:szCs w:val="22"/>
        </w:rPr>
        <w:t>Krüptovarasid</w:t>
      </w:r>
      <w:proofErr w:type="spellEnd"/>
      <w:r>
        <w:rPr>
          <w:color w:val="000000"/>
          <w:sz w:val="22"/>
          <w:szCs w:val="22"/>
        </w:rPr>
        <w:t xml:space="preserve"> on võimalik jagada kolmeks lähtuvalt nende peamisest funktsioonist ja kasutusotstarbest (vt allolevat tabelit</w:t>
      </w:r>
      <w:r w:rsidRPr="006521CB">
        <w:rPr>
          <w:color w:val="000000"/>
          <w:sz w:val="22"/>
          <w:szCs w:val="22"/>
        </w:rPr>
        <w:t>).</w:t>
      </w:r>
    </w:p>
    <w:p w14:paraId="1D5F335D" w14:textId="77777777" w:rsidR="005508E5" w:rsidRDefault="005508E5" w:rsidP="005508E5">
      <w:pPr>
        <w:spacing w:before="0"/>
        <w:rPr>
          <w:color w:val="000000"/>
          <w:sz w:val="22"/>
          <w:szCs w:val="22"/>
        </w:rPr>
      </w:pPr>
    </w:p>
    <w:p w14:paraId="6842326D" w14:textId="29C43507" w:rsidR="005508E5" w:rsidRPr="00596E67" w:rsidRDefault="005508E5" w:rsidP="005508E5">
      <w:pPr>
        <w:spacing w:before="0"/>
        <w:rPr>
          <w:sz w:val="20"/>
          <w:szCs w:val="20"/>
        </w:rPr>
      </w:pPr>
      <w:r w:rsidRPr="006136C9">
        <w:rPr>
          <w:b/>
          <w:sz w:val="20"/>
          <w:szCs w:val="20"/>
        </w:rPr>
        <w:t xml:space="preserve">Tabel </w:t>
      </w:r>
      <w:r>
        <w:rPr>
          <w:b/>
          <w:sz w:val="20"/>
          <w:szCs w:val="20"/>
        </w:rPr>
        <w:t xml:space="preserve">4. Erinevate </w:t>
      </w:r>
      <w:proofErr w:type="spellStart"/>
      <w:r>
        <w:rPr>
          <w:b/>
          <w:sz w:val="20"/>
          <w:szCs w:val="20"/>
        </w:rPr>
        <w:t>krü</w:t>
      </w:r>
      <w:r w:rsidR="00BD5E7F">
        <w:rPr>
          <w:b/>
          <w:sz w:val="20"/>
          <w:szCs w:val="20"/>
        </w:rPr>
        <w:t>pto</w:t>
      </w:r>
      <w:r>
        <w:rPr>
          <w:b/>
          <w:sz w:val="20"/>
          <w:szCs w:val="20"/>
        </w:rPr>
        <w:t>varade</w:t>
      </w:r>
      <w:proofErr w:type="spellEnd"/>
      <w:r>
        <w:rPr>
          <w:b/>
          <w:sz w:val="20"/>
          <w:szCs w:val="20"/>
        </w:rPr>
        <w:t xml:space="preserve"> (</w:t>
      </w:r>
      <w:proofErr w:type="spellStart"/>
      <w:r>
        <w:rPr>
          <w:b/>
          <w:sz w:val="20"/>
          <w:szCs w:val="20"/>
        </w:rPr>
        <w:t>t</w:t>
      </w:r>
      <w:r w:rsidRPr="00596E67">
        <w:rPr>
          <w:b/>
          <w:sz w:val="20"/>
          <w:szCs w:val="20"/>
        </w:rPr>
        <w:t>okenite</w:t>
      </w:r>
      <w:proofErr w:type="spellEnd"/>
      <w:r>
        <w:rPr>
          <w:b/>
          <w:sz w:val="20"/>
          <w:szCs w:val="20"/>
        </w:rPr>
        <w:t>)</w:t>
      </w:r>
      <w:r w:rsidRPr="00596E67">
        <w:rPr>
          <w:b/>
          <w:sz w:val="20"/>
          <w:szCs w:val="20"/>
        </w:rPr>
        <w:t xml:space="preserve"> klassifitseerimine üldistatud kujul</w:t>
      </w:r>
      <w:r w:rsidRPr="006521CB">
        <w:rPr>
          <w:rFonts w:eastAsiaTheme="minorEastAsia"/>
          <w:sz w:val="20"/>
          <w:szCs w:val="20"/>
        </w:rPr>
        <w:footnoteReference w:id="28"/>
      </w:r>
    </w:p>
    <w:tbl>
      <w:tblPr>
        <w:tblW w:w="9072" w:type="dxa"/>
        <w:tblInd w:w="-5" w:type="dxa"/>
        <w:tblLook w:val="04A0" w:firstRow="1" w:lastRow="0" w:firstColumn="1" w:lastColumn="0" w:noHBand="0" w:noVBand="1"/>
      </w:tblPr>
      <w:tblGrid>
        <w:gridCol w:w="3969"/>
        <w:gridCol w:w="3119"/>
        <w:gridCol w:w="1984"/>
      </w:tblGrid>
      <w:tr w:rsidR="005508E5" w:rsidRPr="00812A79" w14:paraId="61B5779E" w14:textId="77777777" w:rsidTr="0034053D">
        <w:tc>
          <w:tcPr>
            <w:tcW w:w="3969" w:type="dxa"/>
            <w:tcBorders>
              <w:bottom w:val="single" w:sz="4" w:space="0" w:color="auto"/>
            </w:tcBorders>
            <w:shd w:val="clear" w:color="auto" w:fill="BFBFBF" w:themeFill="background1" w:themeFillShade="BF"/>
          </w:tcPr>
          <w:p w14:paraId="4E956FEA" w14:textId="77777777" w:rsidR="005508E5" w:rsidRPr="00812A79" w:rsidRDefault="005508E5" w:rsidP="00E672AE">
            <w:pPr>
              <w:spacing w:before="0"/>
              <w:jc w:val="center"/>
              <w:rPr>
                <w:b/>
                <w:sz w:val="20"/>
                <w:szCs w:val="20"/>
              </w:rPr>
            </w:pPr>
            <w:proofErr w:type="spellStart"/>
            <w:r>
              <w:rPr>
                <w:b/>
                <w:sz w:val="20"/>
                <w:szCs w:val="20"/>
              </w:rPr>
              <w:t>M</w:t>
            </w:r>
            <w:r w:rsidRPr="00812A79">
              <w:rPr>
                <w:b/>
                <w:sz w:val="20"/>
                <w:szCs w:val="20"/>
              </w:rPr>
              <w:t>aksetokenid</w:t>
            </w:r>
            <w:proofErr w:type="spellEnd"/>
            <w:r w:rsidRPr="00812A79">
              <w:rPr>
                <w:b/>
                <w:sz w:val="20"/>
                <w:szCs w:val="20"/>
              </w:rPr>
              <w:t xml:space="preserve"> </w:t>
            </w:r>
            <w:r>
              <w:rPr>
                <w:b/>
                <w:sz w:val="20"/>
                <w:szCs w:val="20"/>
              </w:rPr>
              <w:t>(eelkõige v</w:t>
            </w:r>
            <w:r w:rsidRPr="00812A79">
              <w:rPr>
                <w:b/>
                <w:sz w:val="20"/>
                <w:szCs w:val="20"/>
              </w:rPr>
              <w:t>irtuaalvääringud)</w:t>
            </w:r>
          </w:p>
        </w:tc>
        <w:tc>
          <w:tcPr>
            <w:tcW w:w="3119" w:type="dxa"/>
            <w:tcBorders>
              <w:bottom w:val="single" w:sz="4" w:space="0" w:color="auto"/>
            </w:tcBorders>
            <w:shd w:val="clear" w:color="auto" w:fill="BFBFBF" w:themeFill="background1" w:themeFillShade="BF"/>
          </w:tcPr>
          <w:p w14:paraId="55F34890" w14:textId="77777777" w:rsidR="005508E5" w:rsidRPr="00812A79" w:rsidRDefault="005508E5" w:rsidP="00E672AE">
            <w:pPr>
              <w:spacing w:before="0"/>
              <w:jc w:val="center"/>
              <w:rPr>
                <w:b/>
                <w:sz w:val="20"/>
                <w:szCs w:val="20"/>
              </w:rPr>
            </w:pPr>
            <w:r w:rsidRPr="00812A79">
              <w:rPr>
                <w:b/>
                <w:sz w:val="20"/>
                <w:szCs w:val="20"/>
              </w:rPr>
              <w:t>Investeerimis</w:t>
            </w:r>
            <w:r>
              <w:rPr>
                <w:b/>
                <w:sz w:val="20"/>
                <w:szCs w:val="20"/>
              </w:rPr>
              <w:t xml:space="preserve">laadsed </w:t>
            </w:r>
            <w:proofErr w:type="spellStart"/>
            <w:r w:rsidRPr="00812A79">
              <w:rPr>
                <w:b/>
                <w:sz w:val="20"/>
                <w:szCs w:val="20"/>
              </w:rPr>
              <w:t>tokenid</w:t>
            </w:r>
            <w:proofErr w:type="spellEnd"/>
          </w:p>
        </w:tc>
        <w:tc>
          <w:tcPr>
            <w:tcW w:w="1984" w:type="dxa"/>
            <w:tcBorders>
              <w:bottom w:val="single" w:sz="4" w:space="0" w:color="auto"/>
            </w:tcBorders>
            <w:shd w:val="clear" w:color="auto" w:fill="BFBFBF" w:themeFill="background1" w:themeFillShade="BF"/>
          </w:tcPr>
          <w:p w14:paraId="71338D02" w14:textId="77777777" w:rsidR="005508E5" w:rsidRPr="00812A79" w:rsidRDefault="005508E5" w:rsidP="00E672AE">
            <w:pPr>
              <w:spacing w:before="0"/>
              <w:jc w:val="center"/>
              <w:rPr>
                <w:b/>
                <w:sz w:val="20"/>
                <w:szCs w:val="20"/>
              </w:rPr>
            </w:pPr>
            <w:proofErr w:type="spellStart"/>
            <w:r w:rsidRPr="00812A79">
              <w:rPr>
                <w:b/>
                <w:sz w:val="20"/>
                <w:szCs w:val="20"/>
              </w:rPr>
              <w:t>Kasutustokenid</w:t>
            </w:r>
            <w:proofErr w:type="spellEnd"/>
          </w:p>
        </w:tc>
      </w:tr>
      <w:tr w:rsidR="005508E5" w:rsidRPr="00812A79" w14:paraId="1A09E53D" w14:textId="77777777" w:rsidTr="0034053D">
        <w:tc>
          <w:tcPr>
            <w:tcW w:w="3969" w:type="dxa"/>
            <w:tcBorders>
              <w:top w:val="single" w:sz="4" w:space="0" w:color="auto"/>
              <w:left w:val="single" w:sz="4" w:space="0" w:color="auto"/>
              <w:bottom w:val="single" w:sz="4" w:space="0" w:color="auto"/>
              <w:right w:val="single" w:sz="4" w:space="0" w:color="auto"/>
            </w:tcBorders>
          </w:tcPr>
          <w:p w14:paraId="09BAC5D6" w14:textId="77777777" w:rsidR="005508E5" w:rsidRPr="00812A79" w:rsidRDefault="005508E5" w:rsidP="00E672AE">
            <w:pPr>
              <w:spacing w:before="0"/>
              <w:rPr>
                <w:sz w:val="20"/>
                <w:szCs w:val="20"/>
              </w:rPr>
            </w:pPr>
            <w:r w:rsidRPr="00812A79">
              <w:rPr>
                <w:sz w:val="20"/>
                <w:szCs w:val="20"/>
              </w:rPr>
              <w:t xml:space="preserve">Eeskätt maksete tegemiseks või väärtuse ülekandmiseks kasutatavad </w:t>
            </w:r>
            <w:proofErr w:type="spellStart"/>
            <w:r w:rsidRPr="00812A79">
              <w:rPr>
                <w:sz w:val="20"/>
                <w:szCs w:val="20"/>
              </w:rPr>
              <w:t>krüptovarad</w:t>
            </w:r>
            <w:proofErr w:type="spellEnd"/>
            <w:r w:rsidRPr="00812A79">
              <w:rPr>
                <w:sz w:val="20"/>
                <w:szCs w:val="20"/>
              </w:rPr>
              <w:t xml:space="preserve">, millega tavaliselt ei kaasne õigusi </w:t>
            </w:r>
            <w:proofErr w:type="spellStart"/>
            <w:r w:rsidRPr="00812A79">
              <w:rPr>
                <w:sz w:val="20"/>
                <w:szCs w:val="20"/>
              </w:rPr>
              <w:t>tokeni</w:t>
            </w:r>
            <w:proofErr w:type="spellEnd"/>
            <w:r w:rsidRPr="00812A79">
              <w:rPr>
                <w:sz w:val="20"/>
                <w:szCs w:val="20"/>
              </w:rPr>
              <w:t xml:space="preserve"> väljastaja enda või tema poolt pakutava toote või teenuse suhtes (erinevalt investeerimis- või </w:t>
            </w:r>
            <w:proofErr w:type="spellStart"/>
            <w:r w:rsidRPr="00812A79">
              <w:rPr>
                <w:sz w:val="20"/>
                <w:szCs w:val="20"/>
              </w:rPr>
              <w:t>kasutustoken’itest</w:t>
            </w:r>
            <w:proofErr w:type="spellEnd"/>
            <w:r w:rsidRPr="00812A79">
              <w:rPr>
                <w:sz w:val="20"/>
                <w:szCs w:val="20"/>
              </w:rPr>
              <w:t xml:space="preserve">). Teisisõnu kasutatakse virtuaalvääringuid pigem vahetusvääringuna (nt kaupade/ teenuste müümiseks või ostmiseks kellegi käest, kes ise ei ole </w:t>
            </w:r>
            <w:proofErr w:type="spellStart"/>
            <w:r w:rsidRPr="00812A79">
              <w:rPr>
                <w:sz w:val="20"/>
                <w:szCs w:val="20"/>
              </w:rPr>
              <w:t>tokenite</w:t>
            </w:r>
            <w:proofErr w:type="spellEnd"/>
            <w:r w:rsidRPr="00812A79">
              <w:rPr>
                <w:sz w:val="20"/>
                <w:szCs w:val="20"/>
              </w:rPr>
              <w:t xml:space="preserve"> väljastaja) või ka investeerimise eesmärgil läbi </w:t>
            </w:r>
            <w:proofErr w:type="spellStart"/>
            <w:r w:rsidRPr="00812A79">
              <w:rPr>
                <w:sz w:val="20"/>
                <w:szCs w:val="20"/>
              </w:rPr>
              <w:t>tokeni</w:t>
            </w:r>
            <w:proofErr w:type="spellEnd"/>
            <w:r w:rsidRPr="00812A79">
              <w:rPr>
                <w:sz w:val="20"/>
                <w:szCs w:val="20"/>
              </w:rPr>
              <w:t xml:space="preserve"> enda väärtuse säilitamise/suurendamise.</w:t>
            </w:r>
            <w:r>
              <w:rPr>
                <w:sz w:val="20"/>
                <w:szCs w:val="20"/>
              </w:rPr>
              <w:t xml:space="preserve"> </w:t>
            </w:r>
          </w:p>
          <w:p w14:paraId="5D44699F" w14:textId="77777777" w:rsidR="005508E5" w:rsidRPr="00812A79" w:rsidRDefault="005508E5" w:rsidP="00E672AE">
            <w:pPr>
              <w:spacing w:before="0"/>
              <w:rPr>
                <w:sz w:val="20"/>
                <w:szCs w:val="20"/>
              </w:rPr>
            </w:pPr>
            <w:r w:rsidRPr="00812A79">
              <w:rPr>
                <w:sz w:val="20"/>
                <w:szCs w:val="20"/>
              </w:rPr>
              <w:t xml:space="preserve">Tuntum ja esimene näide on </w:t>
            </w:r>
            <w:proofErr w:type="spellStart"/>
            <w:r w:rsidRPr="00812A79">
              <w:rPr>
                <w:i/>
                <w:sz w:val="20"/>
                <w:szCs w:val="20"/>
              </w:rPr>
              <w:t>bitcoin</w:t>
            </w:r>
            <w:proofErr w:type="spellEnd"/>
            <w:r w:rsidRPr="00812A79">
              <w:rPr>
                <w:sz w:val="20"/>
                <w:szCs w:val="20"/>
              </w:rPr>
              <w:t xml:space="preserve">. Uuem nähtus on „varaga tagatud </w:t>
            </w:r>
            <w:proofErr w:type="spellStart"/>
            <w:r w:rsidRPr="00812A79">
              <w:rPr>
                <w:sz w:val="20"/>
                <w:szCs w:val="20"/>
              </w:rPr>
              <w:t>token</w:t>
            </w:r>
            <w:proofErr w:type="spellEnd"/>
            <w:r w:rsidRPr="00812A79">
              <w:rPr>
                <w:sz w:val="20"/>
                <w:szCs w:val="20"/>
              </w:rPr>
              <w:t xml:space="preserve">“, mis on suhteliselt uus vorm viis maksmiseks ja mis on tagatud teatud varaga (riiklik valuuta, kaup või toorme, või ka teine </w:t>
            </w:r>
            <w:proofErr w:type="spellStart"/>
            <w:r w:rsidRPr="00812A79">
              <w:rPr>
                <w:sz w:val="20"/>
                <w:szCs w:val="20"/>
              </w:rPr>
              <w:t>krüptovara</w:t>
            </w:r>
            <w:proofErr w:type="spellEnd"/>
            <w:r w:rsidRPr="00812A79">
              <w:rPr>
                <w:sz w:val="20"/>
                <w:szCs w:val="20"/>
              </w:rPr>
              <w:t>).</w:t>
            </w:r>
          </w:p>
        </w:tc>
        <w:tc>
          <w:tcPr>
            <w:tcW w:w="3119" w:type="dxa"/>
            <w:tcBorders>
              <w:top w:val="single" w:sz="4" w:space="0" w:color="auto"/>
              <w:left w:val="single" w:sz="4" w:space="0" w:color="auto"/>
              <w:bottom w:val="single" w:sz="4" w:space="0" w:color="auto"/>
              <w:right w:val="single" w:sz="4" w:space="0" w:color="auto"/>
            </w:tcBorders>
          </w:tcPr>
          <w:p w14:paraId="2494F286" w14:textId="77777777" w:rsidR="005508E5" w:rsidRPr="00812A79" w:rsidRDefault="005508E5" w:rsidP="00E672AE">
            <w:pPr>
              <w:spacing w:before="0"/>
              <w:rPr>
                <w:sz w:val="20"/>
                <w:szCs w:val="20"/>
              </w:rPr>
            </w:pPr>
            <w:r w:rsidRPr="00812A79">
              <w:rPr>
                <w:sz w:val="20"/>
                <w:szCs w:val="20"/>
              </w:rPr>
              <w:t xml:space="preserve">Selliseid instrumente võib pidada väärtpaberiteks või väärtpaberitega sarnanevateks instrumentideks, mis annavad </w:t>
            </w:r>
            <w:proofErr w:type="spellStart"/>
            <w:r w:rsidRPr="00812A79">
              <w:rPr>
                <w:sz w:val="20"/>
                <w:szCs w:val="20"/>
              </w:rPr>
              <w:t>tokeni</w:t>
            </w:r>
            <w:proofErr w:type="spellEnd"/>
            <w:r w:rsidRPr="00812A79">
              <w:rPr>
                <w:sz w:val="20"/>
                <w:szCs w:val="20"/>
              </w:rPr>
              <w:t xml:space="preserve"> omanikele hääle-, kasumi jaotamise- või muid õigusi, mida tavapäraselt seostatakse aktsia või osaühingu osa omamisega. </w:t>
            </w:r>
          </w:p>
          <w:p w14:paraId="123BCF37" w14:textId="77777777" w:rsidR="005508E5" w:rsidRPr="00812A79" w:rsidRDefault="005508E5" w:rsidP="00E672AE">
            <w:pPr>
              <w:spacing w:before="0"/>
              <w:rPr>
                <w:sz w:val="20"/>
                <w:szCs w:val="20"/>
              </w:rPr>
            </w:pPr>
          </w:p>
          <w:p w14:paraId="1B891EFD" w14:textId="77777777" w:rsidR="005508E5" w:rsidRPr="00812A79" w:rsidRDefault="005508E5" w:rsidP="00E672AE">
            <w:pPr>
              <w:spacing w:before="0"/>
              <w:rPr>
                <w:sz w:val="20"/>
                <w:szCs w:val="20"/>
              </w:rPr>
            </w:pPr>
          </w:p>
          <w:p w14:paraId="7676A31D" w14:textId="77777777" w:rsidR="005508E5" w:rsidRPr="00812A79" w:rsidRDefault="005508E5" w:rsidP="00E672AE">
            <w:pPr>
              <w:spacing w:before="0"/>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05C97DE" w14:textId="77777777" w:rsidR="005508E5" w:rsidRPr="00812A79" w:rsidRDefault="005508E5" w:rsidP="00E672AE">
            <w:pPr>
              <w:spacing w:before="0"/>
              <w:rPr>
                <w:sz w:val="20"/>
                <w:szCs w:val="20"/>
              </w:rPr>
            </w:pPr>
            <w:r w:rsidRPr="00812A79">
              <w:rPr>
                <w:sz w:val="20"/>
                <w:szCs w:val="20"/>
              </w:rPr>
              <w:t xml:space="preserve">Üldiselt võimaldavad sellised </w:t>
            </w:r>
            <w:proofErr w:type="spellStart"/>
            <w:r w:rsidRPr="00812A79">
              <w:rPr>
                <w:sz w:val="20"/>
                <w:szCs w:val="20"/>
              </w:rPr>
              <w:t>krüptovarad</w:t>
            </w:r>
            <w:proofErr w:type="spellEnd"/>
            <w:r w:rsidRPr="00812A79">
              <w:rPr>
                <w:sz w:val="20"/>
                <w:szCs w:val="20"/>
              </w:rPr>
              <w:t xml:space="preserve"> juurdepääsu konkreetsele tootele või teenusele, mida sageli pakutakse kasutades hajusraamatu platvormi, kuid mida ei aktsepteerita kui maksevahendit. </w:t>
            </w:r>
          </w:p>
          <w:p w14:paraId="3B3AF957" w14:textId="77777777" w:rsidR="005508E5" w:rsidRPr="00812A79" w:rsidRDefault="005508E5" w:rsidP="00E672AE">
            <w:pPr>
              <w:spacing w:before="0"/>
              <w:rPr>
                <w:sz w:val="20"/>
                <w:szCs w:val="20"/>
              </w:rPr>
            </w:pPr>
          </w:p>
          <w:p w14:paraId="607C4257" w14:textId="77777777" w:rsidR="005508E5" w:rsidRPr="00812A79" w:rsidRDefault="005508E5" w:rsidP="00E672AE">
            <w:pPr>
              <w:spacing w:before="0"/>
              <w:rPr>
                <w:sz w:val="20"/>
                <w:szCs w:val="20"/>
              </w:rPr>
            </w:pPr>
          </w:p>
        </w:tc>
      </w:tr>
    </w:tbl>
    <w:p w14:paraId="08AC22A4" w14:textId="77777777" w:rsidR="005508E5" w:rsidRDefault="005508E5" w:rsidP="005508E5">
      <w:pPr>
        <w:spacing w:before="0"/>
        <w:rPr>
          <w:color w:val="000000"/>
          <w:sz w:val="22"/>
          <w:szCs w:val="22"/>
        </w:rPr>
      </w:pPr>
    </w:p>
    <w:p w14:paraId="4EB99A03" w14:textId="77777777" w:rsidR="005508E5" w:rsidRPr="00125B81" w:rsidRDefault="005508E5" w:rsidP="005508E5">
      <w:pPr>
        <w:spacing w:before="0"/>
        <w:rPr>
          <w:color w:val="000000"/>
          <w:sz w:val="22"/>
          <w:szCs w:val="22"/>
          <w:u w:val="single"/>
        </w:rPr>
      </w:pPr>
      <w:r w:rsidRPr="00125B81">
        <w:rPr>
          <w:color w:val="000000"/>
          <w:sz w:val="22"/>
          <w:szCs w:val="22"/>
          <w:u w:val="single"/>
        </w:rPr>
        <w:t>1) Virtuaalvääringud</w:t>
      </w:r>
      <w:r>
        <w:rPr>
          <w:color w:val="000000"/>
          <w:sz w:val="22"/>
          <w:szCs w:val="22"/>
          <w:u w:val="single"/>
        </w:rPr>
        <w:t xml:space="preserve"> ja nendega seotud teenused</w:t>
      </w:r>
    </w:p>
    <w:p w14:paraId="415633EA" w14:textId="77777777" w:rsidR="005508E5" w:rsidRPr="000E1C84" w:rsidRDefault="005508E5" w:rsidP="005508E5">
      <w:pPr>
        <w:spacing w:before="0"/>
        <w:rPr>
          <w:rFonts w:ascii="Arial" w:hAnsi="Arial" w:cs="Arial"/>
          <w:color w:val="202020"/>
          <w:sz w:val="21"/>
          <w:szCs w:val="21"/>
          <w:shd w:val="clear" w:color="auto" w:fill="FFFFFF"/>
        </w:rPr>
      </w:pPr>
      <w:r w:rsidRPr="000E1C84">
        <w:rPr>
          <w:color w:val="000000"/>
          <w:sz w:val="22"/>
          <w:szCs w:val="22"/>
        </w:rPr>
        <w:t xml:space="preserve">Rahapesu andmebüroo väljastab alates </w:t>
      </w:r>
      <w:r w:rsidRPr="00B16564">
        <w:rPr>
          <w:color w:val="000000"/>
          <w:sz w:val="22"/>
          <w:szCs w:val="22"/>
        </w:rPr>
        <w:t>27</w:t>
      </w:r>
      <w:r w:rsidRPr="000E1C84">
        <w:rPr>
          <w:color w:val="000000"/>
          <w:sz w:val="22"/>
          <w:szCs w:val="22"/>
        </w:rPr>
        <w:t>.</w:t>
      </w:r>
      <w:r w:rsidRPr="00B16564">
        <w:rPr>
          <w:color w:val="000000"/>
          <w:sz w:val="22"/>
          <w:szCs w:val="22"/>
        </w:rPr>
        <w:t>11</w:t>
      </w:r>
      <w:r w:rsidRPr="000E1C84">
        <w:rPr>
          <w:color w:val="000000"/>
          <w:sz w:val="22"/>
          <w:szCs w:val="22"/>
        </w:rPr>
        <w:t>.201</w:t>
      </w:r>
      <w:r w:rsidRPr="00B16564">
        <w:rPr>
          <w:color w:val="000000"/>
          <w:sz w:val="22"/>
          <w:szCs w:val="22"/>
        </w:rPr>
        <w:t>7</w:t>
      </w:r>
      <w:r w:rsidRPr="000E1C84">
        <w:rPr>
          <w:color w:val="000000"/>
          <w:sz w:val="22"/>
          <w:szCs w:val="22"/>
        </w:rPr>
        <w:t xml:space="preserve"> tegevuslubasid Eestis virtuaalvääringu teenuse pakkumiseks.</w:t>
      </w:r>
      <w:r w:rsidRPr="000E1C84">
        <w:rPr>
          <w:rFonts w:eastAsiaTheme="minorEastAsia"/>
          <w:color w:val="000000"/>
          <w:sz w:val="22"/>
          <w:szCs w:val="22"/>
        </w:rPr>
        <w:footnoteReference w:id="29"/>
      </w:r>
      <w:r w:rsidRPr="000E1C84">
        <w:rPr>
          <w:b/>
          <w:color w:val="000000"/>
          <w:sz w:val="22"/>
          <w:szCs w:val="22"/>
        </w:rPr>
        <w:t xml:space="preserve"> </w:t>
      </w:r>
      <w:r w:rsidRPr="00B16564">
        <w:rPr>
          <w:color w:val="000000"/>
          <w:sz w:val="22"/>
          <w:szCs w:val="22"/>
        </w:rPr>
        <w:t xml:space="preserve">Virtuaalvääring on defineeritud rahapesu ja terrorismi rahastamise tõkestamise seaduse (edaspidi </w:t>
      </w:r>
      <w:proofErr w:type="spellStart"/>
      <w:r w:rsidRPr="00B16564">
        <w:rPr>
          <w:color w:val="000000"/>
          <w:sz w:val="22"/>
          <w:szCs w:val="22"/>
        </w:rPr>
        <w:t>RahaPTS</w:t>
      </w:r>
      <w:proofErr w:type="spellEnd"/>
      <w:r w:rsidRPr="00B16564">
        <w:rPr>
          <w:color w:val="000000"/>
          <w:sz w:val="22"/>
          <w:szCs w:val="22"/>
        </w:rPr>
        <w:t xml:space="preserve">) § 3 punktis 9, mille kohaselt virtuaalvääring on </w:t>
      </w:r>
      <w:r w:rsidRPr="000E1C84">
        <w:rPr>
          <w:color w:val="202020"/>
          <w:sz w:val="22"/>
          <w:szCs w:val="22"/>
          <w:shd w:val="clear" w:color="auto" w:fill="FFFFFF"/>
        </w:rPr>
        <w:t xml:space="preserve">digitaalsel kujul esitatud väärtus, mis on digitaalselt ülekantav, säilitatav või kaubeldav ja mida füüsilised või juriidilised isikud </w:t>
      </w:r>
      <w:r w:rsidRPr="000E1C84">
        <w:rPr>
          <w:color w:val="202020"/>
          <w:sz w:val="22"/>
          <w:szCs w:val="22"/>
          <w:shd w:val="clear" w:color="auto" w:fill="FFFFFF"/>
        </w:rPr>
        <w:lastRenderedPageBreak/>
        <w:t>aktsepteerivad maksevahendina, kuid mis ei ole ühegi riigi seaduslik maksevahend ega rahaline vahend Euroopa Parlamendi ja nõukogu direktiivi (EL) 2015/2366 makseteenuste kohta siseturul, direktiivide 2002/65/EÜ, 2009/110/EÜ ning 2013/36/EL ja määruse (EL) nr 1093/2010 muutmise ning direktiivi 2007/64/EÜ kehtetuks tunnistamise kohta (ELT L 337, 23.12.2015, lk 35–127) artikli 4 punkti 25 tähenduses ega makseinstrument või maksetehing sama direktiivi artikli 3 punktide k ja l tähenduses.</w:t>
      </w:r>
      <w:r w:rsidRPr="000E1C84">
        <w:rPr>
          <w:rFonts w:ascii="Arial" w:hAnsi="Arial" w:cs="Arial"/>
          <w:color w:val="202020"/>
          <w:sz w:val="21"/>
          <w:szCs w:val="21"/>
          <w:shd w:val="clear" w:color="auto" w:fill="FFFFFF"/>
        </w:rPr>
        <w:t xml:space="preserve"> </w:t>
      </w:r>
    </w:p>
    <w:p w14:paraId="23127525" w14:textId="77777777" w:rsidR="005508E5" w:rsidRDefault="005508E5" w:rsidP="005508E5">
      <w:pPr>
        <w:spacing w:before="0"/>
        <w:rPr>
          <w:color w:val="000000"/>
          <w:sz w:val="22"/>
          <w:szCs w:val="22"/>
        </w:rPr>
      </w:pPr>
      <w:r w:rsidRPr="000E1C84">
        <w:rPr>
          <w:color w:val="000000"/>
          <w:sz w:val="22"/>
          <w:szCs w:val="22"/>
        </w:rPr>
        <w:t xml:space="preserve">Virtuaalvääringu teenus </w:t>
      </w:r>
      <w:r>
        <w:rPr>
          <w:color w:val="000000"/>
          <w:sz w:val="22"/>
          <w:szCs w:val="22"/>
        </w:rPr>
        <w:t>jaguneb</w:t>
      </w:r>
      <w:r w:rsidRPr="000E1C84">
        <w:rPr>
          <w:color w:val="000000"/>
          <w:sz w:val="22"/>
          <w:szCs w:val="22"/>
        </w:rPr>
        <w:t xml:space="preserve"> </w:t>
      </w:r>
      <w:r w:rsidRPr="00B16564">
        <w:rPr>
          <w:color w:val="000000"/>
          <w:sz w:val="22"/>
          <w:szCs w:val="22"/>
        </w:rPr>
        <w:t xml:space="preserve">kehtiva </w:t>
      </w:r>
      <w:proofErr w:type="spellStart"/>
      <w:r w:rsidRPr="00B16564">
        <w:rPr>
          <w:color w:val="000000"/>
          <w:sz w:val="22"/>
          <w:szCs w:val="22"/>
        </w:rPr>
        <w:t>RahaPTS</w:t>
      </w:r>
      <w:proofErr w:type="spellEnd"/>
      <w:r w:rsidRPr="00B16564">
        <w:rPr>
          <w:color w:val="000000"/>
          <w:sz w:val="22"/>
          <w:szCs w:val="22"/>
        </w:rPr>
        <w:t xml:space="preserve"> järgi </w:t>
      </w:r>
      <w:r>
        <w:rPr>
          <w:color w:val="000000"/>
          <w:sz w:val="22"/>
          <w:szCs w:val="22"/>
        </w:rPr>
        <w:t>neljaks eraldi teenuseks:</w:t>
      </w:r>
    </w:p>
    <w:p w14:paraId="1624DDD1" w14:textId="77777777" w:rsidR="005508E5" w:rsidRPr="00107823" w:rsidRDefault="005508E5" w:rsidP="002B2C7C">
      <w:pPr>
        <w:numPr>
          <w:ilvl w:val="1"/>
          <w:numId w:val="38"/>
        </w:numPr>
        <w:spacing w:before="0"/>
        <w:ind w:left="284" w:hanging="284"/>
        <w:rPr>
          <w:color w:val="000000"/>
          <w:sz w:val="22"/>
          <w:szCs w:val="22"/>
        </w:rPr>
      </w:pPr>
      <w:r w:rsidRPr="00107823">
        <w:rPr>
          <w:color w:val="000000"/>
          <w:sz w:val="22"/>
          <w:szCs w:val="22"/>
        </w:rPr>
        <w:t xml:space="preserve">virtuaalvääringu rahakotiteenus on teenus, mille raames luuakse klientidele või </w:t>
      </w:r>
      <w:r>
        <w:rPr>
          <w:color w:val="000000"/>
          <w:sz w:val="22"/>
          <w:szCs w:val="22"/>
        </w:rPr>
        <w:t>h</w:t>
      </w:r>
      <w:r w:rsidRPr="00107823">
        <w:rPr>
          <w:color w:val="000000"/>
          <w:sz w:val="22"/>
          <w:szCs w:val="22"/>
        </w:rPr>
        <w:t>oitakse klientide krüpteeritud võtmeid, mida saab kasutada virtuaalvääringute hoidmise, talletamise ja ülekandmise eesmärgil;</w:t>
      </w:r>
    </w:p>
    <w:p w14:paraId="1F5E5872" w14:textId="77777777" w:rsidR="005508E5" w:rsidRPr="00107823" w:rsidRDefault="005508E5" w:rsidP="002B2C7C">
      <w:pPr>
        <w:numPr>
          <w:ilvl w:val="1"/>
          <w:numId w:val="38"/>
        </w:numPr>
        <w:spacing w:before="0"/>
        <w:ind w:left="284" w:hanging="284"/>
        <w:rPr>
          <w:color w:val="000000"/>
          <w:sz w:val="22"/>
          <w:szCs w:val="22"/>
        </w:rPr>
      </w:pPr>
      <w:r w:rsidRPr="00107823">
        <w:rPr>
          <w:color w:val="000000"/>
          <w:sz w:val="22"/>
          <w:szCs w:val="22"/>
        </w:rPr>
        <w:t>virtuaalvääringu vahetamise teenus on teenus, mille raames vahetab isik virtuaalvääringut raha vastu või raha virtuaalvääringu vastu või üht virtuaalvääringut teise vastu;</w:t>
      </w:r>
    </w:p>
    <w:p w14:paraId="0173C5C4" w14:textId="77777777" w:rsidR="005508E5" w:rsidRPr="00107823" w:rsidRDefault="005508E5" w:rsidP="002B2C7C">
      <w:pPr>
        <w:numPr>
          <w:ilvl w:val="1"/>
          <w:numId w:val="38"/>
        </w:numPr>
        <w:spacing w:before="0"/>
        <w:ind w:left="284" w:hanging="284"/>
        <w:rPr>
          <w:color w:val="000000"/>
          <w:sz w:val="22"/>
          <w:szCs w:val="22"/>
        </w:rPr>
      </w:pPr>
      <w:r w:rsidRPr="00107823">
        <w:rPr>
          <w:color w:val="000000"/>
          <w:sz w:val="22"/>
          <w:szCs w:val="22"/>
        </w:rPr>
        <w:t>virtuaalvääringu ülekande teenus on teenus, mis võimaldab teha vähemalt osaliselt elektrooniliselt tehingu virtuaalvääringu teenuse pakkuja kaudu algataja nimel eesmärgiga teisaldada virtuaalvääring saaja virtuaalvääringu rahakotti või -kontole, sõltumata sellest, kas tehingu algataja ja saaja on üks ja sama isik või kas tehingu algataja ja saaja kasutavad sama teenusepakkujat;</w:t>
      </w:r>
    </w:p>
    <w:p w14:paraId="51769418" w14:textId="77777777" w:rsidR="005508E5" w:rsidRDefault="005508E5" w:rsidP="002B2C7C">
      <w:pPr>
        <w:numPr>
          <w:ilvl w:val="1"/>
          <w:numId w:val="38"/>
        </w:numPr>
        <w:spacing w:before="0"/>
        <w:ind w:left="284" w:hanging="284"/>
        <w:rPr>
          <w:color w:val="000000"/>
          <w:sz w:val="22"/>
          <w:szCs w:val="22"/>
        </w:rPr>
      </w:pPr>
      <w:r w:rsidRPr="00107823">
        <w:rPr>
          <w:color w:val="000000"/>
          <w:sz w:val="22"/>
          <w:szCs w:val="22"/>
        </w:rPr>
        <w:t>virtuaalvääringu väljastamisega seonduva väljastaja eest või nimel avaliku või suunatud pakkumise või müügi korraldamine või sellega seotud finantsteenuse osutamine</w:t>
      </w:r>
      <w:r>
        <w:rPr>
          <w:color w:val="000000"/>
          <w:sz w:val="22"/>
          <w:szCs w:val="22"/>
        </w:rPr>
        <w:t>.</w:t>
      </w:r>
    </w:p>
    <w:p w14:paraId="4D1C36C9" w14:textId="77777777" w:rsidR="005508E5" w:rsidRPr="005C669F" w:rsidRDefault="005508E5" w:rsidP="005508E5">
      <w:pPr>
        <w:spacing w:before="0"/>
        <w:rPr>
          <w:sz w:val="22"/>
          <w:szCs w:val="22"/>
        </w:rPr>
      </w:pPr>
    </w:p>
    <w:p w14:paraId="4E6E88B2" w14:textId="77777777" w:rsidR="005508E5" w:rsidRDefault="005508E5" w:rsidP="005508E5">
      <w:pPr>
        <w:spacing w:before="0"/>
        <w:rPr>
          <w:sz w:val="22"/>
          <w:szCs w:val="22"/>
          <w:u w:val="single"/>
          <w:lang w:eastAsia="en-US"/>
        </w:rPr>
      </w:pPr>
      <w:r w:rsidRPr="006521CB">
        <w:rPr>
          <w:sz w:val="22"/>
          <w:szCs w:val="22"/>
          <w:u w:val="single"/>
          <w:lang w:eastAsia="en-US"/>
        </w:rPr>
        <w:t>2) Investeerimis</w:t>
      </w:r>
      <w:r>
        <w:rPr>
          <w:sz w:val="22"/>
          <w:szCs w:val="22"/>
          <w:u w:val="single"/>
          <w:lang w:eastAsia="en-US"/>
        </w:rPr>
        <w:t>e eesmärki kandvad</w:t>
      </w:r>
      <w:r w:rsidRPr="006521CB">
        <w:rPr>
          <w:sz w:val="22"/>
          <w:szCs w:val="22"/>
          <w:u w:val="single"/>
          <w:lang w:eastAsia="en-US"/>
        </w:rPr>
        <w:t xml:space="preserve"> </w:t>
      </w:r>
      <w:proofErr w:type="spellStart"/>
      <w:r w:rsidRPr="006521CB">
        <w:rPr>
          <w:sz w:val="22"/>
          <w:szCs w:val="22"/>
          <w:u w:val="single"/>
          <w:lang w:eastAsia="en-US"/>
        </w:rPr>
        <w:t>krüptovarad</w:t>
      </w:r>
      <w:proofErr w:type="spellEnd"/>
    </w:p>
    <w:p w14:paraId="017F000A" w14:textId="77777777" w:rsidR="005508E5" w:rsidRDefault="005508E5" w:rsidP="005508E5">
      <w:pPr>
        <w:spacing w:before="0"/>
        <w:rPr>
          <w:sz w:val="22"/>
          <w:szCs w:val="22"/>
        </w:rPr>
      </w:pPr>
      <w:r>
        <w:rPr>
          <w:sz w:val="22"/>
          <w:szCs w:val="22"/>
          <w:lang w:eastAsia="en-US"/>
        </w:rPr>
        <w:t xml:space="preserve">Täna turul pakutavate investeerimise eesmärki kandvate </w:t>
      </w:r>
      <w:proofErr w:type="spellStart"/>
      <w:r>
        <w:rPr>
          <w:sz w:val="22"/>
          <w:szCs w:val="22"/>
          <w:lang w:eastAsia="en-US"/>
        </w:rPr>
        <w:t>krüptovarade</w:t>
      </w:r>
      <w:proofErr w:type="spellEnd"/>
      <w:r>
        <w:rPr>
          <w:sz w:val="22"/>
          <w:szCs w:val="22"/>
          <w:lang w:eastAsia="en-US"/>
        </w:rPr>
        <w:t xml:space="preserve"> alla võib liigitada sellised instrumendid, mille omamisega kaasnevad õigused ja kohustused sarnanevad eeskätt osalusele äriühingus või mille omajal on võimalik teenida tulu vastavalt instrumendi pakkumises esitatud tingimustele. </w:t>
      </w:r>
      <w:r w:rsidRPr="00717E8E">
        <w:rPr>
          <w:sz w:val="22"/>
          <w:szCs w:val="22"/>
        </w:rPr>
        <w:t xml:space="preserve">Näiteks aktsiast ja ka ostueesõigusega piiratud </w:t>
      </w:r>
      <w:r>
        <w:rPr>
          <w:sz w:val="22"/>
          <w:szCs w:val="22"/>
        </w:rPr>
        <w:t xml:space="preserve">osaühingu </w:t>
      </w:r>
      <w:r w:rsidRPr="00717E8E">
        <w:rPr>
          <w:sz w:val="22"/>
          <w:szCs w:val="22"/>
        </w:rPr>
        <w:t xml:space="preserve">osast tulenevad õigused ja kohustused on </w:t>
      </w:r>
      <w:r>
        <w:rPr>
          <w:sz w:val="22"/>
          <w:szCs w:val="22"/>
        </w:rPr>
        <w:t xml:space="preserve">sätestatud </w:t>
      </w:r>
      <w:r w:rsidRPr="00717E8E">
        <w:rPr>
          <w:sz w:val="22"/>
          <w:szCs w:val="22"/>
        </w:rPr>
        <w:t xml:space="preserve">äriseadustikus. Seega, kui </w:t>
      </w:r>
      <w:proofErr w:type="spellStart"/>
      <w:r>
        <w:rPr>
          <w:sz w:val="22"/>
          <w:szCs w:val="22"/>
        </w:rPr>
        <w:t>investeerimis</w:t>
      </w:r>
      <w:r w:rsidRPr="00717E8E">
        <w:rPr>
          <w:sz w:val="22"/>
          <w:szCs w:val="22"/>
        </w:rPr>
        <w:t>token</w:t>
      </w:r>
      <w:proofErr w:type="spellEnd"/>
      <w:r w:rsidRPr="00717E8E">
        <w:rPr>
          <w:sz w:val="22"/>
          <w:szCs w:val="22"/>
        </w:rPr>
        <w:t xml:space="preserve"> esindab plokiahelasse kantud ühikuna osa</w:t>
      </w:r>
      <w:r>
        <w:rPr>
          <w:sz w:val="22"/>
          <w:szCs w:val="22"/>
        </w:rPr>
        <w:t xml:space="preserve"> või muud instrumenti, mida seostatakse osaluse omamisega</w:t>
      </w:r>
      <w:r w:rsidRPr="00717E8E">
        <w:rPr>
          <w:sz w:val="22"/>
          <w:szCs w:val="22"/>
        </w:rPr>
        <w:t xml:space="preserve">, on võimalik selgitada selle </w:t>
      </w:r>
      <w:proofErr w:type="spellStart"/>
      <w:r w:rsidRPr="00717E8E">
        <w:rPr>
          <w:sz w:val="22"/>
          <w:szCs w:val="22"/>
        </w:rPr>
        <w:t>tokeniga</w:t>
      </w:r>
      <w:proofErr w:type="spellEnd"/>
      <w:r w:rsidRPr="00717E8E">
        <w:rPr>
          <w:sz w:val="22"/>
          <w:szCs w:val="22"/>
        </w:rPr>
        <w:t xml:space="preserve"> seotud igakordse omaniku õigusi osalusele ja hüvedele äriseadustiku regulatsiooni põhjal. Siiski jäävad määratlemata näiteks plokiahelas tehingute kajastamisega (ehk registri pidamisega) seotud küsimused, samuti </w:t>
      </w:r>
      <w:proofErr w:type="spellStart"/>
      <w:r w:rsidRPr="00717E8E">
        <w:rPr>
          <w:sz w:val="22"/>
          <w:szCs w:val="22"/>
        </w:rPr>
        <w:t>tokeniga</w:t>
      </w:r>
      <w:proofErr w:type="spellEnd"/>
      <w:r w:rsidRPr="00717E8E">
        <w:rPr>
          <w:sz w:val="22"/>
          <w:szCs w:val="22"/>
        </w:rPr>
        <w:t xml:space="preserve"> tehingu tegemise ja selle hoidmisega (virtuaalse rahakoti ja selle võtmetega) seotud temaatika ning muud </w:t>
      </w:r>
      <w:proofErr w:type="spellStart"/>
      <w:r w:rsidRPr="00717E8E">
        <w:rPr>
          <w:sz w:val="22"/>
          <w:szCs w:val="22"/>
        </w:rPr>
        <w:t>tokeni</w:t>
      </w:r>
      <w:proofErr w:type="spellEnd"/>
      <w:r w:rsidRPr="00717E8E">
        <w:rPr>
          <w:sz w:val="22"/>
          <w:szCs w:val="22"/>
        </w:rPr>
        <w:t xml:space="preserve"> tehnoloogilisest eripärast tulenevad aspektid. </w:t>
      </w:r>
    </w:p>
    <w:p w14:paraId="00313E47" w14:textId="77777777" w:rsidR="005508E5" w:rsidRDefault="005508E5" w:rsidP="005508E5">
      <w:pPr>
        <w:spacing w:before="0"/>
        <w:rPr>
          <w:sz w:val="22"/>
          <w:szCs w:val="22"/>
        </w:rPr>
      </w:pPr>
    </w:p>
    <w:p w14:paraId="7C2ED792" w14:textId="77777777" w:rsidR="005508E5" w:rsidRDefault="005508E5" w:rsidP="005508E5">
      <w:pPr>
        <w:spacing w:before="0"/>
        <w:rPr>
          <w:sz w:val="22"/>
          <w:szCs w:val="22"/>
        </w:rPr>
      </w:pPr>
      <w:r>
        <w:rPr>
          <w:sz w:val="22"/>
          <w:szCs w:val="22"/>
        </w:rPr>
        <w:t xml:space="preserve">Seoses eelnõus esitatud </w:t>
      </w:r>
      <w:proofErr w:type="spellStart"/>
      <w:r>
        <w:rPr>
          <w:sz w:val="22"/>
          <w:szCs w:val="22"/>
        </w:rPr>
        <w:t>krüptovara</w:t>
      </w:r>
      <w:proofErr w:type="spellEnd"/>
      <w:r>
        <w:rPr>
          <w:sz w:val="22"/>
          <w:szCs w:val="22"/>
        </w:rPr>
        <w:t xml:space="preserve"> definitsiooniga tuleb märkida, et selle mõiste alla lähevad ka instrumendid, mille omamine on funktsionaalselt sarnane osaühingu osa omamisega. 2020. aastal jõustusid äriseadustiku § 149 muudatused, mis lubavad osaühingul põhikirjaga loobuda osa võõrandamise käsutustehingu notariaalsest vorminõudest, kui sellega on nõus kõik osanikud ja kui osaühingu osakapital on vähemalt 10 000 eurot. See võimaldab osa võõrandamise käsutustehinguid teha ka vähemalt kirjalikku taasesitamist võimaldavas vormis (vt viidatud sätte lõiked 4 ja 6). Osaühingu osadega tehinguid tehes tuleb arvestada äriseadustikus sätestatuga, sh sellega, et õiguslikku tähendust omavad äriregistri pidaja poolt tehtud kanded. </w:t>
      </w:r>
    </w:p>
    <w:p w14:paraId="2C110711" w14:textId="77777777" w:rsidR="005508E5" w:rsidRPr="00717E8E" w:rsidRDefault="005508E5" w:rsidP="005508E5">
      <w:pPr>
        <w:spacing w:before="0"/>
        <w:rPr>
          <w:sz w:val="22"/>
          <w:szCs w:val="22"/>
        </w:rPr>
      </w:pPr>
    </w:p>
    <w:p w14:paraId="2448F177" w14:textId="77777777" w:rsidR="005508E5" w:rsidRPr="00717E8E" w:rsidRDefault="005508E5" w:rsidP="005508E5">
      <w:pPr>
        <w:spacing w:before="0"/>
        <w:rPr>
          <w:sz w:val="22"/>
          <w:szCs w:val="22"/>
        </w:rPr>
      </w:pPr>
      <w:r w:rsidRPr="00717E8E">
        <w:rPr>
          <w:sz w:val="22"/>
          <w:szCs w:val="22"/>
        </w:rPr>
        <w:t xml:space="preserve">Kui aga eesmärk ei ole mitte </w:t>
      </w:r>
      <w:proofErr w:type="spellStart"/>
      <w:r w:rsidRPr="00717E8E">
        <w:rPr>
          <w:sz w:val="22"/>
          <w:szCs w:val="22"/>
        </w:rPr>
        <w:t>tokeniseerida</w:t>
      </w:r>
      <w:proofErr w:type="spellEnd"/>
      <w:r w:rsidRPr="00717E8E">
        <w:rPr>
          <w:sz w:val="22"/>
          <w:szCs w:val="22"/>
        </w:rPr>
        <w:t xml:space="preserve"> olemasolevat õigust, vaid </w:t>
      </w:r>
      <w:proofErr w:type="spellStart"/>
      <w:r w:rsidRPr="00717E8E">
        <w:rPr>
          <w:sz w:val="22"/>
          <w:szCs w:val="22"/>
        </w:rPr>
        <w:t>token</w:t>
      </w:r>
      <w:proofErr w:type="spellEnd"/>
      <w:r w:rsidRPr="00717E8E">
        <w:rPr>
          <w:sz w:val="22"/>
          <w:szCs w:val="22"/>
        </w:rPr>
        <w:t xml:space="preserve"> ise esindabki </w:t>
      </w:r>
      <w:r>
        <w:rPr>
          <w:sz w:val="22"/>
          <w:szCs w:val="22"/>
        </w:rPr>
        <w:t>vastavat vara liiki</w:t>
      </w:r>
      <w:r w:rsidRPr="00717E8E">
        <w:rPr>
          <w:sz w:val="22"/>
          <w:szCs w:val="22"/>
        </w:rPr>
        <w:t xml:space="preserve"> (näitena nn </w:t>
      </w:r>
      <w:proofErr w:type="spellStart"/>
      <w:r w:rsidRPr="00717E8E">
        <w:rPr>
          <w:sz w:val="22"/>
          <w:szCs w:val="22"/>
        </w:rPr>
        <w:t>fragmenteeritud</w:t>
      </w:r>
      <w:proofErr w:type="spellEnd"/>
      <w:r w:rsidRPr="00717E8E">
        <w:rPr>
          <w:sz w:val="22"/>
          <w:szCs w:val="22"/>
        </w:rPr>
        <w:t xml:space="preserve"> õigus, mis ei ole aktsia, kuid annab õiguse dividendidele lähtuvalt teatud arvestuspõhimõtetest, või hääleõiguse</w:t>
      </w:r>
      <w:r>
        <w:rPr>
          <w:sz w:val="22"/>
          <w:szCs w:val="22"/>
        </w:rPr>
        <w:t xml:space="preserve"> äriühingus</w:t>
      </w:r>
      <w:r w:rsidRPr="00717E8E">
        <w:rPr>
          <w:sz w:val="22"/>
          <w:szCs w:val="22"/>
        </w:rPr>
        <w:t xml:space="preserve">), ei pruugi kehtiv õigus </w:t>
      </w:r>
      <w:proofErr w:type="spellStart"/>
      <w:r w:rsidRPr="00717E8E">
        <w:rPr>
          <w:sz w:val="22"/>
          <w:szCs w:val="22"/>
        </w:rPr>
        <w:t>tokeni</w:t>
      </w:r>
      <w:proofErr w:type="spellEnd"/>
      <w:r w:rsidRPr="00717E8E">
        <w:rPr>
          <w:sz w:val="22"/>
          <w:szCs w:val="22"/>
        </w:rPr>
        <w:t xml:space="preserve"> olemusega seotud aspektidele piisavat selgitust anda ning pooltevahelised suhted saavad rajaneda üksnes lepingul ehk </w:t>
      </w:r>
      <w:proofErr w:type="spellStart"/>
      <w:r w:rsidRPr="00717E8E">
        <w:rPr>
          <w:sz w:val="22"/>
          <w:szCs w:val="22"/>
        </w:rPr>
        <w:t>tokeni</w:t>
      </w:r>
      <w:proofErr w:type="spellEnd"/>
      <w:r w:rsidRPr="00717E8E">
        <w:rPr>
          <w:sz w:val="22"/>
          <w:szCs w:val="22"/>
        </w:rPr>
        <w:t xml:space="preserve"> välja andmisel koostatud</w:t>
      </w:r>
      <w:r>
        <w:rPr>
          <w:sz w:val="22"/>
          <w:szCs w:val="22"/>
        </w:rPr>
        <w:t xml:space="preserve"> teabedokumendil (nimetatakse ka</w:t>
      </w:r>
      <w:r w:rsidRPr="00717E8E">
        <w:rPr>
          <w:sz w:val="22"/>
          <w:szCs w:val="22"/>
        </w:rPr>
        <w:t xml:space="preserve"> </w:t>
      </w:r>
      <w:proofErr w:type="spellStart"/>
      <w:r w:rsidRPr="00717E8E">
        <w:rPr>
          <w:i/>
          <w:sz w:val="22"/>
          <w:szCs w:val="22"/>
        </w:rPr>
        <w:t>white</w:t>
      </w:r>
      <w:proofErr w:type="spellEnd"/>
      <w:r w:rsidRPr="00717E8E">
        <w:rPr>
          <w:i/>
          <w:sz w:val="22"/>
          <w:szCs w:val="22"/>
        </w:rPr>
        <w:t xml:space="preserve"> </w:t>
      </w:r>
      <w:proofErr w:type="spellStart"/>
      <w:r w:rsidRPr="00717E8E">
        <w:rPr>
          <w:i/>
          <w:sz w:val="22"/>
          <w:szCs w:val="22"/>
        </w:rPr>
        <w:t>paper’</w:t>
      </w:r>
      <w:r w:rsidRPr="00717E8E">
        <w:rPr>
          <w:sz w:val="22"/>
          <w:szCs w:val="22"/>
        </w:rPr>
        <w:t>i</w:t>
      </w:r>
      <w:r>
        <w:rPr>
          <w:sz w:val="22"/>
          <w:szCs w:val="22"/>
        </w:rPr>
        <w:t>ks</w:t>
      </w:r>
      <w:proofErr w:type="spellEnd"/>
      <w:r>
        <w:rPr>
          <w:sz w:val="22"/>
          <w:szCs w:val="22"/>
        </w:rPr>
        <w:t>)</w:t>
      </w:r>
      <w:r w:rsidRPr="00717E8E">
        <w:rPr>
          <w:sz w:val="22"/>
          <w:szCs w:val="22"/>
        </w:rPr>
        <w:t xml:space="preserve">. </w:t>
      </w:r>
    </w:p>
    <w:p w14:paraId="1D64375A" w14:textId="77777777" w:rsidR="005508E5" w:rsidRPr="00717E8E" w:rsidRDefault="005508E5" w:rsidP="005508E5">
      <w:pPr>
        <w:spacing w:before="0"/>
        <w:rPr>
          <w:sz w:val="22"/>
          <w:szCs w:val="22"/>
        </w:rPr>
      </w:pPr>
    </w:p>
    <w:p w14:paraId="28AC385C" w14:textId="77777777" w:rsidR="005508E5" w:rsidRPr="00432186" w:rsidRDefault="005508E5" w:rsidP="005508E5">
      <w:pPr>
        <w:spacing w:before="0"/>
        <w:rPr>
          <w:sz w:val="22"/>
          <w:szCs w:val="22"/>
          <w:u w:val="single"/>
        </w:rPr>
      </w:pPr>
      <w:r w:rsidRPr="00432186">
        <w:rPr>
          <w:sz w:val="22"/>
          <w:szCs w:val="22"/>
          <w:u w:val="single"/>
        </w:rPr>
        <w:t xml:space="preserve">3) </w:t>
      </w:r>
      <w:proofErr w:type="spellStart"/>
      <w:r w:rsidRPr="00432186">
        <w:rPr>
          <w:sz w:val="22"/>
          <w:szCs w:val="22"/>
          <w:u w:val="single"/>
        </w:rPr>
        <w:t>Kasutustokenid</w:t>
      </w:r>
      <w:proofErr w:type="spellEnd"/>
    </w:p>
    <w:p w14:paraId="71FAF1E4" w14:textId="77777777" w:rsidR="005508E5" w:rsidRDefault="005508E5" w:rsidP="005508E5">
      <w:pPr>
        <w:spacing w:before="0"/>
        <w:rPr>
          <w:sz w:val="22"/>
          <w:szCs w:val="22"/>
        </w:rPr>
      </w:pPr>
    </w:p>
    <w:p w14:paraId="431EBB2D" w14:textId="77777777" w:rsidR="005508E5" w:rsidRDefault="005508E5" w:rsidP="005508E5">
      <w:pPr>
        <w:spacing w:before="0"/>
        <w:rPr>
          <w:sz w:val="22"/>
          <w:szCs w:val="22"/>
        </w:rPr>
      </w:pPr>
      <w:proofErr w:type="spellStart"/>
      <w:r>
        <w:rPr>
          <w:sz w:val="22"/>
          <w:szCs w:val="22"/>
        </w:rPr>
        <w:t>Kasutustokenite</w:t>
      </w:r>
      <w:proofErr w:type="spellEnd"/>
      <w:r>
        <w:rPr>
          <w:sz w:val="22"/>
          <w:szCs w:val="22"/>
        </w:rPr>
        <w:t xml:space="preserve"> alla liigituvad üldjuhul sellised </w:t>
      </w:r>
      <w:proofErr w:type="spellStart"/>
      <w:r>
        <w:rPr>
          <w:sz w:val="22"/>
          <w:szCs w:val="22"/>
        </w:rPr>
        <w:t>krüptovarad</w:t>
      </w:r>
      <w:proofErr w:type="spellEnd"/>
      <w:r>
        <w:rPr>
          <w:sz w:val="22"/>
          <w:szCs w:val="22"/>
        </w:rPr>
        <w:t xml:space="preserve">, mida on võimalik vahetada kaupade või teenuste vastu või mida on võimalik näiteks kasutada </w:t>
      </w:r>
      <w:proofErr w:type="spellStart"/>
      <w:r>
        <w:rPr>
          <w:sz w:val="22"/>
          <w:szCs w:val="22"/>
        </w:rPr>
        <w:t>tokeni</w:t>
      </w:r>
      <w:proofErr w:type="spellEnd"/>
      <w:r>
        <w:rPr>
          <w:sz w:val="22"/>
          <w:szCs w:val="22"/>
        </w:rPr>
        <w:t xml:space="preserve"> väljastaja teenusele ligi pääsemiseks. Teisisõnu on tegemist piiratud kasutusfunktsiooniga </w:t>
      </w:r>
      <w:proofErr w:type="spellStart"/>
      <w:r>
        <w:rPr>
          <w:sz w:val="22"/>
          <w:szCs w:val="22"/>
        </w:rPr>
        <w:t>tokeniga</w:t>
      </w:r>
      <w:proofErr w:type="spellEnd"/>
      <w:r>
        <w:rPr>
          <w:sz w:val="22"/>
          <w:szCs w:val="22"/>
        </w:rPr>
        <w:t xml:space="preserve">, mida aktsepteerib </w:t>
      </w:r>
      <w:proofErr w:type="spellStart"/>
      <w:r>
        <w:rPr>
          <w:sz w:val="22"/>
          <w:szCs w:val="22"/>
        </w:rPr>
        <w:t>tokeni</w:t>
      </w:r>
      <w:proofErr w:type="spellEnd"/>
      <w:r>
        <w:rPr>
          <w:sz w:val="22"/>
          <w:szCs w:val="22"/>
        </w:rPr>
        <w:t xml:space="preserve"> müüja ise enda poolt osutatava teenuse või kauba maksevahendina. Sellisest funktsioonist lähtuvalt võib </w:t>
      </w:r>
      <w:proofErr w:type="spellStart"/>
      <w:r>
        <w:rPr>
          <w:sz w:val="22"/>
          <w:szCs w:val="22"/>
        </w:rPr>
        <w:t>kasutustokeneid</w:t>
      </w:r>
      <w:proofErr w:type="spellEnd"/>
      <w:r>
        <w:rPr>
          <w:sz w:val="22"/>
          <w:szCs w:val="22"/>
        </w:rPr>
        <w:t xml:space="preserve"> mõista ka kui </w:t>
      </w:r>
      <w:proofErr w:type="spellStart"/>
      <w:r>
        <w:rPr>
          <w:sz w:val="22"/>
          <w:szCs w:val="22"/>
        </w:rPr>
        <w:t>vautšereid</w:t>
      </w:r>
      <w:proofErr w:type="spellEnd"/>
      <w:r>
        <w:rPr>
          <w:sz w:val="22"/>
          <w:szCs w:val="22"/>
        </w:rPr>
        <w:t xml:space="preserve"> (</w:t>
      </w:r>
      <w:proofErr w:type="spellStart"/>
      <w:r w:rsidRPr="00432186">
        <w:rPr>
          <w:i/>
          <w:sz w:val="22"/>
          <w:szCs w:val="22"/>
        </w:rPr>
        <w:t>voucher</w:t>
      </w:r>
      <w:proofErr w:type="spellEnd"/>
      <w:r>
        <w:rPr>
          <w:sz w:val="22"/>
          <w:szCs w:val="22"/>
        </w:rPr>
        <w:t xml:space="preserve">) või kinkekaardi sarnast instrumenti. Ka </w:t>
      </w:r>
      <w:proofErr w:type="spellStart"/>
      <w:r>
        <w:rPr>
          <w:sz w:val="22"/>
          <w:szCs w:val="22"/>
        </w:rPr>
        <w:t>kasutustokenite</w:t>
      </w:r>
      <w:proofErr w:type="spellEnd"/>
      <w:r>
        <w:rPr>
          <w:sz w:val="22"/>
          <w:szCs w:val="22"/>
        </w:rPr>
        <w:t xml:space="preserve"> pakkumine ja käitlemine on Eesti õiguses suuresti reguleerimata, ning konkreetselt </w:t>
      </w:r>
      <w:proofErr w:type="spellStart"/>
      <w:r>
        <w:rPr>
          <w:sz w:val="22"/>
          <w:szCs w:val="22"/>
        </w:rPr>
        <w:t>kasutustokenid</w:t>
      </w:r>
      <w:proofErr w:type="spellEnd"/>
      <w:r>
        <w:rPr>
          <w:sz w:val="22"/>
          <w:szCs w:val="22"/>
        </w:rPr>
        <w:t xml:space="preserve"> alluvad eelkõige poolte (teenuseosutaja ja kliendi) vahelisele võlaõiguslikule suhtele, mille keskseks elemendiks on </w:t>
      </w:r>
      <w:proofErr w:type="spellStart"/>
      <w:r>
        <w:rPr>
          <w:sz w:val="22"/>
          <w:szCs w:val="22"/>
        </w:rPr>
        <w:t>kasutustokeni</w:t>
      </w:r>
      <w:proofErr w:type="spellEnd"/>
      <w:r>
        <w:rPr>
          <w:sz w:val="22"/>
          <w:szCs w:val="22"/>
        </w:rPr>
        <w:t xml:space="preserve"> pakkumisel esitatud teabedokument (</w:t>
      </w:r>
      <w:proofErr w:type="spellStart"/>
      <w:r w:rsidRPr="00432186">
        <w:rPr>
          <w:i/>
          <w:sz w:val="22"/>
          <w:szCs w:val="22"/>
        </w:rPr>
        <w:t>white</w:t>
      </w:r>
      <w:proofErr w:type="spellEnd"/>
      <w:r w:rsidRPr="00432186">
        <w:rPr>
          <w:i/>
          <w:sz w:val="22"/>
          <w:szCs w:val="22"/>
        </w:rPr>
        <w:t xml:space="preserve"> </w:t>
      </w:r>
      <w:proofErr w:type="spellStart"/>
      <w:r w:rsidRPr="00432186">
        <w:rPr>
          <w:i/>
          <w:sz w:val="22"/>
          <w:szCs w:val="22"/>
        </w:rPr>
        <w:t>paper</w:t>
      </w:r>
      <w:proofErr w:type="spellEnd"/>
      <w:r>
        <w:rPr>
          <w:sz w:val="22"/>
          <w:szCs w:val="22"/>
        </w:rPr>
        <w:t>).</w:t>
      </w:r>
    </w:p>
    <w:p w14:paraId="0CFF973A" w14:textId="77777777" w:rsidR="005508E5" w:rsidRDefault="005508E5" w:rsidP="005508E5">
      <w:pPr>
        <w:spacing w:before="0"/>
        <w:rPr>
          <w:sz w:val="22"/>
          <w:szCs w:val="22"/>
        </w:rPr>
      </w:pPr>
      <w:r>
        <w:rPr>
          <w:sz w:val="22"/>
          <w:szCs w:val="22"/>
        </w:rPr>
        <w:t xml:space="preserve"> </w:t>
      </w:r>
    </w:p>
    <w:p w14:paraId="4459326F" w14:textId="77777777" w:rsidR="005508E5" w:rsidRDefault="005508E5" w:rsidP="005508E5">
      <w:pPr>
        <w:spacing w:before="0"/>
        <w:rPr>
          <w:b/>
          <w:sz w:val="22"/>
          <w:szCs w:val="22"/>
        </w:rPr>
      </w:pPr>
      <w:r>
        <w:rPr>
          <w:sz w:val="22"/>
          <w:szCs w:val="22"/>
        </w:rPr>
        <w:lastRenderedPageBreak/>
        <w:t xml:space="preserve">Kõigi </w:t>
      </w:r>
      <w:r w:rsidRPr="00EC47ED">
        <w:rPr>
          <w:sz w:val="22"/>
          <w:szCs w:val="22"/>
        </w:rPr>
        <w:t xml:space="preserve">kolme </w:t>
      </w:r>
      <w:proofErr w:type="spellStart"/>
      <w:r w:rsidRPr="00EC47ED">
        <w:rPr>
          <w:sz w:val="22"/>
          <w:szCs w:val="22"/>
        </w:rPr>
        <w:t>tokeni</w:t>
      </w:r>
      <w:proofErr w:type="spellEnd"/>
      <w:r w:rsidRPr="00EC47ED">
        <w:rPr>
          <w:sz w:val="22"/>
          <w:szCs w:val="22"/>
        </w:rPr>
        <w:t xml:space="preserve"> liigi puhul on ühendavaks jooneks siiski tehnoloogiast tulenevad riskid, mida kehtiv õigus ei kajasta. Seega võib regulatsiooni täiendamise seisukohalt olulise kohana välja tuua sellekohase lünga, mis vajab täpsustamist. </w:t>
      </w:r>
      <w:r>
        <w:rPr>
          <w:sz w:val="22"/>
          <w:szCs w:val="22"/>
        </w:rPr>
        <w:t>E</w:t>
      </w:r>
      <w:r w:rsidRPr="00EC47ED">
        <w:rPr>
          <w:sz w:val="22"/>
          <w:szCs w:val="22"/>
        </w:rPr>
        <w:t xml:space="preserve">elnõu eesmärk on kehtivat regulatsiooni täpsustada </w:t>
      </w:r>
      <w:r>
        <w:rPr>
          <w:sz w:val="22"/>
          <w:szCs w:val="22"/>
        </w:rPr>
        <w:t xml:space="preserve">kõigi erinevat liiki </w:t>
      </w:r>
      <w:proofErr w:type="spellStart"/>
      <w:r>
        <w:rPr>
          <w:sz w:val="22"/>
          <w:szCs w:val="22"/>
        </w:rPr>
        <w:t>krüptovarade</w:t>
      </w:r>
      <w:proofErr w:type="spellEnd"/>
      <w:r w:rsidRPr="00EC47ED">
        <w:rPr>
          <w:sz w:val="22"/>
          <w:szCs w:val="22"/>
        </w:rPr>
        <w:t xml:space="preserve"> osas.</w:t>
      </w:r>
      <w:r w:rsidRPr="00A3112A">
        <w:rPr>
          <w:rFonts w:eastAsiaTheme="minorEastAsia"/>
          <w:sz w:val="22"/>
          <w:szCs w:val="22"/>
          <w:vertAlign w:val="superscript"/>
        </w:rPr>
        <w:footnoteReference w:id="30"/>
      </w:r>
    </w:p>
    <w:p w14:paraId="2CF0A62A" w14:textId="77777777" w:rsidR="005508E5" w:rsidRPr="000121CF" w:rsidRDefault="005508E5" w:rsidP="005508E5">
      <w:pPr>
        <w:spacing w:before="0"/>
        <w:rPr>
          <w:sz w:val="22"/>
          <w:szCs w:val="22"/>
        </w:rPr>
      </w:pPr>
    </w:p>
    <w:p w14:paraId="27236AEE" w14:textId="77777777" w:rsidR="005508E5" w:rsidRPr="00E06313" w:rsidRDefault="005508E5" w:rsidP="002B2C7C">
      <w:pPr>
        <w:numPr>
          <w:ilvl w:val="0"/>
          <w:numId w:val="20"/>
        </w:numPr>
        <w:rPr>
          <w:b/>
          <w:sz w:val="22"/>
          <w:szCs w:val="22"/>
        </w:rPr>
      </w:pPr>
      <w:r w:rsidRPr="00E06313">
        <w:rPr>
          <w:b/>
          <w:sz w:val="22"/>
          <w:szCs w:val="22"/>
        </w:rPr>
        <w:t>Euroopa Liidu õigus</w:t>
      </w:r>
    </w:p>
    <w:p w14:paraId="14CA05DA" w14:textId="77777777" w:rsidR="005508E5" w:rsidRDefault="005508E5" w:rsidP="005508E5">
      <w:pPr>
        <w:spacing w:before="0"/>
        <w:rPr>
          <w:sz w:val="22"/>
          <w:szCs w:val="22"/>
        </w:rPr>
      </w:pPr>
    </w:p>
    <w:p w14:paraId="254F4A6C" w14:textId="77777777" w:rsidR="005508E5" w:rsidRPr="00E318DA" w:rsidRDefault="005508E5" w:rsidP="005508E5">
      <w:pPr>
        <w:spacing w:before="0"/>
        <w:rPr>
          <w:sz w:val="22"/>
          <w:szCs w:val="22"/>
        </w:rPr>
      </w:pPr>
      <w:r>
        <w:rPr>
          <w:sz w:val="22"/>
          <w:szCs w:val="22"/>
        </w:rPr>
        <w:t xml:space="preserve">Nagu eespool juba märgitud, siis </w:t>
      </w:r>
      <w:r w:rsidRPr="00E318DA">
        <w:rPr>
          <w:sz w:val="22"/>
          <w:szCs w:val="22"/>
        </w:rPr>
        <w:t>EL väärtpaberituruõigus reguleerib finantsinstrumentide turgude direktiivist (</w:t>
      </w:r>
      <w:proofErr w:type="spellStart"/>
      <w:r w:rsidRPr="00E318DA">
        <w:rPr>
          <w:sz w:val="22"/>
          <w:szCs w:val="22"/>
        </w:rPr>
        <w:t>MiFID</w:t>
      </w:r>
      <w:r>
        <w:rPr>
          <w:sz w:val="22"/>
          <w:szCs w:val="22"/>
        </w:rPr>
        <w:t>II</w:t>
      </w:r>
      <w:proofErr w:type="spellEnd"/>
      <w:r w:rsidRPr="00E318DA">
        <w:rPr>
          <w:sz w:val="22"/>
          <w:szCs w:val="22"/>
        </w:rPr>
        <w:t xml:space="preserve">) tulenevalt selliseid väärtpabereid, mille olemuslikuks tunnuseks on, et nad peaksid olema kapitaliturul vabalt võõrandatavad. Tüüpiliselt on </w:t>
      </w:r>
      <w:r>
        <w:rPr>
          <w:sz w:val="22"/>
          <w:szCs w:val="22"/>
        </w:rPr>
        <w:t xml:space="preserve">sellisteks </w:t>
      </w:r>
      <w:r w:rsidRPr="00E318DA">
        <w:rPr>
          <w:sz w:val="22"/>
          <w:szCs w:val="22"/>
        </w:rPr>
        <w:t>väärtpaberi</w:t>
      </w:r>
      <w:r>
        <w:rPr>
          <w:sz w:val="22"/>
          <w:szCs w:val="22"/>
        </w:rPr>
        <w:t>teks</w:t>
      </w:r>
      <w:r w:rsidRPr="00E318DA">
        <w:rPr>
          <w:sz w:val="22"/>
          <w:szCs w:val="22"/>
        </w:rPr>
        <w:t xml:space="preserve"> börsil (reguleeritud väärtpaberiturul) kauplemisele</w:t>
      </w:r>
      <w:r>
        <w:rPr>
          <w:sz w:val="22"/>
          <w:szCs w:val="22"/>
        </w:rPr>
        <w:t xml:space="preserve"> võetud aktsiad või võlakirjad.</w:t>
      </w:r>
      <w:r w:rsidRPr="00B426EA">
        <w:rPr>
          <w:rFonts w:eastAsiaTheme="minorEastAsia"/>
          <w:sz w:val="22"/>
          <w:szCs w:val="22"/>
          <w:vertAlign w:val="superscript"/>
        </w:rPr>
        <w:footnoteReference w:id="31"/>
      </w:r>
    </w:p>
    <w:p w14:paraId="6DE6DCFC" w14:textId="77777777" w:rsidR="005508E5" w:rsidRDefault="005508E5" w:rsidP="005508E5">
      <w:pPr>
        <w:spacing w:before="0"/>
        <w:rPr>
          <w:sz w:val="22"/>
          <w:szCs w:val="22"/>
        </w:rPr>
      </w:pPr>
    </w:p>
    <w:p w14:paraId="4CB8A1E3" w14:textId="77777777" w:rsidR="005508E5" w:rsidRPr="00E318DA" w:rsidRDefault="005508E5" w:rsidP="005508E5">
      <w:pPr>
        <w:spacing w:before="0"/>
        <w:rPr>
          <w:sz w:val="22"/>
          <w:szCs w:val="22"/>
        </w:rPr>
      </w:pPr>
      <w:r>
        <w:rPr>
          <w:sz w:val="22"/>
          <w:szCs w:val="22"/>
        </w:rPr>
        <w:t xml:space="preserve">Eraldi </w:t>
      </w:r>
      <w:proofErr w:type="spellStart"/>
      <w:r>
        <w:rPr>
          <w:sz w:val="22"/>
          <w:szCs w:val="22"/>
        </w:rPr>
        <w:t>krüptovarasid</w:t>
      </w:r>
      <w:proofErr w:type="spellEnd"/>
      <w:r>
        <w:rPr>
          <w:sz w:val="22"/>
          <w:szCs w:val="22"/>
        </w:rPr>
        <w:t xml:space="preserve"> EL väärtpaberituru või investorikaitse alane õigus seni reguleerinud ei ole. EL õiguse regulatsioon </w:t>
      </w:r>
      <w:proofErr w:type="spellStart"/>
      <w:r>
        <w:rPr>
          <w:sz w:val="22"/>
          <w:szCs w:val="22"/>
        </w:rPr>
        <w:t>krüptovarade</w:t>
      </w:r>
      <w:proofErr w:type="spellEnd"/>
      <w:r>
        <w:rPr>
          <w:sz w:val="22"/>
          <w:szCs w:val="22"/>
        </w:rPr>
        <w:t xml:space="preserve"> kohta piirdub direktiiviga</w:t>
      </w:r>
      <w:r w:rsidRPr="00B8243F">
        <w:rPr>
          <w:sz w:val="22"/>
          <w:szCs w:val="22"/>
        </w:rPr>
        <w:t xml:space="preserve"> (EL) 2015/849, mis käsitleb finantssüsteemi rahapesu või terrorismi rahastamise eesmärgil kasutamise tõkestamist </w:t>
      </w:r>
      <w:r>
        <w:rPr>
          <w:sz w:val="22"/>
          <w:szCs w:val="22"/>
        </w:rPr>
        <w:t>. See direktiiv sätestab õigusliku raamistiku virtuaalvääringu teenuse pakkujatele suhtes rakendatavatele rahapesu ja terrorismi rahastamise tõkestamise nõuetele, jättes sealjuures reguleerimata teenuse osutamisele seatavad nõuded või ka üldisema finantsjärelevalve raamistiku.</w:t>
      </w:r>
    </w:p>
    <w:p w14:paraId="6227627F" w14:textId="77777777" w:rsidR="005508E5" w:rsidRDefault="005508E5" w:rsidP="005508E5">
      <w:pPr>
        <w:spacing w:before="0"/>
        <w:jc w:val="left"/>
        <w:rPr>
          <w:sz w:val="22"/>
          <w:szCs w:val="22"/>
          <w:lang w:eastAsia="en-US"/>
        </w:rPr>
      </w:pPr>
    </w:p>
    <w:p w14:paraId="1BFA8498" w14:textId="77777777" w:rsidR="005508E5" w:rsidRPr="004F01BF" w:rsidRDefault="005508E5" w:rsidP="005508E5">
      <w:pPr>
        <w:spacing w:before="0"/>
        <w:rPr>
          <w:sz w:val="22"/>
          <w:szCs w:val="22"/>
          <w:lang w:eastAsia="en-GB"/>
        </w:rPr>
      </w:pPr>
      <w:r w:rsidRPr="00763561">
        <w:rPr>
          <w:sz w:val="22"/>
          <w:szCs w:val="22"/>
        </w:rPr>
        <w:t>Euroopa Komisjon avalikusta</w:t>
      </w:r>
      <w:r>
        <w:rPr>
          <w:sz w:val="22"/>
          <w:szCs w:val="22"/>
        </w:rPr>
        <w:t>s aga</w:t>
      </w:r>
      <w:r w:rsidRPr="00763561">
        <w:rPr>
          <w:sz w:val="22"/>
          <w:szCs w:val="22"/>
        </w:rPr>
        <w:t xml:space="preserve"> </w:t>
      </w:r>
      <w:r>
        <w:rPr>
          <w:sz w:val="22"/>
          <w:szCs w:val="22"/>
        </w:rPr>
        <w:t xml:space="preserve">2020. a. septembris </w:t>
      </w:r>
      <w:r w:rsidRPr="00763561">
        <w:rPr>
          <w:sz w:val="22"/>
          <w:szCs w:val="22"/>
        </w:rPr>
        <w:t>digitaalse rahanduse paketi</w:t>
      </w:r>
      <w:r w:rsidRPr="00B426EA">
        <w:rPr>
          <w:rFonts w:eastAsiaTheme="minorEastAsia"/>
          <w:sz w:val="22"/>
          <w:szCs w:val="22"/>
          <w:vertAlign w:val="superscript"/>
        </w:rPr>
        <w:footnoteReference w:id="32"/>
      </w:r>
      <w:r w:rsidRPr="00763561">
        <w:rPr>
          <w:sz w:val="22"/>
          <w:szCs w:val="22"/>
        </w:rPr>
        <w:t xml:space="preserve">, mille üks osa on </w:t>
      </w:r>
      <w:proofErr w:type="spellStart"/>
      <w:r w:rsidRPr="00763561">
        <w:rPr>
          <w:sz w:val="22"/>
          <w:szCs w:val="22"/>
        </w:rPr>
        <w:t>krüpto</w:t>
      </w:r>
      <w:r>
        <w:rPr>
          <w:sz w:val="22"/>
          <w:szCs w:val="22"/>
        </w:rPr>
        <w:t>varaturge</w:t>
      </w:r>
      <w:proofErr w:type="spellEnd"/>
      <w:r>
        <w:rPr>
          <w:sz w:val="22"/>
          <w:szCs w:val="22"/>
        </w:rPr>
        <w:t xml:space="preserve"> käsitlev määrus (ingl </w:t>
      </w:r>
      <w:proofErr w:type="spellStart"/>
      <w:r w:rsidRPr="00763561">
        <w:rPr>
          <w:i/>
          <w:sz w:val="22"/>
          <w:szCs w:val="22"/>
        </w:rPr>
        <w:t>Markets</w:t>
      </w:r>
      <w:proofErr w:type="spellEnd"/>
      <w:r w:rsidRPr="00763561">
        <w:rPr>
          <w:i/>
          <w:sz w:val="22"/>
          <w:szCs w:val="22"/>
        </w:rPr>
        <w:t xml:space="preserve"> in </w:t>
      </w:r>
      <w:proofErr w:type="spellStart"/>
      <w:r w:rsidRPr="00763561">
        <w:rPr>
          <w:i/>
          <w:sz w:val="22"/>
          <w:szCs w:val="22"/>
        </w:rPr>
        <w:t>Crypto</w:t>
      </w:r>
      <w:proofErr w:type="spellEnd"/>
      <w:r w:rsidRPr="00763561">
        <w:rPr>
          <w:i/>
          <w:sz w:val="22"/>
          <w:szCs w:val="22"/>
        </w:rPr>
        <w:t xml:space="preserve"> Assets </w:t>
      </w:r>
      <w:r w:rsidRPr="00763561">
        <w:rPr>
          <w:sz w:val="22"/>
          <w:szCs w:val="22"/>
        </w:rPr>
        <w:t xml:space="preserve">ehk </w:t>
      </w:r>
      <w:proofErr w:type="spellStart"/>
      <w:r w:rsidRPr="00763561">
        <w:rPr>
          <w:b/>
          <w:sz w:val="22"/>
          <w:szCs w:val="22"/>
        </w:rPr>
        <w:t>MiCA</w:t>
      </w:r>
      <w:proofErr w:type="spellEnd"/>
      <w:r w:rsidRPr="00763561">
        <w:rPr>
          <w:sz w:val="22"/>
          <w:szCs w:val="22"/>
        </w:rPr>
        <w:t xml:space="preserve">). </w:t>
      </w:r>
      <w:proofErr w:type="spellStart"/>
      <w:r w:rsidRPr="007C78D8">
        <w:rPr>
          <w:sz w:val="22"/>
          <w:szCs w:val="22"/>
        </w:rPr>
        <w:t>MiCA</w:t>
      </w:r>
      <w:proofErr w:type="spellEnd"/>
      <w:r w:rsidRPr="007C78D8">
        <w:rPr>
          <w:sz w:val="22"/>
          <w:szCs w:val="22"/>
        </w:rPr>
        <w:t xml:space="preserve"> </w:t>
      </w:r>
      <w:r w:rsidRPr="00763561">
        <w:rPr>
          <w:sz w:val="22"/>
          <w:szCs w:val="22"/>
        </w:rPr>
        <w:t xml:space="preserve">peamiseks eesmärgiks on kehtestada ühtne reeglistik </w:t>
      </w:r>
      <w:proofErr w:type="spellStart"/>
      <w:r w:rsidRPr="00763561">
        <w:rPr>
          <w:sz w:val="22"/>
          <w:szCs w:val="22"/>
        </w:rPr>
        <w:t>krüptovarade</w:t>
      </w:r>
      <w:proofErr w:type="spellEnd"/>
      <w:r w:rsidRPr="00763561">
        <w:rPr>
          <w:sz w:val="22"/>
          <w:szCs w:val="22"/>
        </w:rPr>
        <w:t xml:space="preserve"> reguleerimiseks EL määruse näol. Määruse kohaldumisalasse kuuluksid kõik </w:t>
      </w:r>
      <w:proofErr w:type="spellStart"/>
      <w:r w:rsidRPr="00763561">
        <w:rPr>
          <w:sz w:val="22"/>
          <w:szCs w:val="22"/>
        </w:rPr>
        <w:t>krüptovarad</w:t>
      </w:r>
      <w:proofErr w:type="spellEnd"/>
      <w:r w:rsidRPr="00763561">
        <w:rPr>
          <w:sz w:val="22"/>
          <w:szCs w:val="22"/>
        </w:rPr>
        <w:t xml:space="preserve"> (mis ei ole finantsinstrumendid või investeerimishoiused, e-raha, hoius </w:t>
      </w:r>
      <w:r>
        <w:rPr>
          <w:sz w:val="22"/>
          <w:szCs w:val="22"/>
        </w:rPr>
        <w:t xml:space="preserve">Euroopa Parlamendi ja Nõukogu </w:t>
      </w:r>
      <w:r w:rsidRPr="00763561">
        <w:rPr>
          <w:sz w:val="22"/>
          <w:szCs w:val="22"/>
        </w:rPr>
        <w:t xml:space="preserve">hoiuste tagamise skeemide </w:t>
      </w:r>
      <w:r>
        <w:rPr>
          <w:sz w:val="22"/>
          <w:szCs w:val="22"/>
        </w:rPr>
        <w:t xml:space="preserve">direktiivi 2014/49/EL </w:t>
      </w:r>
      <w:r w:rsidRPr="00763561">
        <w:rPr>
          <w:sz w:val="22"/>
          <w:szCs w:val="22"/>
        </w:rPr>
        <w:t xml:space="preserve">tähenduses või </w:t>
      </w:r>
      <w:proofErr w:type="spellStart"/>
      <w:r w:rsidRPr="00763561">
        <w:rPr>
          <w:sz w:val="22"/>
          <w:szCs w:val="22"/>
        </w:rPr>
        <w:t>väärtpaberistamine</w:t>
      </w:r>
      <w:proofErr w:type="spellEnd"/>
      <w:r w:rsidRPr="00763561">
        <w:rPr>
          <w:sz w:val="22"/>
          <w:szCs w:val="22"/>
        </w:rPr>
        <w:t xml:space="preserve">), ja varaga tagatud </w:t>
      </w:r>
      <w:proofErr w:type="spellStart"/>
      <w:r w:rsidRPr="00763561">
        <w:rPr>
          <w:sz w:val="22"/>
          <w:szCs w:val="22"/>
        </w:rPr>
        <w:t>krüptovara</w:t>
      </w:r>
      <w:proofErr w:type="spellEnd"/>
      <w:r w:rsidRPr="00763561">
        <w:rPr>
          <w:sz w:val="22"/>
          <w:szCs w:val="22"/>
        </w:rPr>
        <w:t xml:space="preserve"> (laiemalt tuntud kui nn </w:t>
      </w:r>
      <w:proofErr w:type="spellStart"/>
      <w:r w:rsidRPr="00763561">
        <w:rPr>
          <w:i/>
          <w:iCs/>
          <w:sz w:val="22"/>
          <w:szCs w:val="22"/>
        </w:rPr>
        <w:t>stablecoin</w:t>
      </w:r>
      <w:proofErr w:type="spellEnd"/>
      <w:r w:rsidRPr="00763561">
        <w:rPr>
          <w:sz w:val="22"/>
          <w:szCs w:val="22"/>
        </w:rPr>
        <w:t xml:space="preserve">) ning nimetatud </w:t>
      </w:r>
      <w:proofErr w:type="spellStart"/>
      <w:r w:rsidRPr="00763561">
        <w:rPr>
          <w:sz w:val="22"/>
          <w:szCs w:val="22"/>
        </w:rPr>
        <w:t>krüptovarade</w:t>
      </w:r>
      <w:proofErr w:type="spellEnd"/>
      <w:r w:rsidRPr="00763561">
        <w:rPr>
          <w:sz w:val="22"/>
          <w:szCs w:val="22"/>
        </w:rPr>
        <w:t xml:space="preserve"> emiteerimise ja käitlemisega seotud teenuseosutajad. </w:t>
      </w:r>
      <w:proofErr w:type="spellStart"/>
      <w:r w:rsidRPr="00763561">
        <w:rPr>
          <w:sz w:val="22"/>
          <w:szCs w:val="22"/>
        </w:rPr>
        <w:t>Krüptovara</w:t>
      </w:r>
      <w:proofErr w:type="spellEnd"/>
      <w:r w:rsidRPr="00763561">
        <w:rPr>
          <w:sz w:val="22"/>
          <w:szCs w:val="22"/>
        </w:rPr>
        <w:t xml:space="preserve"> emitentidele </w:t>
      </w:r>
      <w:r>
        <w:rPr>
          <w:sz w:val="22"/>
          <w:szCs w:val="22"/>
        </w:rPr>
        <w:t>kaasneb kohustus koostada</w:t>
      </w:r>
      <w:r w:rsidRPr="00763561">
        <w:rPr>
          <w:sz w:val="22"/>
          <w:szCs w:val="22"/>
        </w:rPr>
        <w:t xml:space="preserve"> põhiteabedokumen</w:t>
      </w:r>
      <w:r>
        <w:rPr>
          <w:sz w:val="22"/>
          <w:szCs w:val="22"/>
        </w:rPr>
        <w:t>t</w:t>
      </w:r>
      <w:r w:rsidRPr="00763561">
        <w:rPr>
          <w:sz w:val="22"/>
          <w:szCs w:val="22"/>
        </w:rPr>
        <w:t xml:space="preserve">. Kõige rangemalt on reguleeritud e-raha </w:t>
      </w:r>
      <w:proofErr w:type="spellStart"/>
      <w:r w:rsidRPr="00763561">
        <w:rPr>
          <w:sz w:val="22"/>
          <w:szCs w:val="22"/>
        </w:rPr>
        <w:t>tokenid</w:t>
      </w:r>
      <w:proofErr w:type="spellEnd"/>
      <w:r w:rsidRPr="00763561">
        <w:rPr>
          <w:sz w:val="22"/>
          <w:szCs w:val="22"/>
        </w:rPr>
        <w:t xml:space="preserve"> ja varapõhised </w:t>
      </w:r>
      <w:proofErr w:type="spellStart"/>
      <w:r w:rsidRPr="00763561">
        <w:rPr>
          <w:sz w:val="22"/>
          <w:szCs w:val="22"/>
        </w:rPr>
        <w:t>tokenid</w:t>
      </w:r>
      <w:proofErr w:type="spellEnd"/>
      <w:r w:rsidRPr="00763561">
        <w:rPr>
          <w:sz w:val="22"/>
          <w:szCs w:val="22"/>
        </w:rPr>
        <w:t>, mille puhul peab emitent taotlema tegevusloa ning saama oma instrumendi põhiteabedokumendi sisule eelneva heakskiidu finantsjärelevalveasutuselt.</w:t>
      </w:r>
      <w:r>
        <w:rPr>
          <w:sz w:val="22"/>
          <w:szCs w:val="22"/>
        </w:rPr>
        <w:t xml:space="preserve">. Liikmesriigid jõudsid </w:t>
      </w:r>
      <w:proofErr w:type="spellStart"/>
      <w:r>
        <w:rPr>
          <w:sz w:val="22"/>
          <w:szCs w:val="22"/>
        </w:rPr>
        <w:t>MiCA</w:t>
      </w:r>
      <w:proofErr w:type="spellEnd"/>
      <w:r>
        <w:rPr>
          <w:sz w:val="22"/>
          <w:szCs w:val="22"/>
        </w:rPr>
        <w:t xml:space="preserve"> teksti osas kokkuleppele 2022. a. 30. juunil. Tõenäoliselt avaldatakse vastav tekst ametlikult 2022. a. lõpus või 2023. a. alguses ja see rakendub 2024. a. lõpus või 2025. a. alguses. </w:t>
      </w:r>
    </w:p>
    <w:p w14:paraId="74BD889E" w14:textId="77777777" w:rsidR="005508E5" w:rsidRDefault="005508E5" w:rsidP="005508E5">
      <w:pPr>
        <w:spacing w:before="0"/>
        <w:rPr>
          <w:rFonts w:eastAsiaTheme="majorEastAsia"/>
          <w:bCs/>
          <w:iCs/>
          <w:sz w:val="22"/>
          <w:szCs w:val="22"/>
          <w:lang w:eastAsia="en-US"/>
        </w:rPr>
      </w:pPr>
    </w:p>
    <w:p w14:paraId="262F0797" w14:textId="77777777" w:rsidR="005508E5" w:rsidRDefault="005508E5" w:rsidP="005508E5">
      <w:pPr>
        <w:pStyle w:val="Heading3"/>
        <w:numPr>
          <w:ilvl w:val="1"/>
          <w:numId w:val="9"/>
        </w:numPr>
        <w:spacing w:before="0"/>
        <w:ind w:hanging="765"/>
        <w:rPr>
          <w:sz w:val="22"/>
          <w:szCs w:val="22"/>
          <w:lang w:val="et-EE"/>
        </w:rPr>
      </w:pPr>
      <w:r w:rsidRPr="005A55CA">
        <w:rPr>
          <w:sz w:val="22"/>
          <w:szCs w:val="22"/>
          <w:lang w:val="et-EE"/>
        </w:rPr>
        <w:lastRenderedPageBreak/>
        <w:t>Turuülevaade</w:t>
      </w:r>
    </w:p>
    <w:p w14:paraId="2635DB3C" w14:textId="77777777" w:rsidR="005508E5" w:rsidRPr="00D726BC" w:rsidRDefault="005508E5" w:rsidP="005508E5">
      <w:pPr>
        <w:numPr>
          <w:ilvl w:val="2"/>
          <w:numId w:val="9"/>
        </w:numPr>
        <w:ind w:hanging="810"/>
        <w:rPr>
          <w:sz w:val="22"/>
          <w:szCs w:val="22"/>
        </w:rPr>
      </w:pPr>
      <w:r w:rsidRPr="00D726BC">
        <w:rPr>
          <w:b/>
          <w:sz w:val="22"/>
          <w:szCs w:val="22"/>
        </w:rPr>
        <w:t>Eesti finantsturg</w:t>
      </w:r>
    </w:p>
    <w:p w14:paraId="7B2861D6" w14:textId="77777777" w:rsidR="005508E5" w:rsidRDefault="005508E5" w:rsidP="005508E5">
      <w:pPr>
        <w:spacing w:before="0"/>
        <w:rPr>
          <w:sz w:val="22"/>
          <w:szCs w:val="22"/>
        </w:rPr>
      </w:pPr>
    </w:p>
    <w:p w14:paraId="573E552A" w14:textId="77777777" w:rsidR="005508E5" w:rsidRDefault="005508E5" w:rsidP="005508E5">
      <w:pPr>
        <w:spacing w:before="0"/>
        <w:rPr>
          <w:sz w:val="22"/>
          <w:szCs w:val="22"/>
        </w:rPr>
      </w:pPr>
      <w:r w:rsidRPr="00056BBC">
        <w:rPr>
          <w:sz w:val="22"/>
          <w:szCs w:val="22"/>
        </w:rPr>
        <w:t>Eesti kapitaliturg on pangandus</w:t>
      </w:r>
      <w:r>
        <w:rPr>
          <w:sz w:val="22"/>
          <w:szCs w:val="22"/>
        </w:rPr>
        <w:t>keskne, s</w:t>
      </w:r>
      <w:r w:rsidRPr="00056BBC">
        <w:rPr>
          <w:sz w:val="22"/>
          <w:szCs w:val="22"/>
        </w:rPr>
        <w:t xml:space="preserve">t alternatiivsed kapitali kaasamise mahud on pangalaenudega võrreldes üsna väikesed. Järgmisel joonisel on näha, kuidas suhestuvad erinevad finantssektori valdkonnad </w:t>
      </w:r>
      <w:proofErr w:type="spellStart"/>
      <w:r w:rsidRPr="00056BBC">
        <w:rPr>
          <w:sz w:val="22"/>
          <w:szCs w:val="22"/>
        </w:rPr>
        <w:t>SKP-ga</w:t>
      </w:r>
      <w:proofErr w:type="spellEnd"/>
      <w:r w:rsidRPr="00056BBC">
        <w:rPr>
          <w:sz w:val="22"/>
          <w:szCs w:val="22"/>
        </w:rPr>
        <w:t>. Kuigi pärast 2008. aasta majanduslangust on pankade osatähtsus mõnevõrra vähenenud, moodustavad pankade varad endiselt ligikaudu kaks kolmandikku finantssektori varadest.</w:t>
      </w:r>
    </w:p>
    <w:p w14:paraId="0D560101" w14:textId="77777777" w:rsidR="005508E5" w:rsidRPr="00E318DA" w:rsidRDefault="005508E5" w:rsidP="005508E5">
      <w:pPr>
        <w:spacing w:before="0"/>
        <w:rPr>
          <w:b/>
          <w:sz w:val="22"/>
          <w:szCs w:val="22"/>
        </w:rPr>
      </w:pPr>
    </w:p>
    <w:p w14:paraId="3771478D" w14:textId="77777777" w:rsidR="005508E5" w:rsidRPr="00AE18E6" w:rsidRDefault="005508E5" w:rsidP="005508E5">
      <w:pPr>
        <w:spacing w:before="0"/>
        <w:rPr>
          <w:sz w:val="20"/>
          <w:szCs w:val="20"/>
        </w:rPr>
      </w:pPr>
      <w:r w:rsidRPr="00AE18E6">
        <w:rPr>
          <w:b/>
          <w:sz w:val="20"/>
          <w:szCs w:val="20"/>
        </w:rPr>
        <w:t>Joonis 4.</w:t>
      </w:r>
      <w:r w:rsidRPr="00AE18E6">
        <w:rPr>
          <w:sz w:val="20"/>
          <w:szCs w:val="20"/>
        </w:rPr>
        <w:t xml:space="preserve"> </w:t>
      </w:r>
      <w:r w:rsidRPr="00AE18E6">
        <w:rPr>
          <w:b/>
          <w:sz w:val="20"/>
          <w:szCs w:val="20"/>
        </w:rPr>
        <w:t>Eesti finantssektori varade ja SKP suhtarv 2015. ja 2020. a lõpus</w:t>
      </w:r>
      <w:r w:rsidRPr="00AE18E6">
        <w:rPr>
          <w:rFonts w:eastAsiaTheme="minorEastAsia"/>
          <w:sz w:val="20"/>
          <w:szCs w:val="20"/>
        </w:rPr>
        <w:footnoteReference w:id="33"/>
      </w:r>
    </w:p>
    <w:p w14:paraId="0FD2AAF1" w14:textId="77777777" w:rsidR="005508E5" w:rsidRPr="000034E0" w:rsidRDefault="005508E5" w:rsidP="005508E5">
      <w:pPr>
        <w:spacing w:before="0"/>
        <w:rPr>
          <w:b/>
        </w:rPr>
      </w:pPr>
      <w:r w:rsidRPr="00A003DF">
        <w:rPr>
          <w:noProof/>
        </w:rPr>
        <w:drawing>
          <wp:inline distT="0" distB="0" distL="0" distR="0" wp14:anchorId="14AE27E2" wp14:editId="783CC62A">
            <wp:extent cx="6030462" cy="2647784"/>
            <wp:effectExtent l="0" t="0" r="8890" b="635"/>
            <wp:docPr id="24" name="Pilt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 6" descr="Graphical user interface&#10;&#10;Description automatically generated with low confidence"/>
                    <pic:cNvPicPr/>
                  </pic:nvPicPr>
                  <pic:blipFill>
                    <a:blip r:embed="rId16"/>
                    <a:stretch>
                      <a:fillRect/>
                    </a:stretch>
                  </pic:blipFill>
                  <pic:spPr>
                    <a:xfrm>
                      <a:off x="0" y="0"/>
                      <a:ext cx="6081734" cy="2670296"/>
                    </a:xfrm>
                    <a:prstGeom prst="rect">
                      <a:avLst/>
                    </a:prstGeom>
                  </pic:spPr>
                </pic:pic>
              </a:graphicData>
            </a:graphic>
          </wp:inline>
        </w:drawing>
      </w:r>
    </w:p>
    <w:p w14:paraId="1FF4944D" w14:textId="77777777" w:rsidR="005508E5" w:rsidRDefault="005508E5" w:rsidP="005508E5">
      <w:pPr>
        <w:spacing w:before="0"/>
        <w:rPr>
          <w:sz w:val="22"/>
          <w:szCs w:val="22"/>
        </w:rPr>
      </w:pPr>
    </w:p>
    <w:p w14:paraId="04EA2305" w14:textId="77777777" w:rsidR="005508E5" w:rsidRDefault="005508E5" w:rsidP="005508E5">
      <w:pPr>
        <w:spacing w:before="0"/>
        <w:rPr>
          <w:sz w:val="22"/>
          <w:szCs w:val="22"/>
        </w:rPr>
      </w:pPr>
    </w:p>
    <w:p w14:paraId="254E3083" w14:textId="77777777" w:rsidR="005508E5" w:rsidRDefault="005508E5" w:rsidP="005508E5">
      <w:pPr>
        <w:spacing w:before="0"/>
        <w:rPr>
          <w:sz w:val="22"/>
          <w:szCs w:val="22"/>
        </w:rPr>
      </w:pPr>
      <w:r>
        <w:rPr>
          <w:sz w:val="22"/>
          <w:szCs w:val="22"/>
        </w:rPr>
        <w:t xml:space="preserve">Vastavalt Eesti Panga ülevaatele on </w:t>
      </w:r>
      <w:r w:rsidRPr="00C4018C">
        <w:rPr>
          <w:sz w:val="22"/>
          <w:szCs w:val="22"/>
        </w:rPr>
        <w:t xml:space="preserve">Eesti finantssektor rahvusvahelises võrdluses üpris väike. Kui Eesti finantssektori finantsvarad moodustasid konsolideerimata kujul 2019. aasta lõpus ehk enne koroonakriisi ligikaudu 230% </w:t>
      </w:r>
      <w:proofErr w:type="spellStart"/>
      <w:r w:rsidRPr="00C4018C">
        <w:rPr>
          <w:sz w:val="22"/>
          <w:szCs w:val="22"/>
        </w:rPr>
        <w:t>SKPst</w:t>
      </w:r>
      <w:proofErr w:type="spellEnd"/>
      <w:r w:rsidRPr="00C4018C">
        <w:rPr>
          <w:sz w:val="22"/>
          <w:szCs w:val="22"/>
        </w:rPr>
        <w:t>, siis Euroopa Liidu mediaan oli ligikaudu 1,5 korda suurem. Ka majanduses loodavast lisandväärtusest moodustab finantssektori oma Eestis väiksema osa (4,5%) kui Euroopa Liidus keskmiselt (5%). Ent erinevalt ülejäänud Euroopa Liidust on Eesti finantssektor ja mõlemad suhtarvud viimastel aastatel jõudsalt kasvanud.</w:t>
      </w:r>
    </w:p>
    <w:p w14:paraId="43A7E62F" w14:textId="77777777" w:rsidR="005508E5" w:rsidRDefault="005508E5" w:rsidP="005508E5">
      <w:pPr>
        <w:spacing w:before="0"/>
        <w:rPr>
          <w:sz w:val="22"/>
          <w:szCs w:val="22"/>
        </w:rPr>
      </w:pPr>
    </w:p>
    <w:p w14:paraId="1B3675B0" w14:textId="48A0FB5B" w:rsidR="005508E5" w:rsidRDefault="005508E5" w:rsidP="005508E5">
      <w:pPr>
        <w:spacing w:before="0"/>
        <w:rPr>
          <w:sz w:val="22"/>
          <w:szCs w:val="22"/>
        </w:rPr>
      </w:pPr>
      <w:r w:rsidRPr="00C4018C">
        <w:rPr>
          <w:sz w:val="22"/>
          <w:szCs w:val="22"/>
        </w:rPr>
        <w:t>Kapitalitur</w:t>
      </w:r>
      <w:r>
        <w:rPr>
          <w:sz w:val="22"/>
          <w:szCs w:val="22"/>
        </w:rPr>
        <w:t xml:space="preserve">gude </w:t>
      </w:r>
      <w:r w:rsidRPr="00C4018C">
        <w:rPr>
          <w:sz w:val="22"/>
          <w:szCs w:val="22"/>
        </w:rPr>
        <w:t xml:space="preserve">osakaal </w:t>
      </w:r>
      <w:r>
        <w:rPr>
          <w:sz w:val="22"/>
          <w:szCs w:val="22"/>
        </w:rPr>
        <w:t xml:space="preserve">on </w:t>
      </w:r>
      <w:r w:rsidRPr="00C4018C">
        <w:rPr>
          <w:sz w:val="22"/>
          <w:szCs w:val="22"/>
        </w:rPr>
        <w:t xml:space="preserve">finantssektoris </w:t>
      </w:r>
      <w:r>
        <w:rPr>
          <w:sz w:val="22"/>
          <w:szCs w:val="22"/>
        </w:rPr>
        <w:t xml:space="preserve">ca </w:t>
      </w:r>
      <w:r w:rsidRPr="00C4018C">
        <w:rPr>
          <w:sz w:val="22"/>
          <w:szCs w:val="22"/>
        </w:rPr>
        <w:t xml:space="preserve">8%. Teiste Euroopa Liidu riikidega võrreldes on </w:t>
      </w:r>
      <w:r>
        <w:rPr>
          <w:sz w:val="22"/>
          <w:szCs w:val="22"/>
        </w:rPr>
        <w:t>see number üsna väike</w:t>
      </w:r>
      <w:r w:rsidRPr="00C4018C">
        <w:rPr>
          <w:sz w:val="22"/>
          <w:szCs w:val="22"/>
        </w:rPr>
        <w:t xml:space="preserve">. </w:t>
      </w:r>
      <w:r>
        <w:rPr>
          <w:sz w:val="22"/>
          <w:szCs w:val="22"/>
        </w:rPr>
        <w:t xml:space="preserve">Samas teatud </w:t>
      </w:r>
      <w:r w:rsidRPr="00C4018C">
        <w:rPr>
          <w:sz w:val="22"/>
          <w:szCs w:val="22"/>
        </w:rPr>
        <w:t>finantsvahenduse</w:t>
      </w:r>
      <w:r>
        <w:rPr>
          <w:sz w:val="22"/>
          <w:szCs w:val="22"/>
        </w:rPr>
        <w:t xml:space="preserve"> sektorid</w:t>
      </w:r>
      <w:r w:rsidRPr="00C4018C">
        <w:rPr>
          <w:sz w:val="22"/>
          <w:szCs w:val="22"/>
        </w:rPr>
        <w:t xml:space="preserve"> on viimasel viiel aastal kiiresti kasvanud. </w:t>
      </w:r>
    </w:p>
    <w:p w14:paraId="62D7B569" w14:textId="77777777" w:rsidR="000F3E69" w:rsidRDefault="000F3E69" w:rsidP="005508E5">
      <w:pPr>
        <w:spacing w:before="0"/>
        <w:rPr>
          <w:sz w:val="22"/>
          <w:szCs w:val="22"/>
        </w:rPr>
      </w:pPr>
    </w:p>
    <w:p w14:paraId="252ED68F" w14:textId="1E9BDA94" w:rsidR="005508E5" w:rsidRPr="00B426EA" w:rsidRDefault="005508E5" w:rsidP="005508E5">
      <w:pPr>
        <w:spacing w:before="0"/>
        <w:rPr>
          <w:bCs/>
          <w:sz w:val="20"/>
          <w:szCs w:val="20"/>
        </w:rPr>
      </w:pPr>
      <w:r w:rsidRPr="000F3E69">
        <w:rPr>
          <w:b/>
          <w:sz w:val="20"/>
          <w:szCs w:val="20"/>
        </w:rPr>
        <w:t>Joonis 5.</w:t>
      </w:r>
      <w:r w:rsidRPr="000F3E69">
        <w:rPr>
          <w:bCs/>
          <w:sz w:val="20"/>
          <w:szCs w:val="20"/>
        </w:rPr>
        <w:t xml:space="preserve"> </w:t>
      </w:r>
      <w:r w:rsidRPr="00B426EA">
        <w:rPr>
          <w:bCs/>
          <w:sz w:val="20"/>
          <w:szCs w:val="20"/>
        </w:rPr>
        <w:t>Pangandusvälise finantsvahenduse poolt Eesti reaalsektori ettevõtetele</w:t>
      </w:r>
      <w:r w:rsidR="000F3E69" w:rsidRPr="00B426EA">
        <w:rPr>
          <w:bCs/>
          <w:sz w:val="20"/>
          <w:szCs w:val="20"/>
        </w:rPr>
        <w:t xml:space="preserve"> </w:t>
      </w:r>
      <w:r w:rsidRPr="00B426EA">
        <w:rPr>
          <w:bCs/>
          <w:sz w:val="20"/>
          <w:szCs w:val="20"/>
        </w:rPr>
        <w:t>ja majapidamistele vahendatud rahastuse jääk. Allikas: Eesti Pank</w:t>
      </w:r>
    </w:p>
    <w:p w14:paraId="2B6123A3" w14:textId="77777777" w:rsidR="000F3E69" w:rsidRPr="000E1C84" w:rsidRDefault="000F3E69" w:rsidP="005508E5">
      <w:pPr>
        <w:spacing w:before="0"/>
        <w:rPr>
          <w:sz w:val="20"/>
          <w:szCs w:val="20"/>
        </w:rPr>
      </w:pPr>
    </w:p>
    <w:p w14:paraId="10E9E1AD" w14:textId="77777777" w:rsidR="005508E5" w:rsidRDefault="005508E5" w:rsidP="005508E5">
      <w:pPr>
        <w:spacing w:before="0"/>
        <w:rPr>
          <w:sz w:val="22"/>
          <w:szCs w:val="22"/>
        </w:rPr>
      </w:pPr>
      <w:r w:rsidRPr="007E49A5">
        <w:rPr>
          <w:noProof/>
        </w:rPr>
        <w:lastRenderedPageBreak/>
        <w:drawing>
          <wp:inline distT="0" distB="0" distL="0" distR="0" wp14:anchorId="4E8B3AE2" wp14:editId="4E5ED33B">
            <wp:extent cx="5972175" cy="2379980"/>
            <wp:effectExtent l="0" t="0" r="9525" b="1270"/>
            <wp:docPr id="25" name="Picture 2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7"/>
                    <a:stretch>
                      <a:fillRect/>
                    </a:stretch>
                  </pic:blipFill>
                  <pic:spPr>
                    <a:xfrm>
                      <a:off x="0" y="0"/>
                      <a:ext cx="5972175" cy="2379980"/>
                    </a:xfrm>
                    <a:prstGeom prst="rect">
                      <a:avLst/>
                    </a:prstGeom>
                  </pic:spPr>
                </pic:pic>
              </a:graphicData>
            </a:graphic>
          </wp:inline>
        </w:drawing>
      </w:r>
    </w:p>
    <w:p w14:paraId="77836663" w14:textId="77777777" w:rsidR="005508E5" w:rsidRDefault="005508E5" w:rsidP="005508E5">
      <w:pPr>
        <w:spacing w:before="0"/>
        <w:rPr>
          <w:b/>
          <w:bCs/>
          <w:sz w:val="22"/>
          <w:szCs w:val="22"/>
        </w:rPr>
      </w:pPr>
    </w:p>
    <w:p w14:paraId="06FBDB2E" w14:textId="77777777" w:rsidR="005508E5" w:rsidRDefault="005508E5" w:rsidP="005508E5">
      <w:pPr>
        <w:spacing w:before="0"/>
        <w:rPr>
          <w:sz w:val="22"/>
          <w:szCs w:val="22"/>
        </w:rPr>
      </w:pPr>
      <w:r>
        <w:rPr>
          <w:sz w:val="22"/>
          <w:szCs w:val="22"/>
        </w:rPr>
        <w:t>Eesti Panga 2022. a. alguses avaldatud majanduse rahastamise ülevaate</w:t>
      </w:r>
      <w:r w:rsidRPr="00B12BBF">
        <w:rPr>
          <w:rFonts w:eastAsiaTheme="minorEastAsia"/>
          <w:sz w:val="22"/>
          <w:szCs w:val="22"/>
          <w:vertAlign w:val="superscript"/>
        </w:rPr>
        <w:footnoteReference w:id="34"/>
      </w:r>
      <w:r>
        <w:rPr>
          <w:sz w:val="22"/>
          <w:szCs w:val="22"/>
        </w:rPr>
        <w:t xml:space="preserve"> kohaselt on p</w:t>
      </w:r>
      <w:r w:rsidRPr="00BD0681">
        <w:rPr>
          <w:sz w:val="22"/>
          <w:szCs w:val="22"/>
        </w:rPr>
        <w:t>angandusvälise finantsvahenduse (era-, riski</w:t>
      </w:r>
      <w:r>
        <w:rPr>
          <w:sz w:val="22"/>
          <w:szCs w:val="22"/>
        </w:rPr>
        <w:t xml:space="preserve">- </w:t>
      </w:r>
      <w:r w:rsidRPr="00BD0681">
        <w:rPr>
          <w:sz w:val="22"/>
          <w:szCs w:val="22"/>
        </w:rPr>
        <w:t xml:space="preserve">ja investeerimisfondid, </w:t>
      </w:r>
      <w:proofErr w:type="spellStart"/>
      <w:r w:rsidRPr="004D427A">
        <w:rPr>
          <w:b/>
          <w:bCs/>
          <w:sz w:val="22"/>
          <w:szCs w:val="22"/>
        </w:rPr>
        <w:t>ühisrahastus</w:t>
      </w:r>
      <w:proofErr w:type="spellEnd"/>
      <w:r w:rsidRPr="00BD0681">
        <w:rPr>
          <w:sz w:val="22"/>
          <w:szCs w:val="22"/>
        </w:rPr>
        <w:t>, hoiu</w:t>
      </w:r>
      <w:r>
        <w:rPr>
          <w:sz w:val="22"/>
          <w:szCs w:val="22"/>
        </w:rPr>
        <w:t>-</w:t>
      </w:r>
      <w:r w:rsidRPr="00BD0681">
        <w:rPr>
          <w:sz w:val="22"/>
          <w:szCs w:val="22"/>
        </w:rPr>
        <w:t>laenuühistud, pensionifondid, börs jms) kiire kasv laiendanud rahastamisvõimalusi</w:t>
      </w:r>
      <w:r>
        <w:rPr>
          <w:sz w:val="22"/>
          <w:szCs w:val="22"/>
        </w:rPr>
        <w:t xml:space="preserve"> (vt eeltoodud joonist)</w:t>
      </w:r>
      <w:r w:rsidRPr="00BD0681">
        <w:rPr>
          <w:sz w:val="22"/>
          <w:szCs w:val="22"/>
        </w:rPr>
        <w:t>. Väga väikestele ja alustavatele ettevõtetele pole pangalaen tihti sobiv või kättesaadav rahastamisviis, sest puudub krediidiajalugu, piisav tagatis või omakapital. Pangandusväline finantsvahendus</w:t>
      </w:r>
      <w:r>
        <w:rPr>
          <w:sz w:val="22"/>
          <w:szCs w:val="22"/>
        </w:rPr>
        <w:t xml:space="preserve">, sh </w:t>
      </w:r>
      <w:proofErr w:type="spellStart"/>
      <w:r>
        <w:rPr>
          <w:sz w:val="22"/>
          <w:szCs w:val="22"/>
        </w:rPr>
        <w:t>ühisrahastus</w:t>
      </w:r>
      <w:proofErr w:type="spellEnd"/>
      <w:r>
        <w:rPr>
          <w:sz w:val="22"/>
          <w:szCs w:val="22"/>
        </w:rPr>
        <w:t>,</w:t>
      </w:r>
      <w:r w:rsidRPr="00BD0681">
        <w:rPr>
          <w:sz w:val="22"/>
          <w:szCs w:val="22"/>
        </w:rPr>
        <w:t xml:space="preserve"> aitab järjest enam seda lünka täita. Kuigi pangandusväline finantsvahendus on Eestis endiselt tagasihoidlik, rahastas </w:t>
      </w:r>
      <w:r>
        <w:rPr>
          <w:sz w:val="22"/>
          <w:szCs w:val="22"/>
        </w:rPr>
        <w:t xml:space="preserve">Eesti Panga hinnangul </w:t>
      </w:r>
      <w:r w:rsidRPr="00BD0681">
        <w:rPr>
          <w:sz w:val="22"/>
          <w:szCs w:val="22"/>
        </w:rPr>
        <w:t>2021. aastal end pangandusvälise finantsvahenduse kaudu rekordarv ettevõtteid</w:t>
      </w:r>
      <w:r>
        <w:rPr>
          <w:sz w:val="22"/>
          <w:szCs w:val="22"/>
        </w:rPr>
        <w:t xml:space="preserve">. </w:t>
      </w:r>
    </w:p>
    <w:p w14:paraId="071426E4" w14:textId="77777777" w:rsidR="005508E5" w:rsidRDefault="005508E5" w:rsidP="005508E5">
      <w:pPr>
        <w:spacing w:before="0"/>
        <w:rPr>
          <w:sz w:val="22"/>
          <w:szCs w:val="22"/>
        </w:rPr>
      </w:pPr>
    </w:p>
    <w:p w14:paraId="2B24AEA1" w14:textId="77777777" w:rsidR="005508E5" w:rsidRDefault="005508E5" w:rsidP="005508E5">
      <w:pPr>
        <w:spacing w:before="0"/>
        <w:rPr>
          <w:sz w:val="22"/>
          <w:szCs w:val="22"/>
        </w:rPr>
      </w:pPr>
      <w:proofErr w:type="spellStart"/>
      <w:r>
        <w:rPr>
          <w:sz w:val="22"/>
          <w:szCs w:val="22"/>
        </w:rPr>
        <w:t>Krüptovara</w:t>
      </w:r>
      <w:proofErr w:type="spellEnd"/>
      <w:r>
        <w:rPr>
          <w:sz w:val="22"/>
          <w:szCs w:val="22"/>
        </w:rPr>
        <w:t xml:space="preserve"> teenuseosutajate kaudu ettevõtete rahastamise kohta andmed aga puuduvad. Küll on aga Eesti Pank uurinud, kus majapidamised oma vara finantsilises mõttes hoiavad (või millist finantsvara omavad), sh ka </w:t>
      </w:r>
      <w:proofErr w:type="spellStart"/>
      <w:r>
        <w:rPr>
          <w:sz w:val="22"/>
          <w:szCs w:val="22"/>
        </w:rPr>
        <w:t>krüptovara</w:t>
      </w:r>
      <w:proofErr w:type="spellEnd"/>
      <w:r>
        <w:rPr>
          <w:sz w:val="22"/>
          <w:szCs w:val="22"/>
        </w:rPr>
        <w:t xml:space="preserve">. Järgmistelt joonistelt on näha, et </w:t>
      </w:r>
      <w:proofErr w:type="spellStart"/>
      <w:r>
        <w:rPr>
          <w:sz w:val="22"/>
          <w:szCs w:val="22"/>
        </w:rPr>
        <w:t>krüptovara</w:t>
      </w:r>
      <w:proofErr w:type="spellEnd"/>
      <w:r>
        <w:rPr>
          <w:sz w:val="22"/>
          <w:szCs w:val="22"/>
        </w:rPr>
        <w:t xml:space="preserve"> populaarsus on hüppeliselt viimase 5 aasta jooksul kasvanud, eelkõige nooremate inimeste seas. Sisuliselt investeerivad alla 30 aastased inimesed </w:t>
      </w:r>
      <w:proofErr w:type="spellStart"/>
      <w:r>
        <w:rPr>
          <w:sz w:val="22"/>
          <w:szCs w:val="22"/>
        </w:rPr>
        <w:t>krüptovarasse</w:t>
      </w:r>
      <w:proofErr w:type="spellEnd"/>
      <w:r>
        <w:rPr>
          <w:sz w:val="22"/>
          <w:szCs w:val="22"/>
        </w:rPr>
        <w:t xml:space="preserve"> sama palju kui investeerimisfondidesse.</w:t>
      </w:r>
    </w:p>
    <w:p w14:paraId="394C1A00" w14:textId="77777777" w:rsidR="005508E5" w:rsidRDefault="005508E5" w:rsidP="005508E5">
      <w:pPr>
        <w:spacing w:before="0"/>
        <w:rPr>
          <w:sz w:val="22"/>
          <w:szCs w:val="22"/>
        </w:rPr>
      </w:pPr>
    </w:p>
    <w:tbl>
      <w:tblPr>
        <w:tblW w:w="10855" w:type="dxa"/>
        <w:tblInd w:w="-567" w:type="dxa"/>
        <w:tblLook w:val="04A0" w:firstRow="1" w:lastRow="0" w:firstColumn="1" w:lastColumn="0" w:noHBand="0" w:noVBand="1"/>
      </w:tblPr>
      <w:tblGrid>
        <w:gridCol w:w="5541"/>
        <w:gridCol w:w="5314"/>
      </w:tblGrid>
      <w:tr w:rsidR="005508E5" w14:paraId="68D270D0" w14:textId="77777777" w:rsidTr="00E672AE">
        <w:trPr>
          <w:trHeight w:val="267"/>
        </w:trPr>
        <w:tc>
          <w:tcPr>
            <w:tcW w:w="5541" w:type="dxa"/>
          </w:tcPr>
          <w:p w14:paraId="378E3EBA" w14:textId="77777777" w:rsidR="005508E5" w:rsidRPr="00AE18E6" w:rsidRDefault="005508E5" w:rsidP="00E672AE">
            <w:pPr>
              <w:spacing w:before="0"/>
              <w:rPr>
                <w:b/>
                <w:bCs/>
                <w:sz w:val="20"/>
                <w:szCs w:val="20"/>
              </w:rPr>
            </w:pPr>
            <w:r w:rsidRPr="00AE18E6">
              <w:rPr>
                <w:b/>
                <w:bCs/>
                <w:sz w:val="20"/>
                <w:szCs w:val="20"/>
              </w:rPr>
              <w:t>Joonis 6. Osakaal leibkondades, kellel on vastavat finantsvara</w:t>
            </w:r>
          </w:p>
        </w:tc>
        <w:tc>
          <w:tcPr>
            <w:tcW w:w="5314" w:type="dxa"/>
          </w:tcPr>
          <w:p w14:paraId="67093F68" w14:textId="77777777" w:rsidR="005508E5" w:rsidRPr="00AE18E6" w:rsidRDefault="005508E5" w:rsidP="00E672AE">
            <w:pPr>
              <w:spacing w:before="0"/>
              <w:rPr>
                <w:b/>
                <w:bCs/>
                <w:sz w:val="20"/>
                <w:szCs w:val="20"/>
              </w:rPr>
            </w:pPr>
            <w:r w:rsidRPr="00AE18E6">
              <w:rPr>
                <w:b/>
                <w:bCs/>
                <w:sz w:val="20"/>
                <w:szCs w:val="20"/>
              </w:rPr>
              <w:t>Joonis 7. Finantsvara omavate inimeste osakaal vanuse järgi</w:t>
            </w:r>
          </w:p>
        </w:tc>
      </w:tr>
      <w:tr w:rsidR="005508E5" w14:paraId="7104526B" w14:textId="77777777" w:rsidTr="00E672AE">
        <w:trPr>
          <w:trHeight w:val="4413"/>
        </w:trPr>
        <w:tc>
          <w:tcPr>
            <w:tcW w:w="5541" w:type="dxa"/>
          </w:tcPr>
          <w:p w14:paraId="6C3EDB50" w14:textId="77777777" w:rsidR="005508E5" w:rsidRDefault="005508E5" w:rsidP="00E672AE">
            <w:pPr>
              <w:spacing w:before="0"/>
              <w:rPr>
                <w:sz w:val="22"/>
                <w:szCs w:val="22"/>
              </w:rPr>
            </w:pPr>
            <w:r>
              <w:rPr>
                <w:noProof/>
                <w:sz w:val="22"/>
                <w:szCs w:val="22"/>
              </w:rPr>
              <w:drawing>
                <wp:inline distT="0" distB="0" distL="0" distR="0" wp14:anchorId="26DA6430" wp14:editId="2342528A">
                  <wp:extent cx="3116912" cy="2733550"/>
                  <wp:effectExtent l="0" t="0" r="7620" b="0"/>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8615" cy="2752584"/>
                          </a:xfrm>
                          <a:prstGeom prst="rect">
                            <a:avLst/>
                          </a:prstGeom>
                          <a:noFill/>
                        </pic:spPr>
                      </pic:pic>
                    </a:graphicData>
                  </a:graphic>
                </wp:inline>
              </w:drawing>
            </w:r>
          </w:p>
        </w:tc>
        <w:tc>
          <w:tcPr>
            <w:tcW w:w="5314" w:type="dxa"/>
          </w:tcPr>
          <w:p w14:paraId="427080A7" w14:textId="77777777" w:rsidR="005508E5" w:rsidRDefault="005508E5" w:rsidP="00E672AE">
            <w:pPr>
              <w:spacing w:before="0"/>
              <w:rPr>
                <w:sz w:val="22"/>
                <w:szCs w:val="22"/>
              </w:rPr>
            </w:pPr>
            <w:r>
              <w:rPr>
                <w:noProof/>
                <w:sz w:val="22"/>
                <w:szCs w:val="22"/>
              </w:rPr>
              <w:drawing>
                <wp:inline distT="0" distB="0" distL="0" distR="0" wp14:anchorId="42654E73" wp14:editId="437F7535">
                  <wp:extent cx="3085106" cy="2724083"/>
                  <wp:effectExtent l="0" t="0" r="1270" b="635"/>
                  <wp:docPr id="19" name="Picture 1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ba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2820" cy="2748554"/>
                          </a:xfrm>
                          <a:prstGeom prst="rect">
                            <a:avLst/>
                          </a:prstGeom>
                          <a:noFill/>
                        </pic:spPr>
                      </pic:pic>
                    </a:graphicData>
                  </a:graphic>
                </wp:inline>
              </w:drawing>
            </w:r>
          </w:p>
        </w:tc>
      </w:tr>
    </w:tbl>
    <w:p w14:paraId="4DDAC536" w14:textId="77777777" w:rsidR="005508E5" w:rsidRPr="00D726BC" w:rsidRDefault="005508E5" w:rsidP="005508E5">
      <w:pPr>
        <w:numPr>
          <w:ilvl w:val="2"/>
          <w:numId w:val="9"/>
        </w:numPr>
        <w:rPr>
          <w:b/>
          <w:bCs/>
          <w:sz w:val="22"/>
          <w:szCs w:val="22"/>
        </w:rPr>
      </w:pPr>
      <w:proofErr w:type="spellStart"/>
      <w:r w:rsidRPr="00D726BC">
        <w:rPr>
          <w:b/>
          <w:bCs/>
          <w:sz w:val="22"/>
          <w:szCs w:val="22"/>
        </w:rPr>
        <w:t>Ühisrahastusteenuse</w:t>
      </w:r>
      <w:proofErr w:type="spellEnd"/>
      <w:r w:rsidRPr="00D726BC">
        <w:rPr>
          <w:b/>
          <w:bCs/>
          <w:sz w:val="22"/>
          <w:szCs w:val="22"/>
        </w:rPr>
        <w:t xml:space="preserve"> osutajate sektori ülevaade</w:t>
      </w:r>
    </w:p>
    <w:p w14:paraId="5CCC89A6" w14:textId="77777777" w:rsidR="005508E5" w:rsidRPr="002A7403" w:rsidRDefault="005508E5" w:rsidP="005508E5">
      <w:pPr>
        <w:spacing w:before="0"/>
        <w:rPr>
          <w:bCs/>
          <w:sz w:val="22"/>
          <w:szCs w:val="22"/>
        </w:rPr>
      </w:pPr>
    </w:p>
    <w:p w14:paraId="2DC987C3" w14:textId="77777777" w:rsidR="005508E5" w:rsidRPr="002A7403" w:rsidRDefault="005508E5" w:rsidP="005508E5">
      <w:pPr>
        <w:spacing w:before="0"/>
        <w:rPr>
          <w:bCs/>
          <w:sz w:val="22"/>
          <w:szCs w:val="22"/>
        </w:rPr>
      </w:pPr>
      <w:proofErr w:type="spellStart"/>
      <w:r w:rsidRPr="002A7403">
        <w:rPr>
          <w:bCs/>
          <w:sz w:val="22"/>
          <w:szCs w:val="22"/>
        </w:rPr>
        <w:t>Ühisrahastus</w:t>
      </w:r>
      <w:r>
        <w:rPr>
          <w:bCs/>
          <w:sz w:val="22"/>
          <w:szCs w:val="22"/>
        </w:rPr>
        <w:t>e</w:t>
      </w:r>
      <w:proofErr w:type="spellEnd"/>
      <w:r w:rsidRPr="002A7403">
        <w:rPr>
          <w:bCs/>
          <w:sz w:val="22"/>
          <w:szCs w:val="22"/>
        </w:rPr>
        <w:t xml:space="preserve"> </w:t>
      </w:r>
      <w:r>
        <w:rPr>
          <w:bCs/>
          <w:sz w:val="22"/>
          <w:szCs w:val="22"/>
        </w:rPr>
        <w:t>valdkond on arenenud üpris kiiresti peale 2008. a. majanduslangust ja tõusnud arvestatavaks alternatiivseks rahastamisviisiks</w:t>
      </w:r>
      <w:r w:rsidRPr="002A7403">
        <w:rPr>
          <w:bCs/>
          <w:sz w:val="22"/>
          <w:szCs w:val="22"/>
        </w:rPr>
        <w:t xml:space="preserve">. </w:t>
      </w:r>
      <w:r>
        <w:rPr>
          <w:bCs/>
          <w:sz w:val="22"/>
          <w:szCs w:val="22"/>
        </w:rPr>
        <w:t xml:space="preserve">Varasemate (küll mitte kõige värskemate) </w:t>
      </w:r>
      <w:r>
        <w:rPr>
          <w:bCs/>
          <w:sz w:val="22"/>
          <w:szCs w:val="22"/>
        </w:rPr>
        <w:lastRenderedPageBreak/>
        <w:t xml:space="preserve">rahvusvaheliste uuringute </w:t>
      </w:r>
      <w:r w:rsidRPr="002A7403">
        <w:rPr>
          <w:bCs/>
          <w:sz w:val="22"/>
          <w:szCs w:val="22"/>
        </w:rPr>
        <w:t>Eesti on</w:t>
      </w:r>
      <w:r>
        <w:rPr>
          <w:bCs/>
          <w:sz w:val="22"/>
          <w:szCs w:val="22"/>
        </w:rPr>
        <w:t xml:space="preserve"> olnud</w:t>
      </w:r>
      <w:r w:rsidRPr="002A7403">
        <w:rPr>
          <w:bCs/>
          <w:sz w:val="22"/>
          <w:szCs w:val="22"/>
        </w:rPr>
        <w:t xml:space="preserve"> </w:t>
      </w:r>
      <w:proofErr w:type="spellStart"/>
      <w:r w:rsidRPr="002A7403">
        <w:rPr>
          <w:bCs/>
          <w:sz w:val="22"/>
          <w:szCs w:val="22"/>
        </w:rPr>
        <w:t>ühisrahastamise</w:t>
      </w:r>
      <w:proofErr w:type="spellEnd"/>
      <w:r w:rsidRPr="002A7403">
        <w:rPr>
          <w:bCs/>
          <w:sz w:val="22"/>
          <w:szCs w:val="22"/>
        </w:rPr>
        <w:t xml:space="preserve"> turul Euroopas eesrinnas</w:t>
      </w:r>
      <w:r>
        <w:rPr>
          <w:bCs/>
          <w:sz w:val="22"/>
          <w:szCs w:val="22"/>
        </w:rPr>
        <w:t xml:space="preserve"> (arvestades </w:t>
      </w:r>
      <w:proofErr w:type="spellStart"/>
      <w:r>
        <w:rPr>
          <w:bCs/>
          <w:sz w:val="22"/>
          <w:szCs w:val="22"/>
        </w:rPr>
        <w:t>ühisrahastuse</w:t>
      </w:r>
      <w:proofErr w:type="spellEnd"/>
      <w:r>
        <w:rPr>
          <w:bCs/>
          <w:sz w:val="22"/>
          <w:szCs w:val="22"/>
        </w:rPr>
        <w:t xml:space="preserve"> mahtu elaniku arvu kohta)</w:t>
      </w:r>
      <w:r>
        <w:rPr>
          <w:rFonts w:eastAsiaTheme="minorEastAsia"/>
          <w:sz w:val="22"/>
          <w:szCs w:val="22"/>
        </w:rPr>
        <w:footnoteReference w:id="35"/>
      </w:r>
      <w:r w:rsidRPr="002A7403">
        <w:rPr>
          <w:bCs/>
          <w:sz w:val="22"/>
          <w:szCs w:val="22"/>
        </w:rPr>
        <w:t xml:space="preserve">. </w:t>
      </w:r>
      <w:proofErr w:type="spellStart"/>
      <w:r w:rsidRPr="002A7403">
        <w:rPr>
          <w:bCs/>
          <w:sz w:val="22"/>
          <w:szCs w:val="22"/>
        </w:rPr>
        <w:t>Ühisrahastamine</w:t>
      </w:r>
      <w:proofErr w:type="spellEnd"/>
      <w:r w:rsidRPr="002A7403">
        <w:rPr>
          <w:bCs/>
          <w:sz w:val="22"/>
          <w:szCs w:val="22"/>
        </w:rPr>
        <w:t xml:space="preserve"> sai</w:t>
      </w:r>
      <w:r>
        <w:rPr>
          <w:bCs/>
          <w:sz w:val="22"/>
          <w:szCs w:val="22"/>
        </w:rPr>
        <w:t xml:space="preserve"> Eestis</w:t>
      </w:r>
      <w:r w:rsidRPr="002A7403">
        <w:rPr>
          <w:bCs/>
          <w:sz w:val="22"/>
          <w:szCs w:val="22"/>
        </w:rPr>
        <w:t xml:space="preserve"> hoo sisse 2009. aastal, kui </w:t>
      </w:r>
      <w:r>
        <w:rPr>
          <w:bCs/>
          <w:sz w:val="22"/>
          <w:szCs w:val="22"/>
        </w:rPr>
        <w:t>alustati</w:t>
      </w:r>
      <w:r w:rsidRPr="002A7403">
        <w:rPr>
          <w:bCs/>
          <w:sz w:val="22"/>
          <w:szCs w:val="22"/>
        </w:rPr>
        <w:t xml:space="preserve"> P2P</w:t>
      </w:r>
      <w:r>
        <w:rPr>
          <w:bCs/>
          <w:sz w:val="22"/>
          <w:szCs w:val="22"/>
        </w:rPr>
        <w:t xml:space="preserve"> tüüpi</w:t>
      </w:r>
      <w:r w:rsidRPr="002A7403">
        <w:rPr>
          <w:bCs/>
          <w:sz w:val="22"/>
          <w:szCs w:val="22"/>
        </w:rPr>
        <w:t xml:space="preserve"> laenude andmisega. </w:t>
      </w:r>
    </w:p>
    <w:p w14:paraId="276A113E" w14:textId="77777777" w:rsidR="005508E5" w:rsidRPr="002A7403" w:rsidRDefault="005508E5" w:rsidP="005508E5">
      <w:pPr>
        <w:spacing w:before="0"/>
        <w:rPr>
          <w:bCs/>
          <w:sz w:val="22"/>
          <w:szCs w:val="22"/>
        </w:rPr>
      </w:pPr>
    </w:p>
    <w:p w14:paraId="2B24435A" w14:textId="77777777" w:rsidR="005508E5" w:rsidRDefault="005508E5" w:rsidP="005508E5">
      <w:pPr>
        <w:spacing w:before="0"/>
        <w:rPr>
          <w:bCs/>
          <w:sz w:val="22"/>
          <w:szCs w:val="22"/>
        </w:rPr>
      </w:pPr>
      <w:r>
        <w:rPr>
          <w:bCs/>
          <w:sz w:val="22"/>
          <w:szCs w:val="22"/>
        </w:rPr>
        <w:t xml:space="preserve">Järgmisel joonisel on näha, et millistes EL liikmesriikides on </w:t>
      </w:r>
      <w:proofErr w:type="spellStart"/>
      <w:r>
        <w:rPr>
          <w:bCs/>
          <w:sz w:val="22"/>
          <w:szCs w:val="22"/>
        </w:rPr>
        <w:t>ühisrahastuse</w:t>
      </w:r>
      <w:proofErr w:type="spellEnd"/>
      <w:r>
        <w:rPr>
          <w:bCs/>
          <w:sz w:val="22"/>
          <w:szCs w:val="22"/>
        </w:rPr>
        <w:t xml:space="preserve"> vahendusel kaasatud kõige rohkem vahendeid erinevate </w:t>
      </w:r>
      <w:proofErr w:type="spellStart"/>
      <w:r>
        <w:rPr>
          <w:bCs/>
          <w:sz w:val="22"/>
          <w:szCs w:val="22"/>
        </w:rPr>
        <w:t>ühisrahastusvormide</w:t>
      </w:r>
      <w:proofErr w:type="spellEnd"/>
      <w:r>
        <w:rPr>
          <w:bCs/>
          <w:sz w:val="22"/>
          <w:szCs w:val="22"/>
        </w:rPr>
        <w:t xml:space="preserve"> lõikes. Kuigi andmed ei ole enam kõige värskemad, siis annab see siiski indikatsiooni, et Eesti on selles valdkonnas üsna esirinnas. Eestit iseloomustab ka see, et meil on kõige populaarsem laenupõhine </w:t>
      </w:r>
      <w:proofErr w:type="spellStart"/>
      <w:r>
        <w:rPr>
          <w:bCs/>
          <w:sz w:val="22"/>
          <w:szCs w:val="22"/>
        </w:rPr>
        <w:t>ühisrahastusvorm</w:t>
      </w:r>
      <w:proofErr w:type="spellEnd"/>
      <w:r>
        <w:rPr>
          <w:bCs/>
          <w:sz w:val="22"/>
          <w:szCs w:val="22"/>
        </w:rPr>
        <w:t xml:space="preserve">. Meid iseloomustab võrreldes teiste EL liikmesriikidega ka see, et paljud Eesti </w:t>
      </w:r>
      <w:proofErr w:type="spellStart"/>
      <w:r>
        <w:rPr>
          <w:bCs/>
          <w:sz w:val="22"/>
          <w:szCs w:val="22"/>
        </w:rPr>
        <w:t>ühisrahastusplatvormid</w:t>
      </w:r>
      <w:proofErr w:type="spellEnd"/>
      <w:r>
        <w:rPr>
          <w:bCs/>
          <w:sz w:val="22"/>
          <w:szCs w:val="22"/>
        </w:rPr>
        <w:t xml:space="preserve"> tegutsevad piiriüleselt (muudes riikides on nad rohkem nö siseriikliku suunitlusega). </w:t>
      </w:r>
    </w:p>
    <w:p w14:paraId="2938A6A5" w14:textId="77777777" w:rsidR="005508E5" w:rsidRPr="002A7403" w:rsidRDefault="005508E5" w:rsidP="005508E5">
      <w:pPr>
        <w:spacing w:before="0"/>
        <w:rPr>
          <w:bCs/>
          <w:sz w:val="22"/>
          <w:szCs w:val="22"/>
        </w:rPr>
      </w:pPr>
    </w:p>
    <w:p w14:paraId="7D5DBE56" w14:textId="77777777" w:rsidR="005508E5" w:rsidRPr="00BB5108" w:rsidRDefault="005508E5" w:rsidP="005508E5">
      <w:pPr>
        <w:spacing w:before="0"/>
        <w:rPr>
          <w:b/>
          <w:bCs/>
          <w:sz w:val="20"/>
          <w:szCs w:val="20"/>
        </w:rPr>
      </w:pPr>
      <w:r w:rsidRPr="00BB5108">
        <w:rPr>
          <w:b/>
          <w:bCs/>
          <w:sz w:val="20"/>
          <w:szCs w:val="20"/>
        </w:rPr>
        <w:t xml:space="preserve">Joonis 8. </w:t>
      </w:r>
      <w:proofErr w:type="spellStart"/>
      <w:r w:rsidRPr="00BB5108">
        <w:rPr>
          <w:b/>
          <w:bCs/>
          <w:sz w:val="20"/>
          <w:szCs w:val="20"/>
        </w:rPr>
        <w:t>Ühisrahastuse</w:t>
      </w:r>
      <w:proofErr w:type="spellEnd"/>
      <w:r w:rsidRPr="00BB5108">
        <w:rPr>
          <w:b/>
          <w:bCs/>
          <w:sz w:val="20"/>
          <w:szCs w:val="20"/>
        </w:rPr>
        <w:t xml:space="preserve"> vahendusel kaasatud summad EL liikmesriikides 2017. a. lõpu seisuga, (miljonites eurodes)</w:t>
      </w:r>
      <w:r w:rsidRPr="00BB5108">
        <w:rPr>
          <w:b/>
          <w:bCs/>
          <w:sz w:val="20"/>
          <w:szCs w:val="20"/>
          <w:vertAlign w:val="superscript"/>
        </w:rPr>
        <w:footnoteReference w:id="36"/>
      </w:r>
    </w:p>
    <w:p w14:paraId="105BE481" w14:textId="77777777" w:rsidR="005508E5" w:rsidRPr="002A7403" w:rsidRDefault="005508E5" w:rsidP="005508E5">
      <w:pPr>
        <w:spacing w:before="0"/>
        <w:rPr>
          <w:bCs/>
          <w:sz w:val="22"/>
          <w:szCs w:val="22"/>
        </w:rPr>
      </w:pPr>
      <w:r w:rsidRPr="002C2C52">
        <w:rPr>
          <w:noProof/>
        </w:rPr>
        <w:drawing>
          <wp:inline distT="0" distB="0" distL="0" distR="0" wp14:anchorId="0BC04D85" wp14:editId="6B6AA3EE">
            <wp:extent cx="4187974" cy="2934031"/>
            <wp:effectExtent l="0" t="0" r="3175"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20"/>
                    <a:stretch>
                      <a:fillRect/>
                    </a:stretch>
                  </pic:blipFill>
                  <pic:spPr>
                    <a:xfrm>
                      <a:off x="0" y="0"/>
                      <a:ext cx="4193019" cy="2937565"/>
                    </a:xfrm>
                    <a:prstGeom prst="rect">
                      <a:avLst/>
                    </a:prstGeom>
                  </pic:spPr>
                </pic:pic>
              </a:graphicData>
            </a:graphic>
          </wp:inline>
        </w:drawing>
      </w:r>
    </w:p>
    <w:p w14:paraId="3059D4B3" w14:textId="77777777" w:rsidR="005508E5" w:rsidRDefault="005508E5" w:rsidP="005508E5">
      <w:pPr>
        <w:spacing w:before="0"/>
        <w:rPr>
          <w:bCs/>
          <w:sz w:val="22"/>
          <w:szCs w:val="22"/>
        </w:rPr>
      </w:pPr>
    </w:p>
    <w:p w14:paraId="01419479" w14:textId="77777777" w:rsidR="005508E5" w:rsidRDefault="005508E5" w:rsidP="005508E5">
      <w:pPr>
        <w:spacing w:before="0"/>
        <w:rPr>
          <w:bCs/>
          <w:sz w:val="22"/>
          <w:szCs w:val="22"/>
        </w:rPr>
      </w:pPr>
      <w:r>
        <w:rPr>
          <w:bCs/>
          <w:sz w:val="22"/>
          <w:szCs w:val="22"/>
        </w:rPr>
        <w:t xml:space="preserve">Ka Eesti Panga andmetel on </w:t>
      </w:r>
      <w:proofErr w:type="spellStart"/>
      <w:r>
        <w:rPr>
          <w:bCs/>
          <w:sz w:val="22"/>
          <w:szCs w:val="22"/>
        </w:rPr>
        <w:t>ü</w:t>
      </w:r>
      <w:r w:rsidRPr="007511E6">
        <w:rPr>
          <w:bCs/>
          <w:sz w:val="22"/>
          <w:szCs w:val="22"/>
        </w:rPr>
        <w:t>hisrahastuse</w:t>
      </w:r>
      <w:proofErr w:type="spellEnd"/>
      <w:r w:rsidRPr="007511E6">
        <w:rPr>
          <w:bCs/>
          <w:sz w:val="22"/>
          <w:szCs w:val="22"/>
        </w:rPr>
        <w:t xml:space="preserve"> maht elaniku kohta Eestis </w:t>
      </w:r>
      <w:r>
        <w:rPr>
          <w:bCs/>
          <w:sz w:val="22"/>
          <w:szCs w:val="22"/>
        </w:rPr>
        <w:t xml:space="preserve">jätkuvalt </w:t>
      </w:r>
      <w:r w:rsidRPr="007511E6">
        <w:rPr>
          <w:bCs/>
          <w:sz w:val="22"/>
          <w:szCs w:val="22"/>
        </w:rPr>
        <w:t xml:space="preserve">üks Euroopa suurimaid. </w:t>
      </w:r>
    </w:p>
    <w:p w14:paraId="4BE99756" w14:textId="77777777" w:rsidR="005508E5" w:rsidRDefault="005508E5" w:rsidP="005508E5">
      <w:pPr>
        <w:spacing w:before="0"/>
        <w:rPr>
          <w:bCs/>
          <w:sz w:val="22"/>
          <w:szCs w:val="22"/>
        </w:rPr>
      </w:pPr>
    </w:p>
    <w:p w14:paraId="5B5F8C9E" w14:textId="77777777" w:rsidR="005508E5" w:rsidRDefault="005508E5" w:rsidP="005508E5">
      <w:pPr>
        <w:spacing w:before="0"/>
        <w:rPr>
          <w:bCs/>
          <w:sz w:val="22"/>
          <w:szCs w:val="22"/>
        </w:rPr>
      </w:pPr>
      <w:r>
        <w:rPr>
          <w:bCs/>
          <w:sz w:val="22"/>
          <w:szCs w:val="22"/>
        </w:rPr>
        <w:t xml:space="preserve">Eesti Panga hinnangul on </w:t>
      </w:r>
      <w:proofErr w:type="spellStart"/>
      <w:r>
        <w:rPr>
          <w:bCs/>
          <w:sz w:val="22"/>
          <w:szCs w:val="22"/>
        </w:rPr>
        <w:t>ü</w:t>
      </w:r>
      <w:r w:rsidRPr="007511E6">
        <w:rPr>
          <w:bCs/>
          <w:sz w:val="22"/>
          <w:szCs w:val="22"/>
        </w:rPr>
        <w:t>hisrahastamise</w:t>
      </w:r>
      <w:proofErr w:type="spellEnd"/>
      <w:r w:rsidRPr="007511E6">
        <w:rPr>
          <w:bCs/>
          <w:sz w:val="22"/>
          <w:szCs w:val="22"/>
        </w:rPr>
        <w:t xml:space="preserve"> kiirel kasvul mitu põhjust. Pärast üleilmset finantskriisi on pangalaenude tingimused karmistunud. Rahastuse kaasajatele on meeltmööda see, et pankadega võrreldes saab rahastuse kiiresti kätte ja tingimused on paindlikumad. Investorid otsivad väga madalate intressimäärade keskkonnas oma investeeringutele paremat tootlust ja lepivad seejuures suurema riskiga. Tehnoloogia areng võimaldab laenuandjat ja laenuvõtjat varasemast lihtsamini</w:t>
      </w:r>
      <w:r>
        <w:rPr>
          <w:bCs/>
          <w:sz w:val="22"/>
          <w:szCs w:val="22"/>
        </w:rPr>
        <w:t xml:space="preserve"> </w:t>
      </w:r>
      <w:r w:rsidRPr="007511E6">
        <w:rPr>
          <w:bCs/>
          <w:sz w:val="22"/>
          <w:szCs w:val="22"/>
        </w:rPr>
        <w:t xml:space="preserve">kokku viia ja </w:t>
      </w:r>
      <w:proofErr w:type="spellStart"/>
      <w:r w:rsidRPr="007511E6">
        <w:rPr>
          <w:bCs/>
          <w:sz w:val="22"/>
          <w:szCs w:val="22"/>
        </w:rPr>
        <w:t>ühisrahastamise</w:t>
      </w:r>
      <w:proofErr w:type="spellEnd"/>
      <w:r w:rsidRPr="007511E6">
        <w:rPr>
          <w:bCs/>
          <w:sz w:val="22"/>
          <w:szCs w:val="22"/>
        </w:rPr>
        <w:t xml:space="preserve"> puhul saab investeerimisega alustada juba väga väikestest summadest. Kuna </w:t>
      </w:r>
      <w:proofErr w:type="spellStart"/>
      <w:r w:rsidRPr="007511E6">
        <w:rPr>
          <w:bCs/>
          <w:sz w:val="22"/>
          <w:szCs w:val="22"/>
        </w:rPr>
        <w:t>ühisrahastus</w:t>
      </w:r>
      <w:proofErr w:type="spellEnd"/>
      <w:r w:rsidRPr="007511E6">
        <w:rPr>
          <w:bCs/>
          <w:sz w:val="22"/>
          <w:szCs w:val="22"/>
        </w:rPr>
        <w:t xml:space="preserve"> on alles suhteliselt uus ja kiiresti arenev valdkond, mida pole veel jõutud eriseadustega reguleerida ning mille üle riiklikku järelevalvet tihti ei tehta, on </w:t>
      </w:r>
      <w:proofErr w:type="spellStart"/>
      <w:r w:rsidRPr="007511E6">
        <w:rPr>
          <w:bCs/>
          <w:sz w:val="22"/>
          <w:szCs w:val="22"/>
        </w:rPr>
        <w:t>ühisrahastusplatvormidel</w:t>
      </w:r>
      <w:proofErr w:type="spellEnd"/>
      <w:r w:rsidRPr="007511E6">
        <w:rPr>
          <w:bCs/>
          <w:sz w:val="22"/>
          <w:szCs w:val="22"/>
        </w:rPr>
        <w:t xml:space="preserve"> rangemalt reguleeritud ja </w:t>
      </w:r>
      <w:proofErr w:type="spellStart"/>
      <w:r w:rsidRPr="007511E6">
        <w:rPr>
          <w:bCs/>
          <w:sz w:val="22"/>
          <w:szCs w:val="22"/>
        </w:rPr>
        <w:t>järelevalvatud</w:t>
      </w:r>
      <w:proofErr w:type="spellEnd"/>
      <w:r w:rsidRPr="007511E6">
        <w:rPr>
          <w:bCs/>
          <w:sz w:val="22"/>
          <w:szCs w:val="22"/>
        </w:rPr>
        <w:t xml:space="preserve"> finantsvahendajate ees tõenäoliselt mõningane regulatiivne eelis.</w:t>
      </w:r>
    </w:p>
    <w:p w14:paraId="7BA26E8C" w14:textId="77777777" w:rsidR="005508E5" w:rsidRDefault="005508E5" w:rsidP="005508E5">
      <w:pPr>
        <w:spacing w:before="0"/>
        <w:rPr>
          <w:bCs/>
          <w:sz w:val="22"/>
          <w:szCs w:val="22"/>
        </w:rPr>
      </w:pPr>
    </w:p>
    <w:p w14:paraId="2177F94E" w14:textId="77777777" w:rsidR="005508E5" w:rsidRDefault="005508E5" w:rsidP="005508E5">
      <w:pPr>
        <w:spacing w:before="0"/>
        <w:rPr>
          <w:bCs/>
          <w:sz w:val="22"/>
          <w:szCs w:val="22"/>
        </w:rPr>
      </w:pPr>
      <w:r w:rsidRPr="00AE03D4">
        <w:rPr>
          <w:bCs/>
          <w:sz w:val="22"/>
          <w:szCs w:val="22"/>
        </w:rPr>
        <w:t xml:space="preserve">Eesti Panga 2022. a. alguses avaldatud majanduse rahastamise ülevaate kohaselt </w:t>
      </w:r>
      <w:r>
        <w:rPr>
          <w:bCs/>
          <w:sz w:val="22"/>
          <w:szCs w:val="22"/>
        </w:rPr>
        <w:t>kasvas</w:t>
      </w:r>
      <w:r w:rsidRPr="00AE03D4">
        <w:rPr>
          <w:bCs/>
          <w:sz w:val="22"/>
          <w:szCs w:val="22"/>
        </w:rPr>
        <w:t xml:space="preserve"> </w:t>
      </w:r>
      <w:proofErr w:type="spellStart"/>
      <w:r>
        <w:rPr>
          <w:bCs/>
          <w:sz w:val="22"/>
          <w:szCs w:val="22"/>
        </w:rPr>
        <w:t>ü</w:t>
      </w:r>
      <w:r w:rsidRPr="00AE03D4">
        <w:rPr>
          <w:bCs/>
          <w:sz w:val="22"/>
          <w:szCs w:val="22"/>
        </w:rPr>
        <w:t>hisrahastus</w:t>
      </w:r>
      <w:proofErr w:type="spellEnd"/>
      <w:r w:rsidRPr="00AE03D4">
        <w:rPr>
          <w:bCs/>
          <w:sz w:val="22"/>
          <w:szCs w:val="22"/>
        </w:rPr>
        <w:t xml:space="preserve"> 2021. aastal kiiresti</w:t>
      </w:r>
      <w:r>
        <w:rPr>
          <w:bCs/>
          <w:sz w:val="22"/>
          <w:szCs w:val="22"/>
        </w:rPr>
        <w:t xml:space="preserve"> </w:t>
      </w:r>
      <w:r w:rsidRPr="00AE03D4">
        <w:rPr>
          <w:bCs/>
          <w:sz w:val="22"/>
          <w:szCs w:val="22"/>
        </w:rPr>
        <w:t>eelkõige ettevõtetele väljastatud rahastuse</w:t>
      </w:r>
      <w:r>
        <w:rPr>
          <w:bCs/>
          <w:sz w:val="22"/>
          <w:szCs w:val="22"/>
        </w:rPr>
        <w:t xml:space="preserve"> </w:t>
      </w:r>
      <w:r w:rsidRPr="00AE03D4">
        <w:rPr>
          <w:bCs/>
          <w:sz w:val="22"/>
          <w:szCs w:val="22"/>
        </w:rPr>
        <w:t>arvelt (vt</w:t>
      </w:r>
      <w:r>
        <w:rPr>
          <w:bCs/>
          <w:sz w:val="22"/>
          <w:szCs w:val="22"/>
        </w:rPr>
        <w:t xml:space="preserve"> järgmist</w:t>
      </w:r>
      <w:r w:rsidRPr="00AE03D4">
        <w:rPr>
          <w:bCs/>
          <w:sz w:val="22"/>
          <w:szCs w:val="22"/>
        </w:rPr>
        <w:t xml:space="preserve"> joonis</w:t>
      </w:r>
      <w:r>
        <w:rPr>
          <w:bCs/>
          <w:sz w:val="22"/>
          <w:szCs w:val="22"/>
        </w:rPr>
        <w:t>t</w:t>
      </w:r>
      <w:r w:rsidRPr="00AE03D4">
        <w:rPr>
          <w:bCs/>
          <w:sz w:val="22"/>
          <w:szCs w:val="22"/>
        </w:rPr>
        <w:t>).</w:t>
      </w:r>
    </w:p>
    <w:p w14:paraId="12A3F656" w14:textId="77777777" w:rsidR="005508E5" w:rsidRDefault="005508E5" w:rsidP="005508E5">
      <w:pPr>
        <w:spacing w:before="0"/>
        <w:rPr>
          <w:bCs/>
          <w:sz w:val="22"/>
          <w:szCs w:val="22"/>
        </w:rPr>
      </w:pPr>
    </w:p>
    <w:p w14:paraId="372E0248" w14:textId="77777777" w:rsidR="005508E5" w:rsidRPr="00BB5108" w:rsidRDefault="005508E5" w:rsidP="005508E5">
      <w:pPr>
        <w:spacing w:before="0"/>
        <w:rPr>
          <w:b/>
          <w:sz w:val="20"/>
          <w:szCs w:val="20"/>
        </w:rPr>
      </w:pPr>
      <w:r w:rsidRPr="00BB5108">
        <w:rPr>
          <w:b/>
          <w:sz w:val="20"/>
          <w:szCs w:val="20"/>
        </w:rPr>
        <w:t xml:space="preserve">Joonis 9. </w:t>
      </w:r>
      <w:proofErr w:type="spellStart"/>
      <w:r w:rsidRPr="00BB5108">
        <w:rPr>
          <w:b/>
          <w:sz w:val="20"/>
          <w:szCs w:val="20"/>
        </w:rPr>
        <w:t>Ühisrahastusplatvormide</w:t>
      </w:r>
      <w:proofErr w:type="spellEnd"/>
      <w:r w:rsidRPr="00BB5108">
        <w:rPr>
          <w:b/>
          <w:sz w:val="20"/>
          <w:szCs w:val="20"/>
        </w:rPr>
        <w:t xml:space="preserve"> poolt vahendatud rahastuse jääk (allikas: Eesti Pank)</w:t>
      </w:r>
    </w:p>
    <w:p w14:paraId="7B1A511B" w14:textId="77777777" w:rsidR="005508E5" w:rsidRDefault="005508E5" w:rsidP="005508E5">
      <w:pPr>
        <w:spacing w:before="0"/>
        <w:rPr>
          <w:bCs/>
          <w:sz w:val="22"/>
          <w:szCs w:val="22"/>
        </w:rPr>
      </w:pPr>
      <w:r>
        <w:rPr>
          <w:bCs/>
          <w:noProof/>
          <w:sz w:val="22"/>
          <w:szCs w:val="22"/>
        </w:rPr>
        <w:lastRenderedPageBreak/>
        <w:drawing>
          <wp:inline distT="0" distB="0" distL="0" distR="0" wp14:anchorId="751FDFA3" wp14:editId="62D36BEB">
            <wp:extent cx="3032950" cy="2576223"/>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4579" cy="2577607"/>
                    </a:xfrm>
                    <a:prstGeom prst="rect">
                      <a:avLst/>
                    </a:prstGeom>
                    <a:noFill/>
                  </pic:spPr>
                </pic:pic>
              </a:graphicData>
            </a:graphic>
          </wp:inline>
        </w:drawing>
      </w:r>
    </w:p>
    <w:p w14:paraId="3BA6678E" w14:textId="77777777" w:rsidR="005508E5" w:rsidRDefault="005508E5" w:rsidP="005508E5">
      <w:pPr>
        <w:spacing w:before="0"/>
        <w:rPr>
          <w:bCs/>
          <w:sz w:val="22"/>
          <w:szCs w:val="22"/>
        </w:rPr>
      </w:pPr>
    </w:p>
    <w:p w14:paraId="79DF780B" w14:textId="77777777" w:rsidR="005508E5" w:rsidRDefault="005508E5" w:rsidP="005508E5">
      <w:pPr>
        <w:spacing w:before="0"/>
        <w:rPr>
          <w:bCs/>
          <w:sz w:val="22"/>
          <w:szCs w:val="22"/>
        </w:rPr>
      </w:pPr>
      <w:r>
        <w:rPr>
          <w:bCs/>
          <w:sz w:val="22"/>
          <w:szCs w:val="22"/>
        </w:rPr>
        <w:t xml:space="preserve">Eeltoodud joonise pealt on nähta, et aastate 2016–2021 jooksul on kaasatud läbi Eesti </w:t>
      </w:r>
      <w:proofErr w:type="spellStart"/>
      <w:r>
        <w:rPr>
          <w:bCs/>
          <w:sz w:val="22"/>
          <w:szCs w:val="22"/>
        </w:rPr>
        <w:t>ühisrahastusplatvormide</w:t>
      </w:r>
      <w:proofErr w:type="spellEnd"/>
      <w:r>
        <w:rPr>
          <w:bCs/>
          <w:sz w:val="22"/>
          <w:szCs w:val="22"/>
        </w:rPr>
        <w:t xml:space="preserve"> üle 1,4 mlrd euro suuruses rahalisi vahendeid. </w:t>
      </w:r>
      <w:r w:rsidRPr="00AE03D4">
        <w:rPr>
          <w:bCs/>
          <w:sz w:val="22"/>
          <w:szCs w:val="22"/>
        </w:rPr>
        <w:t xml:space="preserve">Eesti </w:t>
      </w:r>
      <w:proofErr w:type="spellStart"/>
      <w:r w:rsidRPr="00AE03D4">
        <w:rPr>
          <w:bCs/>
          <w:sz w:val="22"/>
          <w:szCs w:val="22"/>
        </w:rPr>
        <w:t>ühisrahastusplatvormide</w:t>
      </w:r>
      <w:proofErr w:type="spellEnd"/>
      <w:r w:rsidRPr="00AE03D4">
        <w:rPr>
          <w:bCs/>
          <w:sz w:val="22"/>
          <w:szCs w:val="22"/>
        </w:rPr>
        <w:t xml:space="preserve"> kiire kasvu</w:t>
      </w:r>
      <w:r>
        <w:rPr>
          <w:bCs/>
          <w:sz w:val="22"/>
          <w:szCs w:val="22"/>
        </w:rPr>
        <w:t xml:space="preserve"> </w:t>
      </w:r>
      <w:r w:rsidRPr="00AE03D4">
        <w:rPr>
          <w:bCs/>
          <w:sz w:val="22"/>
          <w:szCs w:val="22"/>
        </w:rPr>
        <w:t>juures tuleb arvestada, et osad neist on jõuliselt</w:t>
      </w:r>
      <w:r>
        <w:rPr>
          <w:bCs/>
          <w:sz w:val="22"/>
          <w:szCs w:val="22"/>
        </w:rPr>
        <w:t xml:space="preserve"> </w:t>
      </w:r>
      <w:r w:rsidRPr="00AE03D4">
        <w:rPr>
          <w:bCs/>
          <w:sz w:val="22"/>
          <w:szCs w:val="22"/>
        </w:rPr>
        <w:t>laiendanud oma tegevust ka teistesse riikidesse.</w:t>
      </w:r>
      <w:r>
        <w:rPr>
          <w:bCs/>
          <w:sz w:val="22"/>
          <w:szCs w:val="22"/>
        </w:rPr>
        <w:t xml:space="preserve"> </w:t>
      </w:r>
      <w:r w:rsidRPr="00AE03D4">
        <w:rPr>
          <w:bCs/>
          <w:sz w:val="22"/>
          <w:szCs w:val="22"/>
        </w:rPr>
        <w:t>Seetõttu Eesti ettevõtetele (väiksemal määral ka</w:t>
      </w:r>
      <w:r>
        <w:rPr>
          <w:bCs/>
          <w:sz w:val="22"/>
          <w:szCs w:val="22"/>
        </w:rPr>
        <w:t xml:space="preserve"> </w:t>
      </w:r>
      <w:r w:rsidRPr="00AE03D4">
        <w:rPr>
          <w:bCs/>
          <w:sz w:val="22"/>
          <w:szCs w:val="22"/>
        </w:rPr>
        <w:t>majapidamistele) väljastatud rahastuse osakaal</w:t>
      </w:r>
      <w:r>
        <w:rPr>
          <w:bCs/>
          <w:sz w:val="22"/>
          <w:szCs w:val="22"/>
        </w:rPr>
        <w:t xml:space="preserve"> </w:t>
      </w:r>
      <w:r w:rsidRPr="00AE03D4">
        <w:rPr>
          <w:bCs/>
          <w:sz w:val="22"/>
          <w:szCs w:val="22"/>
        </w:rPr>
        <w:t xml:space="preserve">väheneb pidevalt. </w:t>
      </w:r>
      <w:r>
        <w:rPr>
          <w:bCs/>
          <w:sz w:val="22"/>
          <w:szCs w:val="22"/>
        </w:rPr>
        <w:t>Eesti Panga hinnangul rahastavad ka mitmed</w:t>
      </w:r>
      <w:r w:rsidRPr="00221749">
        <w:rPr>
          <w:bCs/>
          <w:sz w:val="22"/>
          <w:szCs w:val="22"/>
        </w:rPr>
        <w:t xml:space="preserve"> kinnisvaraettevõtted end </w:t>
      </w:r>
      <w:proofErr w:type="spellStart"/>
      <w:r w:rsidRPr="00221749">
        <w:rPr>
          <w:bCs/>
          <w:sz w:val="22"/>
          <w:szCs w:val="22"/>
        </w:rPr>
        <w:t>ühisrahastusplatvormide</w:t>
      </w:r>
      <w:proofErr w:type="spellEnd"/>
      <w:r w:rsidRPr="00221749">
        <w:rPr>
          <w:bCs/>
          <w:sz w:val="22"/>
          <w:szCs w:val="22"/>
        </w:rPr>
        <w:t xml:space="preserve"> kaudu, kuigi selliselt</w:t>
      </w:r>
      <w:r>
        <w:rPr>
          <w:bCs/>
          <w:sz w:val="22"/>
          <w:szCs w:val="22"/>
        </w:rPr>
        <w:t xml:space="preserve"> </w:t>
      </w:r>
      <w:r w:rsidRPr="00221749">
        <w:rPr>
          <w:bCs/>
          <w:sz w:val="22"/>
          <w:szCs w:val="22"/>
        </w:rPr>
        <w:t>kaasatud raha osakaal</w:t>
      </w:r>
      <w:r>
        <w:rPr>
          <w:bCs/>
          <w:sz w:val="22"/>
          <w:szCs w:val="22"/>
        </w:rPr>
        <w:t xml:space="preserve"> on nende</w:t>
      </w:r>
      <w:r w:rsidRPr="00221749">
        <w:rPr>
          <w:bCs/>
          <w:sz w:val="22"/>
          <w:szCs w:val="22"/>
        </w:rPr>
        <w:t xml:space="preserve"> kogurahastamises üsna vähene. Kinnisvaraettevõtete poolt Eestis</w:t>
      </w:r>
      <w:r>
        <w:rPr>
          <w:bCs/>
          <w:sz w:val="22"/>
          <w:szCs w:val="22"/>
        </w:rPr>
        <w:t xml:space="preserve"> </w:t>
      </w:r>
      <w:r w:rsidRPr="00221749">
        <w:rPr>
          <w:bCs/>
          <w:sz w:val="22"/>
          <w:szCs w:val="22"/>
        </w:rPr>
        <w:t xml:space="preserve">registreeritud </w:t>
      </w:r>
      <w:proofErr w:type="spellStart"/>
      <w:r w:rsidRPr="00221749">
        <w:rPr>
          <w:bCs/>
          <w:sz w:val="22"/>
          <w:szCs w:val="22"/>
        </w:rPr>
        <w:t>ühisrahastusplatvormide</w:t>
      </w:r>
      <w:proofErr w:type="spellEnd"/>
      <w:r w:rsidRPr="00221749">
        <w:rPr>
          <w:bCs/>
          <w:sz w:val="22"/>
          <w:szCs w:val="22"/>
        </w:rPr>
        <w:t xml:space="preserve"> kaudu kogutud raha maht ulatus Eesti Panga ligikaudsel</w:t>
      </w:r>
      <w:r>
        <w:rPr>
          <w:bCs/>
          <w:sz w:val="22"/>
          <w:szCs w:val="22"/>
        </w:rPr>
        <w:t xml:space="preserve"> </w:t>
      </w:r>
      <w:r w:rsidRPr="00221749">
        <w:rPr>
          <w:bCs/>
          <w:sz w:val="22"/>
          <w:szCs w:val="22"/>
        </w:rPr>
        <w:t>hinnangul 2021. aasta lõpus 50 miljoni euroni.</w:t>
      </w:r>
    </w:p>
    <w:p w14:paraId="0D0D2673" w14:textId="77777777" w:rsidR="005508E5" w:rsidRDefault="005508E5" w:rsidP="005508E5">
      <w:pPr>
        <w:spacing w:before="0"/>
        <w:rPr>
          <w:b/>
          <w:bCs/>
          <w:sz w:val="22"/>
          <w:szCs w:val="22"/>
        </w:rPr>
      </w:pPr>
    </w:p>
    <w:p w14:paraId="4C88C558" w14:textId="77777777" w:rsidR="005508E5" w:rsidRPr="00B22966" w:rsidRDefault="005508E5" w:rsidP="005508E5">
      <w:pPr>
        <w:numPr>
          <w:ilvl w:val="2"/>
          <w:numId w:val="9"/>
        </w:numPr>
        <w:ind w:hanging="810"/>
        <w:rPr>
          <w:b/>
          <w:bCs/>
          <w:sz w:val="22"/>
          <w:szCs w:val="22"/>
        </w:rPr>
      </w:pPr>
      <w:r w:rsidRPr="00B22966">
        <w:rPr>
          <w:b/>
          <w:bCs/>
          <w:sz w:val="22"/>
          <w:szCs w:val="22"/>
        </w:rPr>
        <w:t xml:space="preserve">Ülevaade </w:t>
      </w:r>
      <w:proofErr w:type="spellStart"/>
      <w:r w:rsidRPr="00B22966">
        <w:rPr>
          <w:b/>
          <w:bCs/>
          <w:sz w:val="22"/>
          <w:szCs w:val="22"/>
        </w:rPr>
        <w:t>krüptovarade</w:t>
      </w:r>
      <w:proofErr w:type="spellEnd"/>
      <w:r w:rsidRPr="00B22966">
        <w:rPr>
          <w:b/>
          <w:bCs/>
          <w:sz w:val="22"/>
          <w:szCs w:val="22"/>
        </w:rPr>
        <w:t xml:space="preserve"> turust</w:t>
      </w:r>
    </w:p>
    <w:p w14:paraId="3607AA52" w14:textId="77777777" w:rsidR="005508E5" w:rsidRDefault="005508E5" w:rsidP="005508E5">
      <w:pPr>
        <w:spacing w:before="0"/>
        <w:rPr>
          <w:b/>
          <w:bCs/>
          <w:sz w:val="22"/>
          <w:szCs w:val="22"/>
        </w:rPr>
      </w:pPr>
    </w:p>
    <w:p w14:paraId="5F1DCE19" w14:textId="77777777" w:rsidR="005508E5" w:rsidRDefault="005508E5" w:rsidP="005508E5">
      <w:pPr>
        <w:spacing w:before="0"/>
        <w:rPr>
          <w:bCs/>
          <w:sz w:val="22"/>
          <w:szCs w:val="22"/>
        </w:rPr>
      </w:pPr>
      <w:r w:rsidRPr="002A5EEC">
        <w:rPr>
          <w:bCs/>
          <w:sz w:val="22"/>
          <w:szCs w:val="22"/>
        </w:rPr>
        <w:t>Maailmas o</w:t>
      </w:r>
      <w:r>
        <w:rPr>
          <w:bCs/>
          <w:sz w:val="22"/>
          <w:szCs w:val="22"/>
        </w:rPr>
        <w:t>li 2022. a. 5. juuli seisuga</w:t>
      </w:r>
      <w:r w:rsidRPr="002A5EEC">
        <w:rPr>
          <w:bCs/>
          <w:sz w:val="22"/>
          <w:szCs w:val="22"/>
        </w:rPr>
        <w:t xml:space="preserve"> ringluses </w:t>
      </w:r>
      <w:r>
        <w:rPr>
          <w:bCs/>
          <w:sz w:val="22"/>
          <w:szCs w:val="22"/>
        </w:rPr>
        <w:t xml:space="preserve">20 120 erineva </w:t>
      </w:r>
      <w:proofErr w:type="spellStart"/>
      <w:r>
        <w:rPr>
          <w:bCs/>
          <w:sz w:val="22"/>
          <w:szCs w:val="22"/>
        </w:rPr>
        <w:t>krüptovara</w:t>
      </w:r>
      <w:proofErr w:type="spellEnd"/>
      <w:r>
        <w:rPr>
          <w:bCs/>
          <w:sz w:val="22"/>
          <w:szCs w:val="22"/>
        </w:rPr>
        <w:t>, sh virtuaalvääringut, turuväärtusega 900 miljardit USA dollarit (kuna turuväärtus tuleb arvestada, et see summa kõigub märkimisväärselt iga päev)</w:t>
      </w:r>
      <w:r w:rsidRPr="002A5EEC">
        <w:rPr>
          <w:bCs/>
          <w:sz w:val="22"/>
          <w:szCs w:val="22"/>
        </w:rPr>
        <w:t>.</w:t>
      </w:r>
      <w:r w:rsidRPr="00B12BBF">
        <w:rPr>
          <w:rFonts w:eastAsiaTheme="minorEastAsia"/>
          <w:sz w:val="22"/>
          <w:szCs w:val="22"/>
          <w:vertAlign w:val="superscript"/>
        </w:rPr>
        <w:footnoteReference w:id="37"/>
      </w:r>
      <w:r w:rsidRPr="002A5EEC">
        <w:rPr>
          <w:bCs/>
          <w:sz w:val="22"/>
          <w:szCs w:val="22"/>
        </w:rPr>
        <w:t xml:space="preserve"> </w:t>
      </w:r>
      <w:r>
        <w:rPr>
          <w:bCs/>
          <w:sz w:val="22"/>
          <w:szCs w:val="22"/>
        </w:rPr>
        <w:t xml:space="preserve">Nagu järgmiselt jooniselt näha, siis suure osa aga moodustavad sellest tehingud </w:t>
      </w:r>
      <w:proofErr w:type="spellStart"/>
      <w:r>
        <w:rPr>
          <w:bCs/>
          <w:sz w:val="22"/>
          <w:szCs w:val="22"/>
        </w:rPr>
        <w:t>bitcoin’ga</w:t>
      </w:r>
      <w:proofErr w:type="spellEnd"/>
      <w:r>
        <w:rPr>
          <w:bCs/>
          <w:sz w:val="22"/>
          <w:szCs w:val="22"/>
        </w:rPr>
        <w:t xml:space="preserve"> (ligi pooled).</w:t>
      </w:r>
    </w:p>
    <w:p w14:paraId="15788BC5" w14:textId="77777777" w:rsidR="005508E5" w:rsidRDefault="005508E5" w:rsidP="005508E5">
      <w:pPr>
        <w:spacing w:before="0"/>
        <w:rPr>
          <w:bCs/>
          <w:sz w:val="22"/>
          <w:szCs w:val="22"/>
        </w:rPr>
      </w:pPr>
    </w:p>
    <w:p w14:paraId="4C96D39E" w14:textId="77777777" w:rsidR="005508E5" w:rsidRPr="00BB5108" w:rsidRDefault="005508E5" w:rsidP="005508E5">
      <w:pPr>
        <w:spacing w:before="0"/>
        <w:jc w:val="left"/>
        <w:rPr>
          <w:b/>
          <w:sz w:val="20"/>
          <w:szCs w:val="20"/>
        </w:rPr>
      </w:pPr>
      <w:r w:rsidRPr="00BB5108">
        <w:rPr>
          <w:b/>
          <w:sz w:val="20"/>
          <w:szCs w:val="20"/>
        </w:rPr>
        <w:t xml:space="preserve">Joonis </w:t>
      </w:r>
      <w:r>
        <w:rPr>
          <w:b/>
          <w:sz w:val="20"/>
          <w:szCs w:val="20"/>
        </w:rPr>
        <w:t>10</w:t>
      </w:r>
      <w:r w:rsidRPr="00BB5108">
        <w:rPr>
          <w:b/>
          <w:sz w:val="20"/>
          <w:szCs w:val="20"/>
        </w:rPr>
        <w:t xml:space="preserve">. </w:t>
      </w:r>
      <w:r w:rsidRPr="00B426EA">
        <w:rPr>
          <w:bCs/>
          <w:sz w:val="20"/>
          <w:szCs w:val="20"/>
        </w:rPr>
        <w:t xml:space="preserve">Suuremate </w:t>
      </w:r>
      <w:proofErr w:type="spellStart"/>
      <w:r w:rsidRPr="00B426EA">
        <w:rPr>
          <w:bCs/>
          <w:sz w:val="20"/>
          <w:szCs w:val="20"/>
        </w:rPr>
        <w:t>krüptovarade</w:t>
      </w:r>
      <w:proofErr w:type="spellEnd"/>
      <w:r w:rsidRPr="00B426EA">
        <w:rPr>
          <w:bCs/>
          <w:sz w:val="20"/>
          <w:szCs w:val="20"/>
        </w:rPr>
        <w:t xml:space="preserve"> turuväärtus (joonise vasakul skaalal triljonites eurodes, paremal skaalal %-des)</w:t>
      </w:r>
      <w:r w:rsidRPr="00B426EA">
        <w:rPr>
          <w:rFonts w:eastAsiaTheme="minorEastAsia"/>
          <w:bCs/>
          <w:sz w:val="20"/>
          <w:szCs w:val="20"/>
          <w:vertAlign w:val="superscript"/>
        </w:rPr>
        <w:footnoteReference w:id="38"/>
      </w:r>
    </w:p>
    <w:p w14:paraId="51412013" w14:textId="77777777" w:rsidR="005508E5" w:rsidRPr="002A5EEC" w:rsidRDefault="005508E5" w:rsidP="005508E5">
      <w:pPr>
        <w:spacing w:before="0"/>
        <w:jc w:val="center"/>
        <w:rPr>
          <w:bCs/>
          <w:sz w:val="22"/>
          <w:szCs w:val="22"/>
        </w:rPr>
      </w:pPr>
      <w:r>
        <w:rPr>
          <w:bCs/>
          <w:noProof/>
          <w:sz w:val="22"/>
          <w:szCs w:val="22"/>
        </w:rPr>
        <w:drawing>
          <wp:inline distT="0" distB="0" distL="0" distR="0" wp14:anchorId="63E01260" wp14:editId="262DDE51">
            <wp:extent cx="2934032" cy="2424783"/>
            <wp:effectExtent l="0" t="0" r="0" b="0"/>
            <wp:docPr id="26" name="Picture 2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6610" cy="2426913"/>
                    </a:xfrm>
                    <a:prstGeom prst="rect">
                      <a:avLst/>
                    </a:prstGeom>
                    <a:noFill/>
                  </pic:spPr>
                </pic:pic>
              </a:graphicData>
            </a:graphic>
          </wp:inline>
        </w:drawing>
      </w:r>
    </w:p>
    <w:p w14:paraId="516D3CD6" w14:textId="77777777" w:rsidR="005508E5" w:rsidRDefault="005508E5" w:rsidP="005508E5">
      <w:pPr>
        <w:spacing w:before="0"/>
        <w:rPr>
          <w:bCs/>
          <w:sz w:val="22"/>
          <w:szCs w:val="22"/>
        </w:rPr>
      </w:pPr>
    </w:p>
    <w:p w14:paraId="4A786446" w14:textId="7A380037" w:rsidR="005508E5" w:rsidRDefault="005508E5" w:rsidP="005508E5">
      <w:pPr>
        <w:spacing w:before="0"/>
        <w:rPr>
          <w:bCs/>
          <w:sz w:val="22"/>
          <w:szCs w:val="22"/>
        </w:rPr>
      </w:pPr>
      <w:r>
        <w:rPr>
          <w:bCs/>
          <w:sz w:val="22"/>
          <w:szCs w:val="22"/>
        </w:rPr>
        <w:t>Konkreetselt Eestiga seoses a</w:t>
      </w:r>
      <w:r w:rsidRPr="00E318DA">
        <w:rPr>
          <w:bCs/>
          <w:sz w:val="22"/>
          <w:szCs w:val="22"/>
        </w:rPr>
        <w:t xml:space="preserve">metlikku statistikat </w:t>
      </w:r>
      <w:r>
        <w:rPr>
          <w:bCs/>
          <w:sz w:val="22"/>
          <w:szCs w:val="22"/>
        </w:rPr>
        <w:t xml:space="preserve">erinevate </w:t>
      </w:r>
      <w:proofErr w:type="spellStart"/>
      <w:r>
        <w:rPr>
          <w:bCs/>
          <w:sz w:val="22"/>
          <w:szCs w:val="22"/>
        </w:rPr>
        <w:t>krüptovara</w:t>
      </w:r>
      <w:proofErr w:type="spellEnd"/>
      <w:r>
        <w:rPr>
          <w:bCs/>
          <w:sz w:val="22"/>
          <w:szCs w:val="22"/>
        </w:rPr>
        <w:t xml:space="preserve"> vormide</w:t>
      </w:r>
      <w:r w:rsidRPr="00E318DA">
        <w:rPr>
          <w:bCs/>
          <w:sz w:val="22"/>
          <w:szCs w:val="22"/>
        </w:rPr>
        <w:t xml:space="preserve"> kaudu kapitali kaasamise mahtude kohta ei ole. 2018. aastal avaldatud Ernst &amp; Young uuringu kohaselt ulatus Eestiga seotud </w:t>
      </w:r>
      <w:r w:rsidRPr="00E318DA">
        <w:rPr>
          <w:bCs/>
          <w:sz w:val="22"/>
          <w:szCs w:val="22"/>
        </w:rPr>
        <w:lastRenderedPageBreak/>
        <w:t>ICO-de maht 63 miljoni USA dollarini</w:t>
      </w:r>
      <w:r>
        <w:rPr>
          <w:bCs/>
          <w:sz w:val="22"/>
          <w:szCs w:val="22"/>
        </w:rPr>
        <w:t xml:space="preserve"> (53 mln euroni)</w:t>
      </w:r>
      <w:r w:rsidRPr="00E318DA">
        <w:rPr>
          <w:bCs/>
          <w:sz w:val="22"/>
          <w:szCs w:val="22"/>
        </w:rPr>
        <w:t xml:space="preserve">, mis on teiste riikide võrdluses märkimisväärne. Uuringus peeti Eestiga seotuse all silmas seda, et </w:t>
      </w:r>
      <w:proofErr w:type="spellStart"/>
      <w:r>
        <w:rPr>
          <w:bCs/>
          <w:sz w:val="22"/>
          <w:szCs w:val="22"/>
        </w:rPr>
        <w:t>tokeni</w:t>
      </w:r>
      <w:proofErr w:type="spellEnd"/>
      <w:r>
        <w:rPr>
          <w:bCs/>
          <w:sz w:val="22"/>
          <w:szCs w:val="22"/>
        </w:rPr>
        <w:t xml:space="preserve"> </w:t>
      </w:r>
      <w:r w:rsidRPr="00E318DA">
        <w:rPr>
          <w:bCs/>
          <w:sz w:val="22"/>
          <w:szCs w:val="22"/>
        </w:rPr>
        <w:t xml:space="preserve">emitent on Eestis asutatud või </w:t>
      </w:r>
      <w:proofErr w:type="spellStart"/>
      <w:r>
        <w:rPr>
          <w:bCs/>
          <w:sz w:val="22"/>
          <w:szCs w:val="22"/>
        </w:rPr>
        <w:t>tokeni</w:t>
      </w:r>
      <w:proofErr w:type="spellEnd"/>
      <w:r>
        <w:rPr>
          <w:bCs/>
          <w:sz w:val="22"/>
          <w:szCs w:val="22"/>
        </w:rPr>
        <w:t xml:space="preserve"> </w:t>
      </w:r>
      <w:r w:rsidRPr="00E318DA">
        <w:rPr>
          <w:bCs/>
          <w:sz w:val="22"/>
          <w:szCs w:val="22"/>
        </w:rPr>
        <w:t xml:space="preserve">emitendi asutajad või juhid on Eestist pärit. Eesti ühingutega seotud ICO statistikat on kogunud ka advokaadibüroo NJORD Law </w:t>
      </w:r>
      <w:proofErr w:type="spellStart"/>
      <w:r w:rsidRPr="00E318DA">
        <w:rPr>
          <w:bCs/>
          <w:sz w:val="22"/>
          <w:szCs w:val="22"/>
        </w:rPr>
        <w:t>Firm</w:t>
      </w:r>
      <w:proofErr w:type="spellEnd"/>
      <w:r w:rsidRPr="00E318DA">
        <w:rPr>
          <w:bCs/>
          <w:sz w:val="22"/>
          <w:szCs w:val="22"/>
        </w:rPr>
        <w:t xml:space="preserve">. Nende avaldatud andmete põhjal on Eesti ühingute kaasatud ICO mahud järgmised: </w:t>
      </w:r>
    </w:p>
    <w:p w14:paraId="07ABB670" w14:textId="77777777" w:rsidR="005508E5" w:rsidRDefault="005508E5" w:rsidP="005508E5">
      <w:pPr>
        <w:spacing w:before="0"/>
        <w:rPr>
          <w:bCs/>
          <w:sz w:val="22"/>
          <w:szCs w:val="22"/>
        </w:rPr>
      </w:pPr>
    </w:p>
    <w:p w14:paraId="61829478" w14:textId="77777777" w:rsidR="005508E5" w:rsidRPr="00BB5108" w:rsidRDefault="005508E5" w:rsidP="005508E5">
      <w:pPr>
        <w:spacing w:before="0"/>
        <w:rPr>
          <w:bCs/>
          <w:sz w:val="20"/>
          <w:szCs w:val="20"/>
        </w:rPr>
      </w:pPr>
      <w:r w:rsidRPr="00BB5108">
        <w:rPr>
          <w:b/>
          <w:bCs/>
          <w:sz w:val="20"/>
          <w:szCs w:val="20"/>
        </w:rPr>
        <w:t xml:space="preserve">Tabel </w:t>
      </w:r>
      <w:r>
        <w:rPr>
          <w:b/>
          <w:bCs/>
          <w:sz w:val="20"/>
          <w:szCs w:val="20"/>
        </w:rPr>
        <w:t>5</w:t>
      </w:r>
      <w:r w:rsidRPr="00BB5108">
        <w:rPr>
          <w:b/>
          <w:bCs/>
          <w:sz w:val="20"/>
          <w:szCs w:val="20"/>
        </w:rPr>
        <w:t xml:space="preserve">. Kapitali kaasamine läbi ICO-de </w:t>
      </w:r>
      <w:r w:rsidRPr="00BB5108">
        <w:rPr>
          <w:bCs/>
          <w:sz w:val="20"/>
          <w:szCs w:val="20"/>
        </w:rPr>
        <w:t>(millel on seos Eestiga)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3119"/>
        <w:gridCol w:w="2409"/>
      </w:tblGrid>
      <w:tr w:rsidR="005508E5" w:rsidRPr="00287B6E" w14:paraId="547F2A9C" w14:textId="77777777" w:rsidTr="00E672AE">
        <w:trPr>
          <w:trHeight w:val="298"/>
        </w:trPr>
        <w:tc>
          <w:tcPr>
            <w:tcW w:w="1129" w:type="dxa"/>
            <w:noWrap/>
            <w:hideMark/>
          </w:tcPr>
          <w:p w14:paraId="698698C2" w14:textId="77777777" w:rsidR="005508E5" w:rsidRPr="006521CB" w:rsidRDefault="005508E5" w:rsidP="00E672AE">
            <w:pPr>
              <w:spacing w:before="0"/>
              <w:jc w:val="center"/>
              <w:rPr>
                <w:bCs/>
                <w:sz w:val="20"/>
                <w:szCs w:val="20"/>
              </w:rPr>
            </w:pPr>
          </w:p>
        </w:tc>
        <w:tc>
          <w:tcPr>
            <w:tcW w:w="2410" w:type="dxa"/>
            <w:noWrap/>
            <w:hideMark/>
          </w:tcPr>
          <w:p w14:paraId="6B9F2A28" w14:textId="77777777" w:rsidR="005508E5" w:rsidRPr="006521CB" w:rsidRDefault="005508E5" w:rsidP="00E672AE">
            <w:pPr>
              <w:spacing w:before="0"/>
              <w:jc w:val="center"/>
              <w:rPr>
                <w:bCs/>
                <w:sz w:val="20"/>
                <w:szCs w:val="20"/>
              </w:rPr>
            </w:pPr>
            <w:r w:rsidRPr="006521CB">
              <w:rPr>
                <w:bCs/>
                <w:sz w:val="20"/>
                <w:szCs w:val="20"/>
              </w:rPr>
              <w:t>ICO-de koguarv</w:t>
            </w:r>
          </w:p>
        </w:tc>
        <w:tc>
          <w:tcPr>
            <w:tcW w:w="3119" w:type="dxa"/>
            <w:noWrap/>
            <w:hideMark/>
          </w:tcPr>
          <w:p w14:paraId="54213F02" w14:textId="77777777" w:rsidR="005508E5" w:rsidRPr="006521CB" w:rsidRDefault="005508E5" w:rsidP="00E672AE">
            <w:pPr>
              <w:spacing w:before="0"/>
              <w:jc w:val="center"/>
              <w:rPr>
                <w:bCs/>
                <w:sz w:val="20"/>
                <w:szCs w:val="20"/>
              </w:rPr>
            </w:pPr>
            <w:r w:rsidRPr="006521CB">
              <w:rPr>
                <w:bCs/>
                <w:sz w:val="20"/>
                <w:szCs w:val="20"/>
              </w:rPr>
              <w:t>ICO-de arv,</w:t>
            </w:r>
          </w:p>
          <w:p w14:paraId="1A7B20F2" w14:textId="77777777" w:rsidR="005508E5" w:rsidRPr="006521CB" w:rsidRDefault="005508E5" w:rsidP="00E672AE">
            <w:pPr>
              <w:spacing w:before="0"/>
              <w:jc w:val="center"/>
              <w:rPr>
                <w:bCs/>
                <w:sz w:val="20"/>
                <w:szCs w:val="20"/>
              </w:rPr>
            </w:pPr>
            <w:r w:rsidRPr="006521CB">
              <w:rPr>
                <w:bCs/>
                <w:sz w:val="20"/>
                <w:szCs w:val="20"/>
              </w:rPr>
              <w:t>kaasatud kapitali maht on teada</w:t>
            </w:r>
          </w:p>
        </w:tc>
        <w:tc>
          <w:tcPr>
            <w:tcW w:w="2409" w:type="dxa"/>
            <w:noWrap/>
            <w:hideMark/>
          </w:tcPr>
          <w:p w14:paraId="00ABA901" w14:textId="77777777" w:rsidR="005508E5" w:rsidRPr="006521CB" w:rsidRDefault="005508E5" w:rsidP="00E672AE">
            <w:pPr>
              <w:spacing w:before="0"/>
              <w:jc w:val="center"/>
              <w:rPr>
                <w:bCs/>
                <w:sz w:val="20"/>
                <w:szCs w:val="20"/>
              </w:rPr>
            </w:pPr>
            <w:r w:rsidRPr="006521CB">
              <w:rPr>
                <w:bCs/>
                <w:sz w:val="20"/>
                <w:szCs w:val="20"/>
              </w:rPr>
              <w:t>ICO-de maht (</w:t>
            </w:r>
            <w:r>
              <w:rPr>
                <w:bCs/>
                <w:sz w:val="20"/>
                <w:szCs w:val="20"/>
              </w:rPr>
              <w:t>eurodes</w:t>
            </w:r>
            <w:r w:rsidRPr="006521CB">
              <w:rPr>
                <w:bCs/>
                <w:sz w:val="20"/>
                <w:szCs w:val="20"/>
              </w:rPr>
              <w:t>)</w:t>
            </w:r>
          </w:p>
        </w:tc>
      </w:tr>
      <w:tr w:rsidR="005508E5" w:rsidRPr="00287B6E" w14:paraId="73326454" w14:textId="77777777" w:rsidTr="00E672AE">
        <w:trPr>
          <w:trHeight w:val="298"/>
        </w:trPr>
        <w:tc>
          <w:tcPr>
            <w:tcW w:w="1129" w:type="dxa"/>
            <w:noWrap/>
            <w:hideMark/>
          </w:tcPr>
          <w:p w14:paraId="2D9272B3" w14:textId="77777777" w:rsidR="005508E5" w:rsidRPr="006521CB" w:rsidRDefault="005508E5" w:rsidP="00E672AE">
            <w:pPr>
              <w:spacing w:before="0"/>
              <w:rPr>
                <w:bCs/>
                <w:sz w:val="20"/>
                <w:szCs w:val="20"/>
              </w:rPr>
            </w:pPr>
            <w:r w:rsidRPr="006521CB">
              <w:rPr>
                <w:bCs/>
                <w:sz w:val="20"/>
                <w:szCs w:val="20"/>
              </w:rPr>
              <w:t>2017</w:t>
            </w:r>
          </w:p>
        </w:tc>
        <w:tc>
          <w:tcPr>
            <w:tcW w:w="2410" w:type="dxa"/>
            <w:noWrap/>
            <w:hideMark/>
          </w:tcPr>
          <w:p w14:paraId="6646FBAA" w14:textId="77777777" w:rsidR="005508E5" w:rsidRPr="006521CB" w:rsidRDefault="005508E5" w:rsidP="00E672AE">
            <w:pPr>
              <w:spacing w:before="0"/>
              <w:rPr>
                <w:bCs/>
                <w:sz w:val="20"/>
                <w:szCs w:val="20"/>
              </w:rPr>
            </w:pPr>
            <w:r w:rsidRPr="006521CB">
              <w:rPr>
                <w:bCs/>
                <w:sz w:val="20"/>
                <w:szCs w:val="20"/>
              </w:rPr>
              <w:t>28</w:t>
            </w:r>
          </w:p>
        </w:tc>
        <w:tc>
          <w:tcPr>
            <w:tcW w:w="3119" w:type="dxa"/>
            <w:noWrap/>
            <w:hideMark/>
          </w:tcPr>
          <w:p w14:paraId="4C31A344" w14:textId="77777777" w:rsidR="005508E5" w:rsidRPr="006521CB" w:rsidRDefault="005508E5" w:rsidP="00E672AE">
            <w:pPr>
              <w:spacing w:before="0"/>
              <w:rPr>
                <w:bCs/>
                <w:sz w:val="20"/>
                <w:szCs w:val="20"/>
              </w:rPr>
            </w:pPr>
            <w:r w:rsidRPr="006521CB">
              <w:rPr>
                <w:bCs/>
                <w:sz w:val="20"/>
                <w:szCs w:val="20"/>
              </w:rPr>
              <w:t>24</w:t>
            </w:r>
          </w:p>
        </w:tc>
        <w:tc>
          <w:tcPr>
            <w:tcW w:w="2409" w:type="dxa"/>
            <w:noWrap/>
            <w:hideMark/>
          </w:tcPr>
          <w:p w14:paraId="275140DF" w14:textId="77777777" w:rsidR="005508E5" w:rsidRPr="006521CB" w:rsidRDefault="005508E5" w:rsidP="00E672AE">
            <w:pPr>
              <w:spacing w:before="0"/>
              <w:rPr>
                <w:bCs/>
                <w:sz w:val="20"/>
                <w:szCs w:val="20"/>
              </w:rPr>
            </w:pPr>
            <w:r>
              <w:rPr>
                <w:bCs/>
                <w:sz w:val="20"/>
                <w:szCs w:val="20"/>
              </w:rPr>
              <w:t>198 mln</w:t>
            </w:r>
          </w:p>
        </w:tc>
      </w:tr>
      <w:tr w:rsidR="005508E5" w:rsidRPr="00287B6E" w14:paraId="73C61E52" w14:textId="77777777" w:rsidTr="00E672AE">
        <w:trPr>
          <w:trHeight w:val="298"/>
        </w:trPr>
        <w:tc>
          <w:tcPr>
            <w:tcW w:w="1129" w:type="dxa"/>
            <w:noWrap/>
            <w:hideMark/>
          </w:tcPr>
          <w:p w14:paraId="6F3FE8FE" w14:textId="77777777" w:rsidR="005508E5" w:rsidRPr="006521CB" w:rsidRDefault="005508E5" w:rsidP="00E672AE">
            <w:pPr>
              <w:spacing w:before="0"/>
              <w:rPr>
                <w:bCs/>
                <w:sz w:val="20"/>
                <w:szCs w:val="20"/>
              </w:rPr>
            </w:pPr>
            <w:r w:rsidRPr="006521CB">
              <w:rPr>
                <w:bCs/>
                <w:sz w:val="20"/>
                <w:szCs w:val="20"/>
              </w:rPr>
              <w:t>2018</w:t>
            </w:r>
          </w:p>
        </w:tc>
        <w:tc>
          <w:tcPr>
            <w:tcW w:w="2410" w:type="dxa"/>
            <w:noWrap/>
            <w:hideMark/>
          </w:tcPr>
          <w:p w14:paraId="01DA497F" w14:textId="77777777" w:rsidR="005508E5" w:rsidRPr="006521CB" w:rsidRDefault="005508E5" w:rsidP="00E672AE">
            <w:pPr>
              <w:spacing w:before="0"/>
              <w:rPr>
                <w:bCs/>
                <w:sz w:val="20"/>
                <w:szCs w:val="20"/>
              </w:rPr>
            </w:pPr>
            <w:r w:rsidRPr="006521CB">
              <w:rPr>
                <w:bCs/>
                <w:sz w:val="20"/>
                <w:szCs w:val="20"/>
              </w:rPr>
              <w:t>110</w:t>
            </w:r>
          </w:p>
        </w:tc>
        <w:tc>
          <w:tcPr>
            <w:tcW w:w="3119" w:type="dxa"/>
            <w:noWrap/>
            <w:hideMark/>
          </w:tcPr>
          <w:p w14:paraId="2E422BEF" w14:textId="77777777" w:rsidR="005508E5" w:rsidRPr="006521CB" w:rsidRDefault="005508E5" w:rsidP="00E672AE">
            <w:pPr>
              <w:spacing w:before="0"/>
              <w:rPr>
                <w:bCs/>
                <w:sz w:val="20"/>
                <w:szCs w:val="20"/>
              </w:rPr>
            </w:pPr>
            <w:r w:rsidRPr="006521CB">
              <w:rPr>
                <w:bCs/>
                <w:sz w:val="20"/>
                <w:szCs w:val="20"/>
              </w:rPr>
              <w:t>50</w:t>
            </w:r>
          </w:p>
        </w:tc>
        <w:tc>
          <w:tcPr>
            <w:tcW w:w="2409" w:type="dxa"/>
            <w:noWrap/>
            <w:hideMark/>
          </w:tcPr>
          <w:p w14:paraId="3B9C3C67" w14:textId="77777777" w:rsidR="005508E5" w:rsidRPr="006521CB" w:rsidRDefault="005508E5" w:rsidP="00E672AE">
            <w:pPr>
              <w:spacing w:before="0"/>
              <w:rPr>
                <w:bCs/>
                <w:sz w:val="20"/>
                <w:szCs w:val="20"/>
              </w:rPr>
            </w:pPr>
            <w:r>
              <w:rPr>
                <w:bCs/>
                <w:sz w:val="20"/>
                <w:szCs w:val="20"/>
              </w:rPr>
              <w:t>148 mln</w:t>
            </w:r>
          </w:p>
        </w:tc>
      </w:tr>
    </w:tbl>
    <w:p w14:paraId="12862701" w14:textId="77777777" w:rsidR="005508E5" w:rsidRDefault="005508E5" w:rsidP="005508E5">
      <w:pPr>
        <w:spacing w:before="0"/>
        <w:rPr>
          <w:bCs/>
          <w:sz w:val="22"/>
          <w:szCs w:val="22"/>
        </w:rPr>
      </w:pPr>
    </w:p>
    <w:p w14:paraId="3F93048A" w14:textId="77777777" w:rsidR="005508E5" w:rsidRDefault="005508E5" w:rsidP="005508E5">
      <w:pPr>
        <w:spacing w:before="0"/>
        <w:rPr>
          <w:bCs/>
          <w:sz w:val="22"/>
          <w:szCs w:val="22"/>
        </w:rPr>
      </w:pPr>
      <w:r>
        <w:rPr>
          <w:bCs/>
          <w:sz w:val="22"/>
          <w:szCs w:val="22"/>
        </w:rPr>
        <w:t xml:space="preserve">Lisaks on koostanud rahvusvahelisi võrdlusi </w:t>
      </w:r>
      <w:proofErr w:type="spellStart"/>
      <w:r>
        <w:rPr>
          <w:bCs/>
          <w:sz w:val="22"/>
          <w:szCs w:val="22"/>
        </w:rPr>
        <w:t>token’te</w:t>
      </w:r>
      <w:proofErr w:type="spellEnd"/>
      <w:r>
        <w:rPr>
          <w:bCs/>
          <w:sz w:val="22"/>
          <w:szCs w:val="22"/>
        </w:rPr>
        <w:t xml:space="preserve"> emiteerimisest ka audiitorbüroo PWC. Nende avaldatud ülevaate kohaselt oli Eesti hoidmas maailmas 6. kohta aastal 2019 läbi viidud emissioonide osas.</w:t>
      </w:r>
      <w:r w:rsidRPr="00B12BBF">
        <w:rPr>
          <w:rFonts w:eastAsiaTheme="minorEastAsia"/>
          <w:sz w:val="22"/>
          <w:szCs w:val="22"/>
          <w:vertAlign w:val="superscript"/>
        </w:rPr>
        <w:footnoteReference w:id="39"/>
      </w:r>
      <w:r>
        <w:rPr>
          <w:bCs/>
          <w:sz w:val="22"/>
          <w:szCs w:val="22"/>
        </w:rPr>
        <w:t xml:space="preserve"> Selle ülevaate kohaselt peetakse Eestit jätkuvalt üheks atraktiivseks kohaks, kus selliseid emissioone korraldada.</w:t>
      </w:r>
    </w:p>
    <w:p w14:paraId="0621FE4C" w14:textId="77777777" w:rsidR="005508E5" w:rsidRDefault="005508E5" w:rsidP="005508E5">
      <w:pPr>
        <w:spacing w:before="0"/>
        <w:rPr>
          <w:bCs/>
          <w:sz w:val="22"/>
          <w:szCs w:val="22"/>
        </w:rPr>
      </w:pPr>
    </w:p>
    <w:p w14:paraId="61256D1E" w14:textId="77777777" w:rsidR="005508E5" w:rsidRPr="00E318DA" w:rsidRDefault="005508E5" w:rsidP="005508E5">
      <w:pPr>
        <w:spacing w:before="0"/>
        <w:rPr>
          <w:bCs/>
          <w:sz w:val="22"/>
          <w:szCs w:val="22"/>
        </w:rPr>
      </w:pPr>
      <w:r w:rsidRPr="00E318DA">
        <w:rPr>
          <w:bCs/>
          <w:sz w:val="22"/>
          <w:szCs w:val="22"/>
        </w:rPr>
        <w:t>Samas tuleb märkida, et ei pruugi olla selge, mis tingimustel klassifitseeritakse vastavad kapitali kaasamise viisid ICO-</w:t>
      </w:r>
      <w:proofErr w:type="spellStart"/>
      <w:r>
        <w:rPr>
          <w:bCs/>
          <w:sz w:val="22"/>
          <w:szCs w:val="22"/>
        </w:rPr>
        <w:t>deks</w:t>
      </w:r>
      <w:proofErr w:type="spellEnd"/>
      <w:r>
        <w:rPr>
          <w:bCs/>
          <w:sz w:val="22"/>
          <w:szCs w:val="22"/>
        </w:rPr>
        <w:t xml:space="preserve"> või hoopis pigem STO-</w:t>
      </w:r>
      <w:proofErr w:type="spellStart"/>
      <w:r>
        <w:rPr>
          <w:bCs/>
          <w:sz w:val="22"/>
          <w:szCs w:val="22"/>
        </w:rPr>
        <w:t>deks</w:t>
      </w:r>
      <w:proofErr w:type="spellEnd"/>
      <w:r>
        <w:rPr>
          <w:bCs/>
          <w:sz w:val="22"/>
          <w:szCs w:val="22"/>
        </w:rPr>
        <w:t xml:space="preserve"> (</w:t>
      </w:r>
      <w:proofErr w:type="spellStart"/>
      <w:r w:rsidRPr="006521CB">
        <w:rPr>
          <w:bCs/>
          <w:i/>
          <w:sz w:val="22"/>
          <w:szCs w:val="22"/>
        </w:rPr>
        <w:t>securit</w:t>
      </w:r>
      <w:r>
        <w:rPr>
          <w:bCs/>
          <w:i/>
          <w:sz w:val="22"/>
          <w:szCs w:val="22"/>
        </w:rPr>
        <w:t>y</w:t>
      </w:r>
      <w:proofErr w:type="spellEnd"/>
      <w:r w:rsidRPr="006521CB">
        <w:rPr>
          <w:bCs/>
          <w:i/>
          <w:sz w:val="22"/>
          <w:szCs w:val="22"/>
        </w:rPr>
        <w:t xml:space="preserve"> </w:t>
      </w:r>
      <w:proofErr w:type="spellStart"/>
      <w:r w:rsidRPr="006521CB">
        <w:rPr>
          <w:bCs/>
          <w:i/>
          <w:sz w:val="22"/>
          <w:szCs w:val="22"/>
        </w:rPr>
        <w:t>token</w:t>
      </w:r>
      <w:proofErr w:type="spellEnd"/>
      <w:r w:rsidRPr="006521CB">
        <w:rPr>
          <w:bCs/>
          <w:i/>
          <w:sz w:val="22"/>
          <w:szCs w:val="22"/>
        </w:rPr>
        <w:t xml:space="preserve"> </w:t>
      </w:r>
      <w:proofErr w:type="spellStart"/>
      <w:r w:rsidRPr="006521CB">
        <w:rPr>
          <w:bCs/>
          <w:i/>
          <w:sz w:val="22"/>
          <w:szCs w:val="22"/>
        </w:rPr>
        <w:t>offering</w:t>
      </w:r>
      <w:proofErr w:type="spellEnd"/>
      <w:r>
        <w:rPr>
          <w:bCs/>
          <w:sz w:val="22"/>
          <w:szCs w:val="22"/>
        </w:rPr>
        <w:t>).</w:t>
      </w:r>
      <w:r w:rsidRPr="00B12BBF">
        <w:rPr>
          <w:rFonts w:eastAsiaTheme="minorEastAsia"/>
          <w:sz w:val="22"/>
          <w:szCs w:val="22"/>
          <w:vertAlign w:val="superscript"/>
        </w:rPr>
        <w:footnoteReference w:id="40"/>
      </w:r>
    </w:p>
    <w:p w14:paraId="73D80AFC" w14:textId="77777777" w:rsidR="005508E5" w:rsidRDefault="005508E5" w:rsidP="005508E5">
      <w:pPr>
        <w:spacing w:before="0"/>
        <w:rPr>
          <w:bCs/>
          <w:sz w:val="22"/>
          <w:szCs w:val="22"/>
        </w:rPr>
      </w:pPr>
    </w:p>
    <w:p w14:paraId="422A65C0" w14:textId="77777777" w:rsidR="005508E5" w:rsidRPr="00B22966" w:rsidRDefault="005508E5" w:rsidP="00B426EA">
      <w:pPr>
        <w:numPr>
          <w:ilvl w:val="2"/>
          <w:numId w:val="9"/>
        </w:numPr>
        <w:ind w:hanging="810"/>
        <w:rPr>
          <w:b/>
          <w:bCs/>
          <w:sz w:val="22"/>
          <w:szCs w:val="22"/>
        </w:rPr>
      </w:pPr>
      <w:r w:rsidRPr="00B22966">
        <w:rPr>
          <w:b/>
          <w:bCs/>
          <w:sz w:val="22"/>
          <w:szCs w:val="22"/>
        </w:rPr>
        <w:t>Virtuaalvääringu teenuse osutajad</w:t>
      </w:r>
      <w:r>
        <w:rPr>
          <w:b/>
          <w:bCs/>
          <w:sz w:val="22"/>
          <w:szCs w:val="22"/>
        </w:rPr>
        <w:t xml:space="preserve"> Eestis</w:t>
      </w:r>
    </w:p>
    <w:p w14:paraId="6F8E487F" w14:textId="77777777" w:rsidR="005508E5" w:rsidRPr="00D61C51" w:rsidRDefault="005508E5" w:rsidP="005508E5">
      <w:pPr>
        <w:spacing w:before="0"/>
        <w:rPr>
          <w:sz w:val="22"/>
          <w:szCs w:val="22"/>
        </w:rPr>
      </w:pPr>
    </w:p>
    <w:p w14:paraId="4080107F" w14:textId="6E4AE687" w:rsidR="005508E5" w:rsidRDefault="005508E5" w:rsidP="005508E5">
      <w:pPr>
        <w:spacing w:before="0"/>
        <w:rPr>
          <w:bCs/>
          <w:sz w:val="22"/>
          <w:szCs w:val="22"/>
        </w:rPr>
      </w:pPr>
      <w:r>
        <w:rPr>
          <w:bCs/>
          <w:sz w:val="22"/>
          <w:szCs w:val="22"/>
        </w:rPr>
        <w:t>Kõige hilisema ülevaate Eesti virtuaalvääringu teenuse osutajate kohta on võimalik leida Rahapesu andmebüroo 2022. a. alguses avalikustatud uuringust</w:t>
      </w:r>
      <w:r w:rsidRPr="00B12BBF">
        <w:rPr>
          <w:rFonts w:eastAsiaTheme="minorEastAsia"/>
          <w:sz w:val="22"/>
          <w:szCs w:val="22"/>
          <w:vertAlign w:val="superscript"/>
        </w:rPr>
        <w:footnoteReference w:id="41"/>
      </w:r>
      <w:r>
        <w:rPr>
          <w:bCs/>
          <w:sz w:val="22"/>
          <w:szCs w:val="22"/>
        </w:rPr>
        <w:t xml:space="preserve">. </w:t>
      </w:r>
      <w:r w:rsidRPr="00045E97">
        <w:rPr>
          <w:bCs/>
          <w:sz w:val="22"/>
          <w:szCs w:val="22"/>
        </w:rPr>
        <w:t>Seisuga 31. detsember 2021, mil</w:t>
      </w:r>
      <w:r>
        <w:rPr>
          <w:bCs/>
          <w:sz w:val="22"/>
          <w:szCs w:val="22"/>
        </w:rPr>
        <w:t xml:space="preserve"> eeltoodud</w:t>
      </w:r>
      <w:r w:rsidRPr="00045E97">
        <w:rPr>
          <w:bCs/>
          <w:sz w:val="22"/>
          <w:szCs w:val="22"/>
        </w:rPr>
        <w:t xml:space="preserve"> uuring valmis, oli Eestis </w:t>
      </w:r>
      <w:r>
        <w:rPr>
          <w:bCs/>
          <w:sz w:val="22"/>
          <w:szCs w:val="22"/>
        </w:rPr>
        <w:t xml:space="preserve">Rahapesu andmebüroo poolt </w:t>
      </w:r>
      <w:r w:rsidRPr="00045E97">
        <w:rPr>
          <w:bCs/>
          <w:sz w:val="22"/>
          <w:szCs w:val="22"/>
        </w:rPr>
        <w:t>välja antud 381 kehtivat</w:t>
      </w:r>
      <w:r>
        <w:rPr>
          <w:bCs/>
          <w:sz w:val="22"/>
          <w:szCs w:val="22"/>
        </w:rPr>
        <w:t xml:space="preserve"> </w:t>
      </w:r>
      <w:r w:rsidRPr="00045E97">
        <w:rPr>
          <w:bCs/>
          <w:sz w:val="22"/>
          <w:szCs w:val="22"/>
        </w:rPr>
        <w:t>tegevusluba virtuaalvääringu teenuse osutamiseks.</w:t>
      </w:r>
      <w:r>
        <w:rPr>
          <w:bCs/>
          <w:sz w:val="22"/>
          <w:szCs w:val="22"/>
        </w:rPr>
        <w:t xml:space="preserve"> 2022. a. 5. juuli seisuga oli aga majandustegevuse registri kohaselt tegevusluba alles 193 virtuaalvääringu teenuse osutajal. Tõenäoliselt see arv väheneb 2022. a. </w:t>
      </w:r>
      <w:r w:rsidR="00B12BBF">
        <w:rPr>
          <w:bCs/>
          <w:sz w:val="22"/>
          <w:szCs w:val="22"/>
        </w:rPr>
        <w:t>teises</w:t>
      </w:r>
      <w:r>
        <w:rPr>
          <w:bCs/>
          <w:sz w:val="22"/>
          <w:szCs w:val="22"/>
        </w:rPr>
        <w:t xml:space="preserve"> pooles veelgi.</w:t>
      </w:r>
    </w:p>
    <w:p w14:paraId="0C05A265" w14:textId="77777777" w:rsidR="005508E5" w:rsidRDefault="005508E5" w:rsidP="005508E5">
      <w:pPr>
        <w:spacing w:before="0"/>
        <w:rPr>
          <w:bCs/>
          <w:sz w:val="22"/>
          <w:szCs w:val="22"/>
        </w:rPr>
      </w:pPr>
    </w:p>
    <w:p w14:paraId="4F33B064" w14:textId="77777777" w:rsidR="005508E5" w:rsidRDefault="005508E5" w:rsidP="005508E5">
      <w:pPr>
        <w:spacing w:before="0"/>
        <w:rPr>
          <w:bCs/>
          <w:sz w:val="22"/>
          <w:szCs w:val="22"/>
        </w:rPr>
      </w:pPr>
      <w:r>
        <w:rPr>
          <w:bCs/>
          <w:sz w:val="22"/>
          <w:szCs w:val="22"/>
        </w:rPr>
        <w:t>Rahapesu andmebüroo andmetel oli aga m</w:t>
      </w:r>
      <w:r w:rsidRPr="00045E97">
        <w:rPr>
          <w:bCs/>
          <w:sz w:val="22"/>
          <w:szCs w:val="22"/>
        </w:rPr>
        <w:t>itteametliku statistika kohaselt 2021. aasta keskpaiga seisuga ligi 55% maailma</w:t>
      </w:r>
      <w:r>
        <w:rPr>
          <w:bCs/>
          <w:sz w:val="22"/>
          <w:szCs w:val="22"/>
        </w:rPr>
        <w:t xml:space="preserve"> </w:t>
      </w:r>
      <w:r w:rsidRPr="00045E97">
        <w:rPr>
          <w:bCs/>
          <w:sz w:val="22"/>
          <w:szCs w:val="22"/>
        </w:rPr>
        <w:t xml:space="preserve">kõikidest virtuaalvääringu teenuse pakkujatest registreeritud Eestis. </w:t>
      </w:r>
      <w:r>
        <w:rPr>
          <w:bCs/>
          <w:sz w:val="22"/>
          <w:szCs w:val="22"/>
        </w:rPr>
        <w:t xml:space="preserve">See on kindlasti üsna märkimisväärne number. </w:t>
      </w:r>
    </w:p>
    <w:p w14:paraId="0D02D2E9" w14:textId="77777777" w:rsidR="005508E5" w:rsidRDefault="005508E5" w:rsidP="005508E5">
      <w:pPr>
        <w:spacing w:before="0"/>
        <w:rPr>
          <w:bCs/>
          <w:sz w:val="22"/>
          <w:szCs w:val="22"/>
        </w:rPr>
      </w:pPr>
    </w:p>
    <w:p w14:paraId="4061DB4F" w14:textId="1D70CB47" w:rsidR="005508E5" w:rsidRDefault="005508E5" w:rsidP="005508E5">
      <w:pPr>
        <w:spacing w:before="0"/>
        <w:rPr>
          <w:bCs/>
          <w:sz w:val="22"/>
          <w:szCs w:val="22"/>
        </w:rPr>
      </w:pPr>
      <w:r>
        <w:rPr>
          <w:bCs/>
          <w:sz w:val="22"/>
          <w:szCs w:val="22"/>
        </w:rPr>
        <w:t>Aasta alguses</w:t>
      </w:r>
      <w:r w:rsidRPr="005C237E">
        <w:rPr>
          <w:bCs/>
          <w:sz w:val="22"/>
          <w:szCs w:val="22"/>
        </w:rPr>
        <w:t xml:space="preserve"> Eestis väljaantud tegevusloaga virtuaalvääringu teenuse</w:t>
      </w:r>
      <w:r>
        <w:rPr>
          <w:bCs/>
          <w:sz w:val="22"/>
          <w:szCs w:val="22"/>
        </w:rPr>
        <w:t xml:space="preserve"> </w:t>
      </w:r>
      <w:r w:rsidRPr="005C237E">
        <w:rPr>
          <w:bCs/>
          <w:sz w:val="22"/>
          <w:szCs w:val="22"/>
        </w:rPr>
        <w:t>pakkujatel o</w:t>
      </w:r>
      <w:r>
        <w:rPr>
          <w:bCs/>
          <w:sz w:val="22"/>
          <w:szCs w:val="22"/>
        </w:rPr>
        <w:t>li</w:t>
      </w:r>
      <w:r w:rsidRPr="005C237E">
        <w:rPr>
          <w:bCs/>
          <w:sz w:val="22"/>
          <w:szCs w:val="22"/>
        </w:rPr>
        <w:t xml:space="preserve"> 4,8 miljonit klienti, neist 2 miljonit on aktiivsed kliendid. Klientide arv on</w:t>
      </w:r>
      <w:r>
        <w:rPr>
          <w:bCs/>
          <w:sz w:val="22"/>
          <w:szCs w:val="22"/>
        </w:rPr>
        <w:t xml:space="preserve"> </w:t>
      </w:r>
      <w:r w:rsidRPr="005C237E">
        <w:rPr>
          <w:bCs/>
          <w:sz w:val="22"/>
          <w:szCs w:val="22"/>
        </w:rPr>
        <w:t>võrreldes 2019. aastaga kasvanud ligi 4,5 korda.</w:t>
      </w:r>
      <w:r>
        <w:rPr>
          <w:bCs/>
          <w:sz w:val="22"/>
          <w:szCs w:val="22"/>
        </w:rPr>
        <w:t xml:space="preserve"> Aasta alguses</w:t>
      </w:r>
      <w:r w:rsidRPr="005C237E">
        <w:rPr>
          <w:bCs/>
          <w:sz w:val="22"/>
          <w:szCs w:val="22"/>
        </w:rPr>
        <w:t xml:space="preserve"> aktiivselt tegutsevate Eesti tegevusloaga virtuaalvääringu teenuse pakkujate</w:t>
      </w:r>
      <w:r>
        <w:rPr>
          <w:bCs/>
          <w:sz w:val="22"/>
          <w:szCs w:val="22"/>
        </w:rPr>
        <w:t xml:space="preserve"> </w:t>
      </w:r>
      <w:r w:rsidRPr="005C237E">
        <w:rPr>
          <w:bCs/>
          <w:sz w:val="22"/>
          <w:szCs w:val="22"/>
        </w:rPr>
        <w:t>käive oli kokku 20,3 miljardit eurot (juulist 2020</w:t>
      </w:r>
      <w:r>
        <w:rPr>
          <w:bCs/>
          <w:sz w:val="22"/>
          <w:szCs w:val="22"/>
        </w:rPr>
        <w:t>.a</w:t>
      </w:r>
      <w:r w:rsidRPr="005C237E">
        <w:rPr>
          <w:bCs/>
          <w:sz w:val="22"/>
          <w:szCs w:val="22"/>
        </w:rPr>
        <w:t xml:space="preserve"> juulini 2021</w:t>
      </w:r>
      <w:r>
        <w:rPr>
          <w:bCs/>
          <w:sz w:val="22"/>
          <w:szCs w:val="22"/>
        </w:rPr>
        <w:t>.a</w:t>
      </w:r>
      <w:r w:rsidRPr="005C237E">
        <w:rPr>
          <w:bCs/>
          <w:sz w:val="22"/>
          <w:szCs w:val="22"/>
        </w:rPr>
        <w:t>), tehinguid kokku 66,3</w:t>
      </w:r>
      <w:r>
        <w:rPr>
          <w:bCs/>
          <w:sz w:val="22"/>
          <w:szCs w:val="22"/>
        </w:rPr>
        <w:t xml:space="preserve"> </w:t>
      </w:r>
      <w:r w:rsidRPr="005C237E">
        <w:rPr>
          <w:bCs/>
          <w:sz w:val="22"/>
          <w:szCs w:val="22"/>
        </w:rPr>
        <w:t>miljonit.</w:t>
      </w:r>
    </w:p>
    <w:p w14:paraId="0527350D" w14:textId="77777777" w:rsidR="005508E5" w:rsidRDefault="005508E5" w:rsidP="005508E5">
      <w:pPr>
        <w:spacing w:before="0"/>
        <w:rPr>
          <w:bCs/>
          <w:sz w:val="22"/>
          <w:szCs w:val="22"/>
        </w:rPr>
      </w:pPr>
    </w:p>
    <w:p w14:paraId="4C2AF4E9" w14:textId="77777777" w:rsidR="005508E5" w:rsidRDefault="005508E5" w:rsidP="005508E5">
      <w:pPr>
        <w:spacing w:before="0"/>
        <w:rPr>
          <w:bCs/>
          <w:sz w:val="22"/>
          <w:szCs w:val="22"/>
        </w:rPr>
      </w:pPr>
      <w:r w:rsidRPr="005C237E">
        <w:rPr>
          <w:bCs/>
          <w:sz w:val="22"/>
          <w:szCs w:val="22"/>
        </w:rPr>
        <w:t>Virtuaalvääringu teenuste valdkond on käivete ja ka klientide alusel selgelt</w:t>
      </w:r>
      <w:r>
        <w:rPr>
          <w:bCs/>
          <w:sz w:val="22"/>
          <w:szCs w:val="22"/>
        </w:rPr>
        <w:t xml:space="preserve"> </w:t>
      </w:r>
      <w:r w:rsidRPr="005C237E">
        <w:rPr>
          <w:bCs/>
          <w:sz w:val="22"/>
          <w:szCs w:val="22"/>
        </w:rPr>
        <w:t>kontsentreerunud väheste suurte teenusepakkujate kätte. Enam kui 85%</w:t>
      </w:r>
      <w:r>
        <w:rPr>
          <w:bCs/>
          <w:sz w:val="22"/>
          <w:szCs w:val="22"/>
        </w:rPr>
        <w:t xml:space="preserve"> </w:t>
      </w:r>
      <w:r w:rsidRPr="005C237E">
        <w:rPr>
          <w:bCs/>
          <w:sz w:val="22"/>
          <w:szCs w:val="22"/>
        </w:rPr>
        <w:t>virtuaalvääringu teenuse valdkonna käibest (17,7 miljardit eurot) andsid 15</w:t>
      </w:r>
      <w:r>
        <w:rPr>
          <w:bCs/>
          <w:sz w:val="22"/>
          <w:szCs w:val="22"/>
        </w:rPr>
        <w:t xml:space="preserve"> </w:t>
      </w:r>
      <w:r w:rsidRPr="005C237E">
        <w:rPr>
          <w:bCs/>
          <w:sz w:val="22"/>
          <w:szCs w:val="22"/>
        </w:rPr>
        <w:t>teenusepakkujat (perioodil juuli 2020–juuli 2021).</w:t>
      </w:r>
    </w:p>
    <w:p w14:paraId="27026989" w14:textId="77777777" w:rsidR="005508E5" w:rsidRDefault="005508E5" w:rsidP="005508E5">
      <w:pPr>
        <w:spacing w:before="0"/>
        <w:rPr>
          <w:bCs/>
          <w:sz w:val="22"/>
          <w:szCs w:val="22"/>
        </w:rPr>
      </w:pPr>
    </w:p>
    <w:p w14:paraId="22976CE9" w14:textId="77777777" w:rsidR="005508E5" w:rsidRDefault="005508E5" w:rsidP="005508E5">
      <w:pPr>
        <w:spacing w:before="0"/>
        <w:rPr>
          <w:sz w:val="22"/>
          <w:szCs w:val="22"/>
        </w:rPr>
      </w:pPr>
      <w:r w:rsidRPr="00D61C51">
        <w:rPr>
          <w:sz w:val="22"/>
          <w:szCs w:val="22"/>
        </w:rPr>
        <w:t xml:space="preserve">91% Eestis tegevust alustanud virtuaalvääringu teenust pakkuvatest ettevõtetest võimaldasid </w:t>
      </w:r>
      <w:proofErr w:type="spellStart"/>
      <w:r>
        <w:rPr>
          <w:sz w:val="22"/>
          <w:szCs w:val="22"/>
        </w:rPr>
        <w:t>RABi</w:t>
      </w:r>
      <w:proofErr w:type="spellEnd"/>
      <w:r>
        <w:rPr>
          <w:sz w:val="22"/>
          <w:szCs w:val="22"/>
        </w:rPr>
        <w:t xml:space="preserve"> </w:t>
      </w:r>
      <w:r w:rsidRPr="00D61C51">
        <w:rPr>
          <w:sz w:val="22"/>
          <w:szCs w:val="22"/>
        </w:rPr>
        <w:t xml:space="preserve">küsitlusele vastamise hetkel kaubelda või hoiustada </w:t>
      </w:r>
      <w:proofErr w:type="spellStart"/>
      <w:r w:rsidRPr="00D61C51">
        <w:rPr>
          <w:sz w:val="22"/>
          <w:szCs w:val="22"/>
        </w:rPr>
        <w:t>Bitcoini</w:t>
      </w:r>
      <w:proofErr w:type="spellEnd"/>
      <w:r w:rsidRPr="00D61C51">
        <w:rPr>
          <w:sz w:val="22"/>
          <w:szCs w:val="22"/>
        </w:rPr>
        <w:t xml:space="preserve">. Levinud virtuaalvääringud, millega kaubeldakse, on ka </w:t>
      </w:r>
      <w:proofErr w:type="spellStart"/>
      <w:r w:rsidRPr="00D61C51">
        <w:rPr>
          <w:sz w:val="22"/>
          <w:szCs w:val="22"/>
        </w:rPr>
        <w:t>Ethereum</w:t>
      </w:r>
      <w:proofErr w:type="spellEnd"/>
      <w:r w:rsidRPr="00D61C51">
        <w:rPr>
          <w:sz w:val="22"/>
          <w:szCs w:val="22"/>
        </w:rPr>
        <w:t xml:space="preserve"> (67%), </w:t>
      </w:r>
      <w:proofErr w:type="spellStart"/>
      <w:r w:rsidRPr="00D61C51">
        <w:rPr>
          <w:sz w:val="22"/>
          <w:szCs w:val="22"/>
        </w:rPr>
        <w:t>Litecoin</w:t>
      </w:r>
      <w:proofErr w:type="spellEnd"/>
      <w:r w:rsidRPr="00D61C51">
        <w:rPr>
          <w:sz w:val="22"/>
          <w:szCs w:val="22"/>
        </w:rPr>
        <w:t xml:space="preserve"> (44%) ja </w:t>
      </w:r>
      <w:proofErr w:type="spellStart"/>
      <w:r w:rsidRPr="00D61C51">
        <w:rPr>
          <w:sz w:val="22"/>
          <w:szCs w:val="22"/>
        </w:rPr>
        <w:t>Bitcoin</w:t>
      </w:r>
      <w:proofErr w:type="spellEnd"/>
      <w:r w:rsidRPr="00D61C51">
        <w:rPr>
          <w:sz w:val="22"/>
          <w:szCs w:val="22"/>
        </w:rPr>
        <w:t xml:space="preserve"> Cash (44%).</w:t>
      </w:r>
      <w:r w:rsidRPr="00B12BBF">
        <w:rPr>
          <w:rFonts w:eastAsiaTheme="minorEastAsia"/>
          <w:sz w:val="22"/>
          <w:szCs w:val="22"/>
          <w:vertAlign w:val="superscript"/>
        </w:rPr>
        <w:footnoteReference w:id="42"/>
      </w:r>
    </w:p>
    <w:p w14:paraId="2639ECB4" w14:textId="77777777" w:rsidR="005508E5" w:rsidRPr="009A6437" w:rsidRDefault="005508E5" w:rsidP="005508E5"/>
    <w:p w14:paraId="2C031BEB" w14:textId="77777777" w:rsidR="005B2696" w:rsidRDefault="005B2696" w:rsidP="00D375E5">
      <w:pPr>
        <w:pStyle w:val="Heading1"/>
        <w:numPr>
          <w:ilvl w:val="0"/>
          <w:numId w:val="0"/>
        </w:numPr>
        <w:ind w:left="420"/>
        <w:rPr>
          <w:sz w:val="22"/>
          <w:szCs w:val="22"/>
          <w:lang w:val="et-EE"/>
        </w:rPr>
      </w:pPr>
      <w:bookmarkStart w:id="0" w:name="_Toc55577727"/>
    </w:p>
    <w:p w14:paraId="345A1BFC" w14:textId="06A0A299" w:rsidR="005B2696" w:rsidRPr="00137E34" w:rsidRDefault="00B9578A" w:rsidP="00D375E5">
      <w:pPr>
        <w:pStyle w:val="Heading1"/>
        <w:numPr>
          <w:ilvl w:val="0"/>
          <w:numId w:val="9"/>
        </w:numPr>
        <w:rPr>
          <w:sz w:val="22"/>
          <w:szCs w:val="22"/>
          <w:lang w:val="et-EE"/>
        </w:rPr>
      </w:pPr>
      <w:r>
        <w:rPr>
          <w:sz w:val="22"/>
          <w:szCs w:val="22"/>
          <w:lang w:val="et-EE"/>
        </w:rPr>
        <w:t>Eelnõu sisu ja võrdlev analüüs</w:t>
      </w:r>
    </w:p>
    <w:bookmarkEnd w:id="0"/>
    <w:p w14:paraId="0E52CFCE" w14:textId="77777777" w:rsidR="005B2696" w:rsidRDefault="005B2696" w:rsidP="00D375E5">
      <w:pPr>
        <w:spacing w:before="0"/>
        <w:jc w:val="left"/>
        <w:rPr>
          <w:b/>
          <w:sz w:val="22"/>
          <w:szCs w:val="22"/>
          <w:lang w:eastAsia="en-US"/>
        </w:rPr>
      </w:pPr>
    </w:p>
    <w:p w14:paraId="7C3881F1" w14:textId="305AD6FA" w:rsidR="00F81F42" w:rsidRPr="005B2696" w:rsidRDefault="00F81F42" w:rsidP="00D375E5">
      <w:pPr>
        <w:numPr>
          <w:ilvl w:val="1"/>
          <w:numId w:val="9"/>
        </w:numPr>
        <w:rPr>
          <w:b/>
          <w:sz w:val="22"/>
          <w:szCs w:val="22"/>
        </w:rPr>
      </w:pPr>
      <w:r w:rsidRPr="005B2696">
        <w:rPr>
          <w:b/>
          <w:sz w:val="22"/>
          <w:szCs w:val="22"/>
        </w:rPr>
        <w:lastRenderedPageBreak/>
        <w:t>Ülevaade eelnõu ülesehitusest</w:t>
      </w:r>
    </w:p>
    <w:p w14:paraId="19332A41" w14:textId="77777777" w:rsidR="00F81F42" w:rsidRPr="005A55CA" w:rsidRDefault="00F81F42" w:rsidP="00D375E5">
      <w:pPr>
        <w:spacing w:before="0"/>
        <w:jc w:val="left"/>
        <w:rPr>
          <w:b/>
          <w:sz w:val="22"/>
          <w:szCs w:val="22"/>
          <w:lang w:eastAsia="en-US"/>
        </w:rPr>
      </w:pPr>
    </w:p>
    <w:tbl>
      <w:tblPr>
        <w:tblW w:w="0" w:type="auto"/>
        <w:tblLook w:val="04A0" w:firstRow="1" w:lastRow="0" w:firstColumn="1" w:lastColumn="0" w:noHBand="0" w:noVBand="1"/>
      </w:tblPr>
      <w:tblGrid>
        <w:gridCol w:w="9061"/>
      </w:tblGrid>
      <w:tr w:rsidR="00F0085D" w:rsidRPr="00F21093" w14:paraId="29950B3C" w14:textId="77777777" w:rsidTr="00F0085D">
        <w:tc>
          <w:tcPr>
            <w:tcW w:w="9061" w:type="dxa"/>
          </w:tcPr>
          <w:p w14:paraId="41747129" w14:textId="77777777" w:rsidR="00AB753A" w:rsidRPr="00045571" w:rsidRDefault="00AB753A" w:rsidP="001B587B">
            <w:pPr>
              <w:pStyle w:val="TOC1"/>
              <w:jc w:val="right"/>
            </w:pPr>
            <w:r w:rsidRPr="00045571">
              <w:t>EELNÕU</w:t>
            </w:r>
          </w:p>
          <w:p w14:paraId="2B260EA8" w14:textId="77777777" w:rsidR="00AB753A" w:rsidRPr="001B587B" w:rsidRDefault="00AB753A" w:rsidP="009F065E">
            <w:pPr>
              <w:pStyle w:val="TOC1"/>
              <w:rPr>
                <w:b/>
                <w:bCs/>
              </w:rPr>
            </w:pPr>
            <w:proofErr w:type="spellStart"/>
            <w:r w:rsidRPr="001B587B">
              <w:rPr>
                <w:b/>
                <w:bCs/>
              </w:rPr>
              <w:t>Krüptovara</w:t>
            </w:r>
            <w:proofErr w:type="spellEnd"/>
            <w:r w:rsidRPr="001B587B">
              <w:rPr>
                <w:b/>
                <w:bCs/>
              </w:rPr>
              <w:t xml:space="preserve"> ja </w:t>
            </w:r>
            <w:proofErr w:type="spellStart"/>
            <w:r w:rsidRPr="001B587B">
              <w:rPr>
                <w:b/>
                <w:bCs/>
              </w:rPr>
              <w:t>ühisrahastuse</w:t>
            </w:r>
            <w:proofErr w:type="spellEnd"/>
            <w:r w:rsidRPr="001B587B">
              <w:rPr>
                <w:b/>
                <w:bCs/>
              </w:rPr>
              <w:t xml:space="preserve"> seadus</w:t>
            </w:r>
          </w:p>
          <w:p w14:paraId="6E0D17EC" w14:textId="77777777" w:rsidR="00AB753A" w:rsidRPr="00694D2E" w:rsidRDefault="00AB753A" w:rsidP="009F065E">
            <w:pPr>
              <w:pStyle w:val="TOC1"/>
              <w:rPr>
                <w:rFonts w:eastAsiaTheme="minorEastAsia"/>
                <w:noProof/>
                <w:sz w:val="22"/>
                <w:szCs w:val="22"/>
                <w:lang w:eastAsia="et-EE"/>
              </w:rPr>
            </w:pPr>
            <w:r>
              <w:br/>
            </w:r>
            <w:r w:rsidRPr="00045571">
              <w:fldChar w:fldCharType="begin"/>
            </w:r>
            <w:r w:rsidRPr="00045571">
              <w:instrText xml:space="preserve"> TOC \o "1-3" \n \u </w:instrText>
            </w:r>
            <w:r w:rsidRPr="00045571">
              <w:fldChar w:fldCharType="separate"/>
            </w:r>
            <w:r w:rsidRPr="00694D2E">
              <w:rPr>
                <w:noProof/>
                <w:sz w:val="22"/>
                <w:szCs w:val="22"/>
              </w:rPr>
              <w:t>1. peatükk</w:t>
            </w:r>
          </w:p>
          <w:p w14:paraId="075BB139" w14:textId="4D2FA888" w:rsidR="00AB753A" w:rsidRPr="00694D2E" w:rsidRDefault="00AB753A" w:rsidP="009F065E">
            <w:pPr>
              <w:pStyle w:val="TOC1"/>
              <w:rPr>
                <w:rFonts w:eastAsiaTheme="minorEastAsia"/>
                <w:noProof/>
                <w:lang w:eastAsia="et-EE"/>
              </w:rPr>
            </w:pPr>
            <w:r w:rsidRPr="00694D2E">
              <w:rPr>
                <w:noProof/>
              </w:rPr>
              <w:t>Üldsätted</w:t>
            </w:r>
            <w:r w:rsidRPr="00694D2E">
              <w:rPr>
                <w:noProof/>
              </w:rPr>
              <w:br/>
            </w:r>
          </w:p>
          <w:p w14:paraId="63AA8E2E" w14:textId="77777777" w:rsidR="00AB753A" w:rsidRPr="00694D2E" w:rsidRDefault="00AB753A" w:rsidP="00694D2E">
            <w:pPr>
              <w:pStyle w:val="TOC2"/>
              <w:spacing w:beforeLines="0" w:before="0" w:afterLines="0" w:after="0"/>
              <w:ind w:left="0"/>
              <w:rPr>
                <w:rFonts w:eastAsiaTheme="minorEastAsia"/>
                <w:noProof/>
                <w:sz w:val="22"/>
                <w:szCs w:val="22"/>
                <w:lang w:eastAsia="et-EE"/>
              </w:rPr>
            </w:pPr>
            <w:r w:rsidRPr="00694D2E">
              <w:rPr>
                <w:noProof/>
                <w:sz w:val="22"/>
                <w:szCs w:val="22"/>
              </w:rPr>
              <w:t>§ 1. Seaduse reguleerimisala</w:t>
            </w:r>
          </w:p>
          <w:p w14:paraId="211D5693" w14:textId="77777777" w:rsidR="00AB753A" w:rsidRPr="00694D2E" w:rsidRDefault="00AB753A" w:rsidP="00694D2E">
            <w:pPr>
              <w:pStyle w:val="TOC2"/>
              <w:spacing w:beforeLines="0" w:before="0" w:afterLines="0" w:after="0"/>
              <w:ind w:left="0"/>
              <w:rPr>
                <w:rFonts w:eastAsiaTheme="minorEastAsia"/>
                <w:noProof/>
                <w:sz w:val="22"/>
                <w:szCs w:val="22"/>
                <w:lang w:eastAsia="et-EE"/>
              </w:rPr>
            </w:pPr>
            <w:r w:rsidRPr="00694D2E">
              <w:rPr>
                <w:noProof/>
                <w:sz w:val="22"/>
                <w:szCs w:val="22"/>
              </w:rPr>
              <w:t>§ 2. Seaduse kohaldamisala</w:t>
            </w:r>
          </w:p>
          <w:p w14:paraId="7D8F1366" w14:textId="77777777" w:rsidR="00AB753A" w:rsidRPr="00694D2E" w:rsidRDefault="00AB753A" w:rsidP="00694D2E">
            <w:pPr>
              <w:pStyle w:val="TOC2"/>
              <w:spacing w:beforeLines="0" w:before="0" w:afterLines="0" w:after="0"/>
              <w:ind w:left="0"/>
              <w:rPr>
                <w:rFonts w:eastAsiaTheme="minorEastAsia"/>
                <w:noProof/>
                <w:sz w:val="22"/>
                <w:szCs w:val="22"/>
                <w:lang w:eastAsia="et-EE"/>
              </w:rPr>
            </w:pPr>
            <w:r w:rsidRPr="00694D2E">
              <w:rPr>
                <w:noProof/>
                <w:sz w:val="22"/>
                <w:szCs w:val="22"/>
              </w:rPr>
              <w:t>§ 3. Krüptovara ja krüptovarateenused</w:t>
            </w:r>
          </w:p>
          <w:p w14:paraId="74E833A0" w14:textId="77777777" w:rsidR="00AB753A" w:rsidRPr="00694D2E" w:rsidRDefault="00AB753A" w:rsidP="00694D2E">
            <w:pPr>
              <w:pStyle w:val="TOC2"/>
              <w:spacing w:beforeLines="0" w:before="0" w:afterLines="0" w:after="0"/>
              <w:ind w:left="0"/>
              <w:rPr>
                <w:rFonts w:eastAsiaTheme="minorEastAsia"/>
                <w:noProof/>
                <w:sz w:val="22"/>
                <w:szCs w:val="22"/>
                <w:lang w:eastAsia="et-EE"/>
              </w:rPr>
            </w:pPr>
            <w:r w:rsidRPr="00694D2E">
              <w:rPr>
                <w:noProof/>
                <w:sz w:val="22"/>
                <w:szCs w:val="22"/>
              </w:rPr>
              <w:t>§ 4. Ühisrahastusprojekt ja ühisrahastusteenused</w:t>
            </w:r>
          </w:p>
          <w:p w14:paraId="0B117FD5" w14:textId="77777777" w:rsidR="00AB753A" w:rsidRPr="00694D2E" w:rsidRDefault="00AB753A" w:rsidP="00694D2E">
            <w:pPr>
              <w:pStyle w:val="TOC2"/>
              <w:spacing w:beforeLines="0" w:before="0" w:afterLines="0" w:after="0"/>
              <w:ind w:left="0"/>
              <w:rPr>
                <w:rFonts w:eastAsiaTheme="minorEastAsia"/>
                <w:noProof/>
                <w:sz w:val="22"/>
                <w:szCs w:val="22"/>
                <w:lang w:eastAsia="et-EE"/>
              </w:rPr>
            </w:pPr>
            <w:r w:rsidRPr="00694D2E">
              <w:rPr>
                <w:noProof/>
                <w:sz w:val="22"/>
                <w:szCs w:val="22"/>
              </w:rPr>
              <w:t>§ 5. Seaduses kasutatavad muud terminid</w:t>
            </w:r>
          </w:p>
          <w:p w14:paraId="3961C7DA" w14:textId="77777777" w:rsidR="00AB753A" w:rsidRPr="00694D2E" w:rsidRDefault="00AB753A" w:rsidP="009F065E">
            <w:pPr>
              <w:pStyle w:val="TOC1"/>
              <w:rPr>
                <w:noProof/>
              </w:rPr>
            </w:pPr>
          </w:p>
          <w:p w14:paraId="773CB5E2" w14:textId="77777777" w:rsidR="00AB753A" w:rsidRPr="00694D2E" w:rsidRDefault="00AB753A" w:rsidP="009F065E">
            <w:pPr>
              <w:pStyle w:val="TOC1"/>
              <w:rPr>
                <w:rFonts w:eastAsiaTheme="minorEastAsia"/>
                <w:noProof/>
                <w:lang w:eastAsia="et-EE"/>
              </w:rPr>
            </w:pPr>
            <w:r w:rsidRPr="00694D2E">
              <w:rPr>
                <w:noProof/>
              </w:rPr>
              <w:t>2. peatükk</w:t>
            </w:r>
          </w:p>
          <w:p w14:paraId="6F1A8813" w14:textId="305300F0" w:rsidR="00AB753A" w:rsidRPr="00694D2E" w:rsidRDefault="00AB753A" w:rsidP="009F065E">
            <w:pPr>
              <w:pStyle w:val="TOC1"/>
              <w:rPr>
                <w:rFonts w:eastAsiaTheme="minorEastAsia"/>
                <w:noProof/>
                <w:lang w:eastAsia="et-EE"/>
              </w:rPr>
            </w:pPr>
            <w:r w:rsidRPr="00694D2E">
              <w:rPr>
                <w:noProof/>
              </w:rPr>
              <w:t>Teenuseosutajana tegutsemise õigus</w:t>
            </w:r>
            <w:r w:rsidRPr="00694D2E">
              <w:rPr>
                <w:noProof/>
              </w:rPr>
              <w:br/>
            </w:r>
          </w:p>
          <w:p w14:paraId="67E32D2C"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6. Tegevusluba</w:t>
            </w:r>
          </w:p>
          <w:p w14:paraId="1148DCF6"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7. Tegevusloa taotlemine</w:t>
            </w:r>
          </w:p>
          <w:p w14:paraId="33517307"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8. Äriplaan</w:t>
            </w:r>
          </w:p>
          <w:p w14:paraId="56B6AD15"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9. Tegevusloa taotluse läbivaatamine</w:t>
            </w:r>
          </w:p>
          <w:p w14:paraId="391ADACB"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10. Tegevusloa andmise otsus</w:t>
            </w:r>
          </w:p>
          <w:p w14:paraId="56486141"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11. Tegevusloa andmisest keeldumise alused</w:t>
            </w:r>
          </w:p>
          <w:p w14:paraId="31C7EDB4"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12. Tegevusloa kehtivuse lõppemine</w:t>
            </w:r>
          </w:p>
          <w:p w14:paraId="5DF6EC3A"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13. Tegevusloa kehtetuks tunnistamine</w:t>
            </w:r>
          </w:p>
          <w:p w14:paraId="7CCE1C44" w14:textId="4B4E3C79" w:rsidR="00694D2E" w:rsidRPr="00694D2E" w:rsidRDefault="00AB753A" w:rsidP="00694D2E">
            <w:pPr>
              <w:pStyle w:val="TOC2"/>
              <w:spacing w:beforeLines="0" w:before="0" w:afterLines="0" w:after="0"/>
              <w:ind w:left="0"/>
              <w:rPr>
                <w:noProof/>
                <w:sz w:val="22"/>
                <w:szCs w:val="22"/>
              </w:rPr>
            </w:pPr>
            <w:r w:rsidRPr="00694D2E">
              <w:rPr>
                <w:noProof/>
                <w:sz w:val="22"/>
                <w:szCs w:val="22"/>
              </w:rPr>
              <w:t>§ 14. Avalikkuse teavitamine</w:t>
            </w:r>
          </w:p>
          <w:p w14:paraId="1372CFD2" w14:textId="6D7A32D9" w:rsidR="00694D2E" w:rsidRPr="00694D2E" w:rsidRDefault="00694D2E" w:rsidP="00694D2E">
            <w:pPr>
              <w:spacing w:before="0"/>
              <w:rPr>
                <w:noProof/>
                <w:sz w:val="22"/>
                <w:szCs w:val="22"/>
                <w:lang w:val="en-GB" w:eastAsia="en-US"/>
              </w:rPr>
            </w:pPr>
            <w:r w:rsidRPr="00694D2E">
              <w:rPr>
                <w:noProof/>
                <w:sz w:val="22"/>
                <w:szCs w:val="22"/>
                <w:lang w:val="en-GB" w:eastAsia="en-US"/>
              </w:rPr>
              <w:t>§ 15. Tegevusloa andmise aluseks olnud andmete ja asjaolude muutmine</w:t>
            </w:r>
          </w:p>
          <w:p w14:paraId="03FDA2D3" w14:textId="77777777" w:rsidR="00694D2E" w:rsidRPr="00694D2E" w:rsidRDefault="00694D2E" w:rsidP="00694D2E">
            <w:pPr>
              <w:spacing w:before="0"/>
              <w:rPr>
                <w:rFonts w:eastAsiaTheme="minorEastAsia"/>
                <w:sz w:val="22"/>
                <w:szCs w:val="22"/>
                <w:lang w:val="en-GB" w:eastAsia="en-US"/>
              </w:rPr>
            </w:pPr>
          </w:p>
          <w:p w14:paraId="50209633" w14:textId="77777777" w:rsidR="00AB753A" w:rsidRPr="00694D2E" w:rsidRDefault="00AB753A" w:rsidP="009F065E">
            <w:pPr>
              <w:pStyle w:val="TOC1"/>
              <w:rPr>
                <w:rFonts w:eastAsiaTheme="minorEastAsia"/>
                <w:noProof/>
                <w:lang w:eastAsia="et-EE"/>
              </w:rPr>
            </w:pPr>
            <w:r w:rsidRPr="00694D2E">
              <w:rPr>
                <w:noProof/>
              </w:rPr>
              <w:t>3. peatükk</w:t>
            </w:r>
          </w:p>
          <w:p w14:paraId="0D2EF0C2" w14:textId="08DBDAE2" w:rsidR="00AB753A" w:rsidRPr="00694D2E" w:rsidRDefault="00694D2E" w:rsidP="009F065E">
            <w:pPr>
              <w:pStyle w:val="TOC1"/>
              <w:rPr>
                <w:rFonts w:eastAsiaTheme="minorEastAsia"/>
                <w:noProof/>
                <w:lang w:eastAsia="et-EE"/>
              </w:rPr>
            </w:pPr>
            <w:r w:rsidRPr="00694D2E">
              <w:rPr>
                <w:noProof/>
              </w:rPr>
              <w:t>Tegevus välisriigis ja teise lepinguriigi isiku tegevus Eestis</w:t>
            </w:r>
          </w:p>
          <w:p w14:paraId="5CD6E7DD" w14:textId="77777777" w:rsidR="00AB753A" w:rsidRPr="00694D2E" w:rsidRDefault="00AB753A" w:rsidP="00694D2E">
            <w:pPr>
              <w:pStyle w:val="Heading2"/>
              <w:spacing w:before="0"/>
              <w:jc w:val="both"/>
              <w:rPr>
                <w:b w:val="0"/>
                <w:sz w:val="22"/>
                <w:szCs w:val="22"/>
              </w:rPr>
            </w:pPr>
          </w:p>
          <w:p w14:paraId="3B89FBA0" w14:textId="4EA55C21" w:rsidR="00AB753A" w:rsidRPr="00694D2E" w:rsidRDefault="00AB753A" w:rsidP="00694D2E">
            <w:pPr>
              <w:pStyle w:val="TOC2"/>
              <w:spacing w:beforeLines="0" w:before="0" w:afterLines="0" w:after="0"/>
              <w:ind w:left="0"/>
              <w:rPr>
                <w:noProof/>
                <w:sz w:val="22"/>
                <w:szCs w:val="22"/>
              </w:rPr>
            </w:pPr>
            <w:r w:rsidRPr="00694D2E">
              <w:rPr>
                <w:noProof/>
                <w:sz w:val="22"/>
                <w:szCs w:val="22"/>
              </w:rPr>
              <w:t>§ 1</w:t>
            </w:r>
            <w:r w:rsidR="00694D2E" w:rsidRPr="00694D2E">
              <w:rPr>
                <w:noProof/>
                <w:sz w:val="22"/>
                <w:szCs w:val="22"/>
              </w:rPr>
              <w:t>6</w:t>
            </w:r>
            <w:r w:rsidRPr="00694D2E">
              <w:rPr>
                <w:noProof/>
                <w:sz w:val="22"/>
                <w:szCs w:val="22"/>
              </w:rPr>
              <w:t>. Teenuseosutaja tegevus välisriigis</w:t>
            </w:r>
          </w:p>
          <w:p w14:paraId="37870A02" w14:textId="139DFB97" w:rsidR="00AB753A" w:rsidRPr="00694D2E" w:rsidRDefault="00AB753A" w:rsidP="00694D2E">
            <w:pPr>
              <w:pStyle w:val="TOC2"/>
              <w:spacing w:beforeLines="0" w:before="0" w:afterLines="0" w:after="0"/>
              <w:ind w:left="0"/>
              <w:rPr>
                <w:noProof/>
                <w:sz w:val="22"/>
                <w:szCs w:val="22"/>
              </w:rPr>
            </w:pPr>
            <w:r w:rsidRPr="00694D2E">
              <w:rPr>
                <w:noProof/>
                <w:sz w:val="22"/>
                <w:szCs w:val="22"/>
              </w:rPr>
              <w:t>§ 1</w:t>
            </w:r>
            <w:r w:rsidR="00694D2E" w:rsidRPr="00694D2E">
              <w:rPr>
                <w:noProof/>
                <w:sz w:val="22"/>
                <w:szCs w:val="22"/>
              </w:rPr>
              <w:t>7</w:t>
            </w:r>
            <w:r w:rsidRPr="00694D2E">
              <w:rPr>
                <w:noProof/>
                <w:sz w:val="22"/>
                <w:szCs w:val="22"/>
              </w:rPr>
              <w:t xml:space="preserve">. </w:t>
            </w:r>
            <w:r w:rsidR="00694D2E" w:rsidRPr="00694D2E">
              <w:rPr>
                <w:noProof/>
                <w:sz w:val="22"/>
                <w:szCs w:val="22"/>
              </w:rPr>
              <w:t>Välisriigis</w:t>
            </w:r>
            <w:r w:rsidRPr="00694D2E">
              <w:rPr>
                <w:noProof/>
                <w:sz w:val="22"/>
                <w:szCs w:val="22"/>
              </w:rPr>
              <w:t xml:space="preserve"> asutatud isiku tegevus Eestis</w:t>
            </w:r>
          </w:p>
          <w:p w14:paraId="5297C33F" w14:textId="77777777" w:rsidR="00AB753A" w:rsidRPr="00694D2E" w:rsidRDefault="00AB753A" w:rsidP="009F065E">
            <w:pPr>
              <w:pStyle w:val="TOC1"/>
              <w:rPr>
                <w:noProof/>
              </w:rPr>
            </w:pPr>
          </w:p>
          <w:p w14:paraId="232A1D88" w14:textId="77777777" w:rsidR="00AB753A" w:rsidRPr="00694D2E" w:rsidRDefault="00AB753A" w:rsidP="009F065E">
            <w:pPr>
              <w:pStyle w:val="TOC1"/>
              <w:rPr>
                <w:rFonts w:eastAsiaTheme="minorEastAsia"/>
                <w:noProof/>
                <w:lang w:eastAsia="et-EE"/>
              </w:rPr>
            </w:pPr>
            <w:r w:rsidRPr="00694D2E">
              <w:rPr>
                <w:noProof/>
              </w:rPr>
              <w:t>4. peatükk</w:t>
            </w:r>
          </w:p>
          <w:p w14:paraId="21BBB57D" w14:textId="5F3B87AF" w:rsidR="00AB753A" w:rsidRPr="00694D2E" w:rsidRDefault="00694D2E" w:rsidP="009F065E">
            <w:pPr>
              <w:pStyle w:val="TOC1"/>
              <w:rPr>
                <w:noProof/>
              </w:rPr>
            </w:pPr>
            <w:r w:rsidRPr="00694D2E">
              <w:rPr>
                <w:noProof/>
              </w:rPr>
              <w:t xml:space="preserve">Oluline </w:t>
            </w:r>
            <w:r>
              <w:rPr>
                <w:noProof/>
              </w:rPr>
              <w:t>o</w:t>
            </w:r>
            <w:r w:rsidRPr="00694D2E">
              <w:rPr>
                <w:noProof/>
              </w:rPr>
              <w:t>salus</w:t>
            </w:r>
          </w:p>
          <w:p w14:paraId="392E3009" w14:textId="77777777" w:rsidR="00AB753A" w:rsidRPr="00694D2E" w:rsidRDefault="00AB753A" w:rsidP="00694D2E">
            <w:pPr>
              <w:spacing w:before="0"/>
              <w:rPr>
                <w:rFonts w:eastAsiaTheme="minorEastAsia"/>
                <w:sz w:val="22"/>
                <w:szCs w:val="22"/>
              </w:rPr>
            </w:pPr>
          </w:p>
          <w:p w14:paraId="3BF5A8E1"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18. Olulist osalust omavatele isikutele esitatavad nõuded</w:t>
            </w:r>
          </w:p>
          <w:p w14:paraId="5A5C90E2"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19. Finantsinspektsiooni teavitamine osaluse omandamisest</w:t>
            </w:r>
          </w:p>
          <w:p w14:paraId="2C2F2371"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20. Osaluse omandamisest teavitamisel Finantsinspektsioonile esitatavad andmed</w:t>
            </w:r>
          </w:p>
          <w:p w14:paraId="276F6AC3"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21. Menetlus ja menetlustähtajad</w:t>
            </w:r>
          </w:p>
          <w:p w14:paraId="785F83F7"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22. Osaluse omandamise tingimused</w:t>
            </w:r>
          </w:p>
          <w:p w14:paraId="0356A5BA"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23. Osaluse omandamise keelamise alused ja otsus omandamise kohta</w:t>
            </w:r>
          </w:p>
          <w:p w14:paraId="2E2081F3"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24. Osaluse ebaseadusliku omandamise tagajärjed</w:t>
            </w:r>
          </w:p>
          <w:p w14:paraId="302615A7" w14:textId="77777777" w:rsidR="00AB753A" w:rsidRPr="00694D2E" w:rsidRDefault="00AB753A" w:rsidP="00694D2E">
            <w:pPr>
              <w:pStyle w:val="TOC2"/>
              <w:spacing w:beforeLines="0" w:before="0" w:afterLines="0" w:after="0"/>
              <w:ind w:left="0"/>
              <w:rPr>
                <w:noProof/>
                <w:sz w:val="22"/>
                <w:szCs w:val="22"/>
              </w:rPr>
            </w:pPr>
            <w:r w:rsidRPr="00694D2E">
              <w:rPr>
                <w:noProof/>
                <w:sz w:val="22"/>
                <w:szCs w:val="22"/>
              </w:rPr>
              <w:t>§ 25. Olulise osaluse muutumisest teavitamine</w:t>
            </w:r>
          </w:p>
          <w:p w14:paraId="4019815C" w14:textId="77777777" w:rsidR="00AB753A" w:rsidRPr="00045571" w:rsidRDefault="00AB753A" w:rsidP="00AB753A">
            <w:pPr>
              <w:spacing w:before="0"/>
              <w:rPr>
                <w:rFonts w:eastAsiaTheme="minorEastAsia"/>
                <w:sz w:val="22"/>
                <w:szCs w:val="22"/>
              </w:rPr>
            </w:pPr>
          </w:p>
          <w:p w14:paraId="2D846A29" w14:textId="77777777" w:rsidR="00AB753A" w:rsidRPr="00045571" w:rsidRDefault="00AB753A" w:rsidP="009F065E">
            <w:pPr>
              <w:pStyle w:val="TOC1"/>
              <w:rPr>
                <w:rFonts w:eastAsiaTheme="minorEastAsia"/>
                <w:noProof/>
                <w:lang w:eastAsia="et-EE"/>
              </w:rPr>
            </w:pPr>
            <w:r w:rsidRPr="00045571">
              <w:rPr>
                <w:noProof/>
              </w:rPr>
              <w:t>5. peatükk</w:t>
            </w:r>
          </w:p>
          <w:p w14:paraId="4BE9622A" w14:textId="346FE557" w:rsidR="00AB753A" w:rsidRPr="00045571" w:rsidRDefault="009F065E" w:rsidP="009F065E">
            <w:pPr>
              <w:pStyle w:val="TOC1"/>
              <w:rPr>
                <w:rFonts w:eastAsiaTheme="minorEastAsia"/>
                <w:noProof/>
              </w:rPr>
            </w:pPr>
            <w:r w:rsidRPr="00045571">
              <w:rPr>
                <w:noProof/>
              </w:rPr>
              <w:t xml:space="preserve">Juhtimine </w:t>
            </w:r>
            <w:r>
              <w:rPr>
                <w:noProof/>
              </w:rPr>
              <w:t>j</w:t>
            </w:r>
            <w:r w:rsidRPr="00045571">
              <w:rPr>
                <w:noProof/>
              </w:rPr>
              <w:t xml:space="preserve">a </w:t>
            </w:r>
            <w:r>
              <w:rPr>
                <w:noProof/>
              </w:rPr>
              <w:t>n</w:t>
            </w:r>
            <w:r w:rsidRPr="00045571">
              <w:rPr>
                <w:noProof/>
              </w:rPr>
              <w:t xml:space="preserve">õuded </w:t>
            </w:r>
            <w:r>
              <w:rPr>
                <w:noProof/>
              </w:rPr>
              <w:t>t</w:t>
            </w:r>
            <w:r w:rsidRPr="00045571">
              <w:rPr>
                <w:noProof/>
              </w:rPr>
              <w:t>egevusele</w:t>
            </w:r>
            <w:r w:rsidR="00AB753A">
              <w:rPr>
                <w:noProof/>
              </w:rPr>
              <w:br/>
            </w:r>
            <w:r w:rsidR="00694D2E">
              <w:rPr>
                <w:rFonts w:eastAsiaTheme="minorEastAsia"/>
                <w:noProof/>
              </w:rPr>
              <w:br/>
              <w:t>1. jagu</w:t>
            </w:r>
            <w:r w:rsidR="00694D2E">
              <w:rPr>
                <w:rFonts w:eastAsiaTheme="minorEastAsia"/>
                <w:noProof/>
              </w:rPr>
              <w:br/>
              <w:t>Teenuseosutaja juhtimine ja organisatsiooniline ülesehitus</w:t>
            </w:r>
            <w:r w:rsidR="00694D2E">
              <w:rPr>
                <w:rFonts w:eastAsiaTheme="minorEastAsia"/>
                <w:noProof/>
              </w:rPr>
              <w:br/>
            </w:r>
          </w:p>
          <w:p w14:paraId="5367B2BC"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26. Teenuseosutaja asukoht ning püsiva ja kestva majandustegevuse koht</w:t>
            </w:r>
          </w:p>
          <w:p w14:paraId="4C40A918"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27. Nõuded juhtorgani liikmetele ja töötajatele</w:t>
            </w:r>
          </w:p>
          <w:p w14:paraId="67A3CC8B"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28. Juhtorgani liikmete ja töötajate kohustused</w:t>
            </w:r>
          </w:p>
          <w:p w14:paraId="11EACDA3" w14:textId="2A177BAF" w:rsidR="00AB753A" w:rsidRDefault="00AB753A" w:rsidP="00AB753A">
            <w:pPr>
              <w:pStyle w:val="TOC2"/>
              <w:spacing w:beforeLines="0" w:before="0" w:afterLines="0" w:after="0"/>
              <w:ind w:left="0"/>
              <w:rPr>
                <w:noProof/>
                <w:sz w:val="22"/>
                <w:szCs w:val="22"/>
              </w:rPr>
            </w:pPr>
            <w:r w:rsidRPr="00AB753A">
              <w:rPr>
                <w:noProof/>
                <w:sz w:val="22"/>
                <w:szCs w:val="22"/>
              </w:rPr>
              <w:lastRenderedPageBreak/>
              <w:t>§ 29. Finantsinspektsiooni teavitamine juhtorganite liikmetest ja audiitorettevõtjast</w:t>
            </w:r>
          </w:p>
          <w:p w14:paraId="61F0A69D" w14:textId="71C17B24" w:rsidR="00694D2E" w:rsidRPr="00694D2E" w:rsidRDefault="00694D2E" w:rsidP="00694D2E">
            <w:pPr>
              <w:pStyle w:val="TOC2"/>
              <w:spacing w:beforeLines="0" w:before="0" w:afterLines="0" w:after="0"/>
              <w:ind w:left="0"/>
              <w:rPr>
                <w:noProof/>
                <w:sz w:val="22"/>
                <w:szCs w:val="22"/>
              </w:rPr>
            </w:pPr>
            <w:r w:rsidRPr="00694D2E">
              <w:rPr>
                <w:noProof/>
                <w:sz w:val="22"/>
                <w:szCs w:val="22"/>
              </w:rPr>
              <w:t>§ 30. Juhtorgani liikme tagasikutsumine Finantsinspektsiooni poolt</w:t>
            </w:r>
          </w:p>
          <w:p w14:paraId="77DF9138"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31. Nõuded juhtorgani liikmete ja töötajate tasustamisele</w:t>
            </w:r>
          </w:p>
          <w:p w14:paraId="56D31B96"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32. Sise-eeskirjad</w:t>
            </w:r>
          </w:p>
          <w:p w14:paraId="386B1C54" w14:textId="77777777" w:rsidR="00694D2E" w:rsidRDefault="00AB753A" w:rsidP="00694D2E">
            <w:pPr>
              <w:pStyle w:val="TOC2"/>
              <w:spacing w:beforeLines="0" w:before="0" w:afterLines="0" w:after="0"/>
              <w:ind w:left="0"/>
              <w:rPr>
                <w:noProof/>
                <w:sz w:val="22"/>
                <w:szCs w:val="22"/>
              </w:rPr>
            </w:pPr>
            <w:r w:rsidRPr="00AB753A">
              <w:rPr>
                <w:noProof/>
                <w:sz w:val="22"/>
                <w:szCs w:val="22"/>
              </w:rPr>
              <w:t>§ 33. Sisekontrolli süsteem</w:t>
            </w:r>
          </w:p>
          <w:p w14:paraId="7C784F57" w14:textId="77777777" w:rsidR="00694D2E" w:rsidRDefault="00AB753A" w:rsidP="00694D2E">
            <w:pPr>
              <w:pStyle w:val="TOC2"/>
              <w:spacing w:beforeLines="0" w:before="0" w:afterLines="0" w:after="0"/>
              <w:ind w:left="0"/>
              <w:rPr>
                <w:noProof/>
                <w:sz w:val="22"/>
                <w:szCs w:val="22"/>
              </w:rPr>
            </w:pPr>
            <w:r w:rsidRPr="00AB753A">
              <w:rPr>
                <w:noProof/>
                <w:sz w:val="22"/>
                <w:szCs w:val="22"/>
              </w:rPr>
              <w:t>§ 34. Teenuse osutamise ja tehingutega seotud andmete registreerimine ja säilitamine</w:t>
            </w:r>
          </w:p>
          <w:p w14:paraId="61D3FD03" w14:textId="2E88C1AE" w:rsidR="00AB753A" w:rsidRPr="00AB753A" w:rsidRDefault="00694D2E" w:rsidP="00694D2E">
            <w:pPr>
              <w:pStyle w:val="TOC2"/>
              <w:spacing w:beforeLines="0" w:before="0" w:afterLines="0" w:after="0"/>
              <w:ind w:left="0"/>
              <w:jc w:val="center"/>
              <w:rPr>
                <w:noProof/>
                <w:sz w:val="22"/>
                <w:szCs w:val="22"/>
              </w:rPr>
            </w:pPr>
            <w:r>
              <w:rPr>
                <w:noProof/>
                <w:sz w:val="22"/>
                <w:szCs w:val="22"/>
              </w:rPr>
              <w:br/>
              <w:t>2. jagu</w:t>
            </w:r>
            <w:r>
              <w:rPr>
                <w:noProof/>
                <w:sz w:val="22"/>
                <w:szCs w:val="22"/>
              </w:rPr>
              <w:br/>
              <w:t>Nõuded teenuseosutaja tegevusele</w:t>
            </w:r>
            <w:r>
              <w:rPr>
                <w:noProof/>
                <w:sz w:val="22"/>
                <w:szCs w:val="22"/>
              </w:rPr>
              <w:br/>
            </w:r>
          </w:p>
          <w:p w14:paraId="1C9E5866"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35. Teenuseosutaja tegevuse edasiandmine ja kolmanda isiku teenuste kasutamine</w:t>
            </w:r>
          </w:p>
          <w:p w14:paraId="01B201A6"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36. Huvide konflikti maandamise ja vältimise kord</w:t>
            </w:r>
          </w:p>
          <w:p w14:paraId="24F5E073" w14:textId="469DB1D6" w:rsidR="00AB753A" w:rsidRDefault="00AB753A" w:rsidP="00AB753A">
            <w:pPr>
              <w:pStyle w:val="TOC2"/>
              <w:spacing w:beforeLines="0" w:before="0" w:afterLines="0" w:after="0"/>
              <w:ind w:left="0"/>
              <w:rPr>
                <w:noProof/>
                <w:sz w:val="22"/>
                <w:szCs w:val="22"/>
              </w:rPr>
            </w:pPr>
            <w:r w:rsidRPr="00AB753A">
              <w:rPr>
                <w:noProof/>
                <w:sz w:val="22"/>
                <w:szCs w:val="22"/>
              </w:rPr>
              <w:t>§ 37. Teenuseosutaja või temaga seotud isikute osalemine investeerimisprojektides</w:t>
            </w:r>
          </w:p>
          <w:p w14:paraId="2ABC2D6B" w14:textId="52B53ED8" w:rsidR="00E56916" w:rsidRPr="00E56916" w:rsidRDefault="00E56916" w:rsidP="00E56916">
            <w:pPr>
              <w:pStyle w:val="TOC2"/>
              <w:spacing w:beforeLines="0" w:before="0" w:afterLines="0" w:after="0"/>
              <w:ind w:left="0"/>
              <w:rPr>
                <w:noProof/>
                <w:sz w:val="22"/>
                <w:szCs w:val="22"/>
              </w:rPr>
            </w:pPr>
            <w:r w:rsidRPr="00E56916">
              <w:rPr>
                <w:noProof/>
                <w:sz w:val="22"/>
                <w:szCs w:val="22"/>
              </w:rPr>
              <w:t>§ 38. Tasu või hüve seoses teenuse osutamisega</w:t>
            </w:r>
          </w:p>
          <w:p w14:paraId="0E38C3DB" w14:textId="7C2816A0" w:rsidR="00E56916" w:rsidRPr="00E56916" w:rsidRDefault="00E56916" w:rsidP="00E56916">
            <w:pPr>
              <w:pStyle w:val="TOC2"/>
              <w:spacing w:beforeLines="0" w:before="0" w:afterLines="0" w:after="0"/>
              <w:ind w:left="0"/>
              <w:rPr>
                <w:noProof/>
                <w:sz w:val="22"/>
                <w:szCs w:val="22"/>
              </w:rPr>
            </w:pPr>
            <w:r w:rsidRPr="00E56916">
              <w:rPr>
                <w:noProof/>
                <w:sz w:val="22"/>
                <w:szCs w:val="22"/>
              </w:rPr>
              <w:t>§ 39. Konto avamise kohustus ja sellest teavitamine</w:t>
            </w:r>
          </w:p>
          <w:p w14:paraId="07B05687" w14:textId="5CE0B2DA" w:rsidR="00AB753A" w:rsidRDefault="00AB753A" w:rsidP="00AB753A">
            <w:pPr>
              <w:pStyle w:val="TOC2"/>
              <w:spacing w:beforeLines="0" w:before="0" w:afterLines="0" w:after="0"/>
              <w:ind w:left="0"/>
              <w:rPr>
                <w:noProof/>
                <w:sz w:val="22"/>
                <w:szCs w:val="22"/>
              </w:rPr>
            </w:pPr>
            <w:r w:rsidRPr="00AB753A">
              <w:rPr>
                <w:noProof/>
                <w:sz w:val="22"/>
                <w:szCs w:val="22"/>
              </w:rPr>
              <w:t>§ 40. Nõuded finantsvahendusplatvormile</w:t>
            </w:r>
          </w:p>
          <w:p w14:paraId="64D80C63" w14:textId="77777777" w:rsidR="00E56916" w:rsidRPr="00E56916" w:rsidRDefault="00E56916" w:rsidP="00E56916">
            <w:pPr>
              <w:pStyle w:val="TOC2"/>
              <w:spacing w:beforeLines="0" w:before="0" w:afterLines="0" w:after="0"/>
              <w:ind w:left="0"/>
              <w:rPr>
                <w:noProof/>
                <w:sz w:val="22"/>
                <w:szCs w:val="22"/>
              </w:rPr>
            </w:pPr>
            <w:r w:rsidRPr="00E56916">
              <w:rPr>
                <w:noProof/>
                <w:sz w:val="22"/>
                <w:szCs w:val="22"/>
              </w:rPr>
              <w:t>§ 41. Nõuded krüptovara registreerimisele hajusraamatu- või muul sarnasel tehnoloogial põhineva süsteemi abil</w:t>
            </w:r>
          </w:p>
          <w:p w14:paraId="76472A1B" w14:textId="77777777" w:rsidR="00E56916" w:rsidRDefault="00AB753A" w:rsidP="00E56916">
            <w:pPr>
              <w:pStyle w:val="TOC2"/>
              <w:spacing w:beforeLines="0" w:before="0" w:afterLines="0" w:after="0"/>
              <w:ind w:left="0"/>
              <w:rPr>
                <w:noProof/>
                <w:sz w:val="22"/>
                <w:szCs w:val="22"/>
              </w:rPr>
            </w:pPr>
            <w:r w:rsidRPr="00AB753A">
              <w:rPr>
                <w:noProof/>
                <w:sz w:val="22"/>
                <w:szCs w:val="22"/>
              </w:rPr>
              <w:t>§ 42. Kliendi kaebuse lahendamine</w:t>
            </w:r>
          </w:p>
          <w:p w14:paraId="39A8A9C7" w14:textId="7B659AE7" w:rsidR="00E56916" w:rsidRPr="00E56916" w:rsidRDefault="00E56916" w:rsidP="00E56916">
            <w:pPr>
              <w:pStyle w:val="TOC2"/>
              <w:spacing w:beforeLines="0" w:before="0" w:afterLines="0" w:after="0"/>
              <w:ind w:left="0"/>
              <w:jc w:val="center"/>
              <w:rPr>
                <w:noProof/>
                <w:sz w:val="22"/>
                <w:szCs w:val="22"/>
              </w:rPr>
            </w:pPr>
            <w:r>
              <w:rPr>
                <w:noProof/>
                <w:sz w:val="22"/>
                <w:szCs w:val="22"/>
              </w:rPr>
              <w:br/>
              <w:t>3. jagu</w:t>
            </w:r>
            <w:r>
              <w:rPr>
                <w:noProof/>
                <w:sz w:val="22"/>
                <w:szCs w:val="22"/>
              </w:rPr>
              <w:br/>
              <w:t>Nõuded teenuseosutaja talitluspidevuse ja küberturvalisuse tagamisele</w:t>
            </w:r>
          </w:p>
          <w:p w14:paraId="30D330F2" w14:textId="77777777" w:rsidR="00E56916" w:rsidRPr="00E56916" w:rsidRDefault="00E56916" w:rsidP="00E56916">
            <w:pPr>
              <w:rPr>
                <w:rFonts w:eastAsiaTheme="minorEastAsia"/>
                <w:lang w:val="en-GB" w:eastAsia="en-US"/>
              </w:rPr>
            </w:pPr>
          </w:p>
          <w:p w14:paraId="3C655B9A"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43. Teenuseosutaja talitluspidevuse tagamine</w:t>
            </w:r>
          </w:p>
          <w:p w14:paraId="6F3DF2CE" w14:textId="77777777" w:rsidR="00AB753A" w:rsidRPr="00AB753A" w:rsidRDefault="00AB753A" w:rsidP="00AB753A">
            <w:pPr>
              <w:pStyle w:val="TOC2"/>
              <w:spacing w:beforeLines="0" w:before="0" w:afterLines="0" w:after="0"/>
              <w:ind w:left="0"/>
              <w:rPr>
                <w:noProof/>
                <w:sz w:val="22"/>
                <w:szCs w:val="22"/>
              </w:rPr>
            </w:pPr>
            <w:r w:rsidRPr="00AB753A">
              <w:rPr>
                <w:noProof/>
                <w:sz w:val="22"/>
                <w:szCs w:val="22"/>
              </w:rPr>
              <w:t>§ 44. Nõuded küberturvalisusele</w:t>
            </w:r>
          </w:p>
          <w:p w14:paraId="7E9F26C7" w14:textId="77777777" w:rsidR="00E56916" w:rsidRDefault="00E56916" w:rsidP="00AB753A">
            <w:pPr>
              <w:pStyle w:val="TOC2"/>
              <w:spacing w:beforeLines="0" w:before="0" w:afterLines="0" w:after="0"/>
              <w:ind w:left="0"/>
              <w:rPr>
                <w:noProof/>
                <w:sz w:val="22"/>
                <w:szCs w:val="22"/>
              </w:rPr>
            </w:pPr>
          </w:p>
          <w:p w14:paraId="0223C4EE" w14:textId="29556D3E" w:rsidR="00E56916" w:rsidRPr="00E56916" w:rsidRDefault="00E56916" w:rsidP="00E56916">
            <w:pPr>
              <w:pStyle w:val="TOC2"/>
              <w:spacing w:beforeLines="0" w:before="0" w:afterLines="0" w:after="0"/>
              <w:ind w:left="0"/>
              <w:jc w:val="center"/>
              <w:rPr>
                <w:noProof/>
                <w:sz w:val="22"/>
                <w:szCs w:val="22"/>
              </w:rPr>
            </w:pPr>
            <w:r w:rsidRPr="00E56916">
              <w:rPr>
                <w:noProof/>
                <w:sz w:val="22"/>
                <w:szCs w:val="22"/>
              </w:rPr>
              <w:t>6. peatükk</w:t>
            </w:r>
            <w:r w:rsidRPr="00E56916">
              <w:rPr>
                <w:noProof/>
                <w:sz w:val="22"/>
                <w:szCs w:val="22"/>
              </w:rPr>
              <w:br/>
              <w:t>Krüptovarateenuse ja ühisrahastusteenuse osutamine</w:t>
            </w:r>
            <w:r w:rsidRPr="00E56916">
              <w:rPr>
                <w:noProof/>
                <w:sz w:val="22"/>
                <w:szCs w:val="22"/>
              </w:rPr>
              <w:br/>
            </w:r>
          </w:p>
          <w:p w14:paraId="609B8802" w14:textId="0B2C7EA8" w:rsidR="00E56916" w:rsidRPr="00E56916" w:rsidRDefault="00E56916" w:rsidP="00E56916">
            <w:pPr>
              <w:spacing w:before="0"/>
              <w:jc w:val="center"/>
              <w:rPr>
                <w:sz w:val="22"/>
                <w:szCs w:val="22"/>
                <w:lang w:val="en-GB" w:eastAsia="en-US"/>
              </w:rPr>
            </w:pPr>
            <w:r w:rsidRPr="00E56916">
              <w:rPr>
                <w:sz w:val="22"/>
                <w:szCs w:val="22"/>
                <w:lang w:val="en-GB" w:eastAsia="en-US"/>
              </w:rPr>
              <w:t>1. jagu</w:t>
            </w:r>
          </w:p>
          <w:p w14:paraId="4503B38B" w14:textId="2235F9D8" w:rsidR="00E56916" w:rsidRPr="00E56916" w:rsidRDefault="00E56916" w:rsidP="00E56916">
            <w:pPr>
              <w:spacing w:before="0"/>
              <w:jc w:val="center"/>
              <w:rPr>
                <w:sz w:val="22"/>
                <w:szCs w:val="22"/>
                <w:lang w:val="en-GB" w:eastAsia="en-US"/>
              </w:rPr>
            </w:pPr>
            <w:r w:rsidRPr="00E56916">
              <w:rPr>
                <w:sz w:val="22"/>
                <w:szCs w:val="22"/>
                <w:lang w:val="en-GB" w:eastAsia="en-US"/>
              </w:rPr>
              <w:t>Üldnõuded teenuse osutamisele</w:t>
            </w:r>
          </w:p>
          <w:p w14:paraId="0BBE8D8B" w14:textId="77777777" w:rsidR="00E56916" w:rsidRPr="00E56916" w:rsidRDefault="00E56916" w:rsidP="00E56916">
            <w:pPr>
              <w:rPr>
                <w:lang w:val="en-GB" w:eastAsia="en-US"/>
              </w:rPr>
            </w:pPr>
          </w:p>
          <w:p w14:paraId="0602A35F" w14:textId="77777777" w:rsidR="00E56916" w:rsidRDefault="00E56916" w:rsidP="00AB753A">
            <w:pPr>
              <w:pStyle w:val="TOC2"/>
              <w:spacing w:beforeLines="0" w:before="0" w:afterLines="0" w:after="0"/>
              <w:ind w:left="0"/>
              <w:rPr>
                <w:noProof/>
                <w:sz w:val="22"/>
                <w:szCs w:val="22"/>
              </w:rPr>
            </w:pPr>
            <w:r>
              <w:rPr>
                <w:noProof/>
                <w:sz w:val="22"/>
                <w:szCs w:val="22"/>
              </w:rPr>
              <w:t>§ 45. Üldnõuded krüptovarateenuse ja ühisrahastusteenuse osutamisele</w:t>
            </w:r>
          </w:p>
          <w:p w14:paraId="0D87FADE" w14:textId="77777777" w:rsidR="00E56916" w:rsidRDefault="00E56916" w:rsidP="00AB753A">
            <w:pPr>
              <w:pStyle w:val="TOC2"/>
              <w:spacing w:beforeLines="0" w:before="0" w:afterLines="0" w:after="0"/>
              <w:ind w:left="0"/>
              <w:rPr>
                <w:noProof/>
                <w:sz w:val="22"/>
                <w:szCs w:val="22"/>
              </w:rPr>
            </w:pPr>
            <w:r>
              <w:rPr>
                <w:noProof/>
                <w:sz w:val="22"/>
                <w:szCs w:val="22"/>
              </w:rPr>
              <w:t>§ 46. Üldnõuded teenuseosutajale seoses rahastuse taotlejaga</w:t>
            </w:r>
          </w:p>
          <w:p w14:paraId="3698B063" w14:textId="2683134B" w:rsidR="00AB753A" w:rsidRPr="00AB753A" w:rsidRDefault="00AB753A" w:rsidP="00AB753A">
            <w:pPr>
              <w:pStyle w:val="TOC2"/>
              <w:spacing w:beforeLines="0" w:before="0" w:afterLines="0" w:after="0"/>
              <w:ind w:left="0"/>
              <w:rPr>
                <w:noProof/>
                <w:sz w:val="22"/>
                <w:szCs w:val="22"/>
              </w:rPr>
            </w:pPr>
            <w:r w:rsidRPr="00AB753A">
              <w:rPr>
                <w:noProof/>
                <w:sz w:val="22"/>
                <w:szCs w:val="22"/>
              </w:rPr>
              <w:t>§ 47. Teabe avalikustamine teenuseosutaja majandustegevuse kohta</w:t>
            </w:r>
          </w:p>
          <w:p w14:paraId="56C780D9" w14:textId="77777777" w:rsidR="00E56916" w:rsidRDefault="00E56916" w:rsidP="00AB753A">
            <w:pPr>
              <w:pStyle w:val="TOC2"/>
              <w:spacing w:beforeLines="0" w:before="0" w:afterLines="0" w:after="0"/>
              <w:ind w:left="0"/>
              <w:rPr>
                <w:noProof/>
                <w:sz w:val="22"/>
                <w:szCs w:val="22"/>
              </w:rPr>
            </w:pPr>
          </w:p>
          <w:p w14:paraId="24516BCB" w14:textId="11FC2520" w:rsidR="00E56916" w:rsidRPr="009F3584" w:rsidRDefault="00E56916" w:rsidP="009F3584">
            <w:pPr>
              <w:spacing w:before="0"/>
              <w:jc w:val="center"/>
              <w:rPr>
                <w:sz w:val="22"/>
                <w:szCs w:val="22"/>
                <w:lang w:val="en-GB" w:eastAsia="en-US"/>
              </w:rPr>
            </w:pPr>
            <w:r w:rsidRPr="009F3584">
              <w:rPr>
                <w:sz w:val="22"/>
                <w:szCs w:val="22"/>
                <w:lang w:val="en-GB" w:eastAsia="en-US"/>
              </w:rPr>
              <w:t>2. jagu</w:t>
            </w:r>
          </w:p>
          <w:p w14:paraId="11290589" w14:textId="3B4BE743" w:rsidR="00E56916" w:rsidRPr="009F3584" w:rsidRDefault="00E56916" w:rsidP="009F3584">
            <w:pPr>
              <w:spacing w:before="0"/>
              <w:jc w:val="center"/>
              <w:rPr>
                <w:sz w:val="22"/>
                <w:szCs w:val="22"/>
                <w:lang w:val="en-GB" w:eastAsia="en-US"/>
              </w:rPr>
            </w:pPr>
            <w:r w:rsidRPr="009F3584">
              <w:rPr>
                <w:sz w:val="22"/>
                <w:szCs w:val="22"/>
                <w:lang w:val="en-GB" w:eastAsia="en-US"/>
              </w:rPr>
              <w:t>Täiendavad nõuded teabe avalikustamisele investeerimisprojekti pakkumise korral</w:t>
            </w:r>
          </w:p>
          <w:p w14:paraId="69F3CB6E" w14:textId="77777777" w:rsidR="009F3584" w:rsidRPr="00E56916" w:rsidRDefault="009F3584" w:rsidP="00E56916">
            <w:pPr>
              <w:rPr>
                <w:lang w:val="en-GB" w:eastAsia="en-US"/>
              </w:rPr>
            </w:pPr>
          </w:p>
          <w:p w14:paraId="3A11E4F4" w14:textId="209C872B" w:rsidR="009F3584" w:rsidRDefault="009F3584" w:rsidP="00AB753A">
            <w:pPr>
              <w:pStyle w:val="TOC2"/>
              <w:spacing w:beforeLines="0" w:before="0" w:afterLines="0" w:after="0"/>
              <w:ind w:left="0"/>
              <w:rPr>
                <w:noProof/>
                <w:sz w:val="22"/>
                <w:szCs w:val="22"/>
              </w:rPr>
            </w:pPr>
            <w:r>
              <w:rPr>
                <w:noProof/>
                <w:sz w:val="22"/>
                <w:szCs w:val="22"/>
              </w:rPr>
              <w:t>§ 48. Üldised teabe avalikustamise nõuded teenuseosutajale ja rahastuse taotlejale</w:t>
            </w:r>
          </w:p>
          <w:p w14:paraId="2FFA4082" w14:textId="52FF05ED" w:rsidR="009F3584" w:rsidRPr="009F3584" w:rsidRDefault="009F3584" w:rsidP="009F3584">
            <w:pPr>
              <w:pStyle w:val="TOC2"/>
              <w:spacing w:beforeLines="0" w:before="0" w:afterLines="0" w:after="0"/>
              <w:ind w:left="0"/>
              <w:rPr>
                <w:noProof/>
                <w:sz w:val="22"/>
                <w:szCs w:val="22"/>
              </w:rPr>
            </w:pPr>
            <w:r w:rsidRPr="009F3584">
              <w:rPr>
                <w:noProof/>
                <w:sz w:val="22"/>
                <w:szCs w:val="22"/>
              </w:rPr>
              <w:t>§ 49. Teabe avalikustamine investeerimisprojekti kohta</w:t>
            </w:r>
          </w:p>
          <w:p w14:paraId="1C934A23" w14:textId="28C8D539" w:rsidR="009F3584" w:rsidRPr="009F3584" w:rsidRDefault="009F3584" w:rsidP="009F3584">
            <w:pPr>
              <w:pStyle w:val="TOC2"/>
              <w:spacing w:beforeLines="0" w:before="0" w:afterLines="0" w:after="0"/>
              <w:ind w:left="0"/>
              <w:rPr>
                <w:noProof/>
                <w:sz w:val="22"/>
                <w:szCs w:val="22"/>
              </w:rPr>
            </w:pPr>
            <w:r w:rsidRPr="009F3584">
              <w:rPr>
                <w:noProof/>
                <w:sz w:val="22"/>
                <w:szCs w:val="22"/>
              </w:rPr>
              <w:t>§ 50. Teabe avalikustamine riskide suurenemise või nende realiseerumise korral</w:t>
            </w:r>
          </w:p>
          <w:p w14:paraId="1AB3A101" w14:textId="3BA8A5B4" w:rsidR="00AB753A" w:rsidRDefault="00AB753A" w:rsidP="00AB753A">
            <w:pPr>
              <w:pStyle w:val="TOC2"/>
              <w:spacing w:beforeLines="0" w:before="0" w:afterLines="0" w:after="0"/>
              <w:ind w:left="0"/>
              <w:rPr>
                <w:noProof/>
                <w:sz w:val="22"/>
                <w:szCs w:val="22"/>
              </w:rPr>
            </w:pPr>
            <w:r w:rsidRPr="00AB753A">
              <w:rPr>
                <w:noProof/>
                <w:sz w:val="22"/>
                <w:szCs w:val="22"/>
              </w:rPr>
              <w:t>§ 51. Teabe avalikustamine finantsvahendusplatvormil tehtavate tehingute kohta</w:t>
            </w:r>
          </w:p>
          <w:p w14:paraId="5BEA5D03" w14:textId="77777777" w:rsidR="009F3584" w:rsidRDefault="009F3584" w:rsidP="009F3584">
            <w:pPr>
              <w:rPr>
                <w:rFonts w:eastAsiaTheme="minorEastAsia"/>
                <w:lang w:val="en-GB" w:eastAsia="en-US"/>
              </w:rPr>
            </w:pPr>
          </w:p>
          <w:p w14:paraId="4FE9B47E" w14:textId="7BCF5485" w:rsidR="009F3584" w:rsidRPr="009F3584" w:rsidRDefault="009F3584" w:rsidP="009F3584">
            <w:pPr>
              <w:spacing w:before="0"/>
              <w:jc w:val="center"/>
              <w:rPr>
                <w:sz w:val="22"/>
                <w:szCs w:val="22"/>
                <w:lang w:val="en-GB" w:eastAsia="en-US"/>
              </w:rPr>
            </w:pPr>
            <w:r w:rsidRPr="009F3584">
              <w:rPr>
                <w:sz w:val="22"/>
                <w:szCs w:val="22"/>
                <w:lang w:val="en-GB" w:eastAsia="en-US"/>
              </w:rPr>
              <w:t>3. jagu</w:t>
            </w:r>
          </w:p>
          <w:p w14:paraId="157683A0" w14:textId="1BADF651" w:rsidR="009F3584" w:rsidRPr="009F3584" w:rsidRDefault="009F3584" w:rsidP="009F3584">
            <w:pPr>
              <w:spacing w:before="0"/>
              <w:jc w:val="center"/>
              <w:rPr>
                <w:sz w:val="22"/>
                <w:szCs w:val="22"/>
                <w:lang w:val="en-GB" w:eastAsia="en-US"/>
              </w:rPr>
            </w:pPr>
            <w:r w:rsidRPr="009F3584">
              <w:rPr>
                <w:sz w:val="22"/>
                <w:szCs w:val="22"/>
                <w:lang w:val="en-GB" w:eastAsia="en-US"/>
              </w:rPr>
              <w:t>Investeerimisprojekti sihtrühm ja klientide kogemuse arvesse võtmine</w:t>
            </w:r>
          </w:p>
          <w:p w14:paraId="43815129" w14:textId="77777777" w:rsidR="009F3584" w:rsidRPr="009F3584" w:rsidRDefault="009F3584" w:rsidP="009F3584">
            <w:pPr>
              <w:rPr>
                <w:rFonts w:eastAsiaTheme="minorEastAsia"/>
                <w:lang w:val="en-GB" w:eastAsia="en-US"/>
              </w:rPr>
            </w:pPr>
          </w:p>
          <w:p w14:paraId="55E9E5ED" w14:textId="4FBE3C2A" w:rsidR="009F3584" w:rsidRDefault="009F3584" w:rsidP="00AB753A">
            <w:pPr>
              <w:pStyle w:val="TOC2"/>
              <w:spacing w:beforeLines="0" w:before="0" w:afterLines="0" w:after="0"/>
              <w:ind w:left="0"/>
              <w:rPr>
                <w:noProof/>
                <w:sz w:val="22"/>
                <w:szCs w:val="22"/>
              </w:rPr>
            </w:pPr>
            <w:r>
              <w:rPr>
                <w:noProof/>
                <w:sz w:val="22"/>
                <w:szCs w:val="22"/>
              </w:rPr>
              <w:t>§ 52. Üldised nõuded seoses investeerimisprojekti sihtrühma ja klientide kogemustega</w:t>
            </w:r>
          </w:p>
          <w:p w14:paraId="7834716F" w14:textId="20BB8BAB" w:rsidR="00AB753A" w:rsidRPr="00AB753A" w:rsidRDefault="00AB753A" w:rsidP="00AB753A">
            <w:pPr>
              <w:pStyle w:val="TOC2"/>
              <w:spacing w:beforeLines="0" w:before="0" w:afterLines="0" w:after="0"/>
              <w:ind w:left="0"/>
              <w:rPr>
                <w:noProof/>
                <w:sz w:val="22"/>
                <w:szCs w:val="22"/>
              </w:rPr>
            </w:pPr>
            <w:r w:rsidRPr="00AB753A">
              <w:rPr>
                <w:noProof/>
                <w:sz w:val="22"/>
                <w:szCs w:val="22"/>
              </w:rPr>
              <w:t>§ 53. Investeerimisprojekti asjakohasuse hindamine mittekogenud kliendi puhul</w:t>
            </w:r>
          </w:p>
          <w:p w14:paraId="19C1EE0D" w14:textId="77777777" w:rsidR="009F3584" w:rsidRDefault="009F3584" w:rsidP="00AB753A">
            <w:pPr>
              <w:pStyle w:val="TOC2"/>
              <w:spacing w:beforeLines="0" w:before="0" w:afterLines="0" w:after="0"/>
              <w:ind w:left="0"/>
              <w:rPr>
                <w:noProof/>
                <w:sz w:val="22"/>
                <w:szCs w:val="22"/>
              </w:rPr>
            </w:pPr>
          </w:p>
          <w:p w14:paraId="1706FF8B" w14:textId="2ED5B745" w:rsidR="009F3584" w:rsidRPr="000D0965" w:rsidRDefault="009F3584" w:rsidP="000D0965">
            <w:pPr>
              <w:spacing w:before="0"/>
              <w:jc w:val="center"/>
              <w:rPr>
                <w:sz w:val="22"/>
                <w:szCs w:val="22"/>
                <w:lang w:val="en-GB" w:eastAsia="en-US"/>
              </w:rPr>
            </w:pPr>
            <w:r w:rsidRPr="000D0965">
              <w:rPr>
                <w:sz w:val="22"/>
                <w:szCs w:val="22"/>
                <w:lang w:val="en-GB" w:eastAsia="en-US"/>
              </w:rPr>
              <w:t>4. jagu</w:t>
            </w:r>
          </w:p>
          <w:p w14:paraId="57E4AEAD" w14:textId="4C83986D" w:rsidR="009F3584" w:rsidRPr="000D0965" w:rsidRDefault="009F3584" w:rsidP="000D0965">
            <w:pPr>
              <w:spacing w:before="0"/>
              <w:jc w:val="center"/>
              <w:rPr>
                <w:sz w:val="22"/>
                <w:szCs w:val="22"/>
                <w:lang w:val="en-GB" w:eastAsia="en-US"/>
              </w:rPr>
            </w:pPr>
            <w:r w:rsidRPr="000D0965">
              <w:rPr>
                <w:sz w:val="22"/>
                <w:szCs w:val="22"/>
                <w:lang w:val="en-GB" w:eastAsia="en-US"/>
              </w:rPr>
              <w:t>Täiendavad nõuded krüptovarateenuste osutajatele</w:t>
            </w:r>
          </w:p>
          <w:p w14:paraId="6F7B6C3B" w14:textId="77777777" w:rsidR="009F3584" w:rsidRPr="009F3584" w:rsidRDefault="009F3584" w:rsidP="009F3584">
            <w:pPr>
              <w:rPr>
                <w:lang w:val="en-GB" w:eastAsia="en-US"/>
              </w:rPr>
            </w:pPr>
          </w:p>
          <w:p w14:paraId="0EF0B9DF" w14:textId="6CF3FD15" w:rsidR="00AB753A" w:rsidRDefault="00AB753A" w:rsidP="00AB753A">
            <w:pPr>
              <w:pStyle w:val="TOC2"/>
              <w:spacing w:beforeLines="0" w:before="0" w:afterLines="0" w:after="0"/>
              <w:ind w:left="0"/>
              <w:rPr>
                <w:noProof/>
                <w:sz w:val="22"/>
                <w:szCs w:val="22"/>
              </w:rPr>
            </w:pPr>
            <w:r w:rsidRPr="00AB753A">
              <w:rPr>
                <w:noProof/>
                <w:sz w:val="22"/>
                <w:szCs w:val="22"/>
              </w:rPr>
              <w:t>§ 54. Nõuded krüptovara hoidmise ja haldamise teenuse osutajale</w:t>
            </w:r>
          </w:p>
          <w:p w14:paraId="6740ECF6" w14:textId="5DEE5F2A" w:rsidR="009F3584" w:rsidRPr="000D0965" w:rsidRDefault="009F3584" w:rsidP="000D0965">
            <w:pPr>
              <w:pStyle w:val="TOC2"/>
              <w:spacing w:beforeLines="0" w:before="0" w:afterLines="0" w:after="0"/>
              <w:ind w:left="0"/>
              <w:rPr>
                <w:noProof/>
                <w:sz w:val="22"/>
                <w:szCs w:val="22"/>
              </w:rPr>
            </w:pPr>
            <w:r w:rsidRPr="000D0965">
              <w:rPr>
                <w:noProof/>
                <w:sz w:val="22"/>
                <w:szCs w:val="22"/>
              </w:rPr>
              <w:lastRenderedPageBreak/>
              <w:t>§ 55. Nõuded krüptovara kauplemise platvormi korraldamise teenuse osutajale</w:t>
            </w:r>
          </w:p>
          <w:p w14:paraId="44174DF1" w14:textId="1CC5B55D" w:rsidR="00AB753A" w:rsidRDefault="00AB753A" w:rsidP="00AB753A">
            <w:pPr>
              <w:pStyle w:val="TOC2"/>
              <w:spacing w:beforeLines="0" w:before="0" w:afterLines="0" w:after="0"/>
              <w:ind w:left="0"/>
              <w:rPr>
                <w:noProof/>
                <w:sz w:val="22"/>
                <w:szCs w:val="22"/>
              </w:rPr>
            </w:pPr>
            <w:r w:rsidRPr="00AB753A">
              <w:rPr>
                <w:noProof/>
                <w:sz w:val="22"/>
                <w:szCs w:val="22"/>
              </w:rPr>
              <w:t>§ 56. Nõuded krüptovara vahetamise teenuse osutajale</w:t>
            </w:r>
          </w:p>
          <w:p w14:paraId="67CB61DC" w14:textId="51128EFD" w:rsidR="009F3584" w:rsidRPr="000D0965" w:rsidRDefault="009F3584" w:rsidP="000D0965">
            <w:pPr>
              <w:pStyle w:val="TOC2"/>
              <w:spacing w:beforeLines="0" w:before="0" w:afterLines="0" w:after="0"/>
              <w:ind w:left="0"/>
              <w:rPr>
                <w:noProof/>
                <w:sz w:val="22"/>
                <w:szCs w:val="22"/>
              </w:rPr>
            </w:pPr>
            <w:r w:rsidRPr="000D0965">
              <w:rPr>
                <w:noProof/>
                <w:sz w:val="22"/>
                <w:szCs w:val="22"/>
              </w:rPr>
              <w:t>§ 57. Nõuded krüptovara pakkumise teenuse osutajale</w:t>
            </w:r>
          </w:p>
          <w:p w14:paraId="5004516E" w14:textId="2AD8201B" w:rsidR="009F3584" w:rsidRPr="000D0965" w:rsidRDefault="009F3584" w:rsidP="000D0965">
            <w:pPr>
              <w:pStyle w:val="TOC2"/>
              <w:spacing w:beforeLines="0" w:before="0" w:afterLines="0" w:after="0"/>
              <w:ind w:left="0"/>
              <w:rPr>
                <w:noProof/>
                <w:sz w:val="22"/>
                <w:szCs w:val="22"/>
              </w:rPr>
            </w:pPr>
            <w:r w:rsidRPr="000D0965">
              <w:rPr>
                <w:noProof/>
                <w:sz w:val="22"/>
                <w:szCs w:val="22"/>
              </w:rPr>
              <w:t>§ 58. Nõuded krüptovaraga seotud korralduste vastuvõtmise, täitmise ja edastamise teenuse osutajale</w:t>
            </w:r>
          </w:p>
          <w:p w14:paraId="559B9631" w14:textId="713A6624" w:rsidR="009F3584" w:rsidRPr="000D0965" w:rsidRDefault="009F3584" w:rsidP="000D0965">
            <w:pPr>
              <w:pStyle w:val="TOC2"/>
              <w:spacing w:beforeLines="0" w:before="0" w:afterLines="0" w:after="0"/>
              <w:ind w:left="0"/>
              <w:rPr>
                <w:noProof/>
                <w:sz w:val="22"/>
                <w:szCs w:val="22"/>
              </w:rPr>
            </w:pPr>
            <w:r w:rsidRPr="000D0965">
              <w:rPr>
                <w:noProof/>
                <w:sz w:val="22"/>
                <w:szCs w:val="22"/>
              </w:rPr>
              <w:t>§ 59. Nõuded krüptovara kohta nõu andmise teenuse või krüptovaraportfelli valitsemise teenuse osutajale</w:t>
            </w:r>
          </w:p>
          <w:p w14:paraId="686D7155" w14:textId="49A1A644" w:rsidR="009F3584" w:rsidRDefault="009F3584" w:rsidP="009F3584">
            <w:pPr>
              <w:rPr>
                <w:rFonts w:eastAsiaTheme="minorEastAsia"/>
                <w:lang w:val="en-GB" w:eastAsia="en-US"/>
              </w:rPr>
            </w:pPr>
          </w:p>
          <w:p w14:paraId="5974571E" w14:textId="2959ADAF" w:rsidR="009F3584" w:rsidRPr="000D0965" w:rsidRDefault="009F3584" w:rsidP="000D0965">
            <w:pPr>
              <w:spacing w:before="0"/>
              <w:jc w:val="center"/>
              <w:rPr>
                <w:sz w:val="22"/>
                <w:szCs w:val="22"/>
                <w:lang w:val="en-GB" w:eastAsia="en-US"/>
              </w:rPr>
            </w:pPr>
            <w:r w:rsidRPr="000D0965">
              <w:rPr>
                <w:sz w:val="22"/>
                <w:szCs w:val="22"/>
                <w:lang w:val="en-GB" w:eastAsia="en-US"/>
              </w:rPr>
              <w:t>5. jagu</w:t>
            </w:r>
          </w:p>
          <w:p w14:paraId="7068EB83" w14:textId="0B0A2270" w:rsidR="009F3584" w:rsidRPr="000D0965" w:rsidRDefault="009F3584" w:rsidP="000D0965">
            <w:pPr>
              <w:spacing w:before="0"/>
              <w:jc w:val="center"/>
              <w:rPr>
                <w:sz w:val="22"/>
                <w:szCs w:val="22"/>
                <w:lang w:val="en-GB" w:eastAsia="en-US"/>
              </w:rPr>
            </w:pPr>
            <w:r w:rsidRPr="000D0965">
              <w:rPr>
                <w:sz w:val="22"/>
                <w:szCs w:val="22"/>
                <w:lang w:val="en-GB" w:eastAsia="en-US"/>
              </w:rPr>
              <w:t>Täiendavad nõuded ühisrahastusteenuse osutajale</w:t>
            </w:r>
          </w:p>
          <w:p w14:paraId="1ED7DDE2" w14:textId="5A67ED9C" w:rsidR="000D0965" w:rsidRDefault="000D0965" w:rsidP="009F3584">
            <w:pPr>
              <w:rPr>
                <w:rFonts w:eastAsiaTheme="minorEastAsia"/>
                <w:lang w:val="en-GB" w:eastAsia="en-US"/>
              </w:rPr>
            </w:pPr>
          </w:p>
          <w:p w14:paraId="60135096" w14:textId="432F0B58" w:rsidR="000D0965" w:rsidRPr="000D0965" w:rsidRDefault="000D0965" w:rsidP="000D0965">
            <w:pPr>
              <w:pStyle w:val="TOC2"/>
              <w:spacing w:beforeLines="0" w:before="0" w:afterLines="0" w:after="0"/>
              <w:ind w:left="0"/>
              <w:rPr>
                <w:noProof/>
                <w:sz w:val="22"/>
                <w:szCs w:val="22"/>
              </w:rPr>
            </w:pPr>
            <w:r w:rsidRPr="000D0965">
              <w:rPr>
                <w:noProof/>
                <w:sz w:val="22"/>
                <w:szCs w:val="22"/>
              </w:rPr>
              <w:t>§ 60. Täiendavad teabe avalikustamise nõuded ühisrahastusprojektide kohta</w:t>
            </w:r>
          </w:p>
          <w:p w14:paraId="0366858A" w14:textId="0F3CB8AC" w:rsidR="000D0965" w:rsidRPr="000D0965" w:rsidRDefault="000D0965" w:rsidP="000D0965">
            <w:pPr>
              <w:pStyle w:val="TOC2"/>
              <w:spacing w:beforeLines="0" w:before="0" w:afterLines="0" w:after="0"/>
              <w:ind w:left="0"/>
              <w:rPr>
                <w:noProof/>
                <w:sz w:val="22"/>
                <w:szCs w:val="22"/>
              </w:rPr>
            </w:pPr>
            <w:r w:rsidRPr="000D0965">
              <w:rPr>
                <w:noProof/>
                <w:sz w:val="22"/>
                <w:szCs w:val="22"/>
              </w:rPr>
              <w:t>§ 61. Täiendavad teabe avalikustamise nõuded riskide suurenemise või realiseerumise korral seoses krediidipõhise ühisrahastusega</w:t>
            </w:r>
          </w:p>
          <w:p w14:paraId="4D15FDA7" w14:textId="278566B8" w:rsidR="00AB753A" w:rsidRDefault="00AB753A" w:rsidP="00AB753A">
            <w:pPr>
              <w:pStyle w:val="TOC2"/>
              <w:spacing w:beforeLines="0" w:before="0" w:afterLines="0" w:after="0"/>
              <w:ind w:left="0"/>
              <w:rPr>
                <w:noProof/>
                <w:sz w:val="22"/>
                <w:szCs w:val="22"/>
              </w:rPr>
            </w:pPr>
            <w:r w:rsidRPr="00AB753A">
              <w:rPr>
                <w:noProof/>
                <w:sz w:val="22"/>
                <w:szCs w:val="22"/>
              </w:rPr>
              <w:t>§ 62. Lepingueelne järelemõtlemisaeg mittekogenud klientidele ühisrahastusprojekti pakkumise korral</w:t>
            </w:r>
          </w:p>
          <w:p w14:paraId="43C25837" w14:textId="17C2ABBF" w:rsidR="000D0965" w:rsidRPr="000D0965" w:rsidRDefault="000D0965" w:rsidP="000D0965">
            <w:pPr>
              <w:pStyle w:val="TOC2"/>
              <w:spacing w:beforeLines="0" w:before="0" w:afterLines="0" w:after="0"/>
              <w:ind w:left="0"/>
              <w:rPr>
                <w:noProof/>
                <w:sz w:val="22"/>
                <w:szCs w:val="22"/>
              </w:rPr>
            </w:pPr>
            <w:r w:rsidRPr="000D0965">
              <w:rPr>
                <w:noProof/>
                <w:sz w:val="22"/>
                <w:szCs w:val="22"/>
              </w:rPr>
              <w:t>§ 63. Investeerimisprojekti tulususe või tootluse garanteerimine ja tagasiostugarantii</w:t>
            </w:r>
          </w:p>
          <w:p w14:paraId="22437948" w14:textId="627A68D7" w:rsidR="000D0965" w:rsidRPr="000D0965" w:rsidRDefault="000D0965" w:rsidP="000D0965">
            <w:pPr>
              <w:pStyle w:val="TOC2"/>
              <w:spacing w:beforeLines="0" w:before="0" w:afterLines="0" w:after="0"/>
              <w:ind w:left="0"/>
              <w:rPr>
                <w:noProof/>
                <w:sz w:val="22"/>
                <w:szCs w:val="22"/>
              </w:rPr>
            </w:pPr>
            <w:r w:rsidRPr="000D0965">
              <w:rPr>
                <w:noProof/>
                <w:sz w:val="22"/>
                <w:szCs w:val="22"/>
              </w:rPr>
              <w:t>§ 64. Eelseadistatud investeerimine ühisrahastusteenuse korral</w:t>
            </w:r>
          </w:p>
          <w:p w14:paraId="0D14F299" w14:textId="77ABA009" w:rsidR="000D0965" w:rsidRDefault="000D0965" w:rsidP="000D0965">
            <w:pPr>
              <w:rPr>
                <w:rFonts w:eastAsiaTheme="minorEastAsia"/>
                <w:lang w:val="en-GB" w:eastAsia="en-US"/>
              </w:rPr>
            </w:pPr>
          </w:p>
          <w:p w14:paraId="0E276BEA" w14:textId="537CC06D" w:rsidR="000D0965" w:rsidRPr="009F065E" w:rsidRDefault="000D0965" w:rsidP="000D0965">
            <w:pPr>
              <w:spacing w:before="0"/>
              <w:jc w:val="center"/>
              <w:rPr>
                <w:sz w:val="22"/>
                <w:szCs w:val="22"/>
                <w:lang w:val="en-GB" w:eastAsia="en-US"/>
              </w:rPr>
            </w:pPr>
            <w:r w:rsidRPr="009F065E">
              <w:rPr>
                <w:sz w:val="22"/>
                <w:szCs w:val="22"/>
                <w:lang w:val="en-GB" w:eastAsia="en-US"/>
              </w:rPr>
              <w:t>7. peatükk</w:t>
            </w:r>
          </w:p>
          <w:p w14:paraId="73EEEE4F" w14:textId="63AE19BB" w:rsidR="000D0965" w:rsidRPr="009F065E" w:rsidRDefault="000D0965" w:rsidP="000D0965">
            <w:pPr>
              <w:spacing w:before="0"/>
              <w:jc w:val="center"/>
              <w:rPr>
                <w:sz w:val="22"/>
                <w:szCs w:val="22"/>
                <w:lang w:val="en-GB" w:eastAsia="en-US"/>
              </w:rPr>
            </w:pPr>
            <w:r w:rsidRPr="009F065E">
              <w:rPr>
                <w:sz w:val="22"/>
                <w:szCs w:val="22"/>
                <w:lang w:val="en-GB" w:eastAsia="en-US"/>
              </w:rPr>
              <w:t>Nõuded rahastuse taotlemisele ja põhiteabedokumendile</w:t>
            </w:r>
          </w:p>
          <w:p w14:paraId="291E10A6" w14:textId="0171717F" w:rsidR="000D0965" w:rsidRPr="009F065E" w:rsidRDefault="000D0965" w:rsidP="000D0965">
            <w:pPr>
              <w:rPr>
                <w:rFonts w:eastAsiaTheme="minorEastAsia"/>
                <w:sz w:val="22"/>
                <w:szCs w:val="22"/>
                <w:lang w:val="en-GB" w:eastAsia="en-US"/>
              </w:rPr>
            </w:pPr>
          </w:p>
          <w:p w14:paraId="781BC9A9" w14:textId="09ED901F" w:rsidR="000D0965" w:rsidRPr="009F065E" w:rsidRDefault="000D0965" w:rsidP="000D0965">
            <w:pPr>
              <w:spacing w:before="0"/>
              <w:jc w:val="center"/>
              <w:rPr>
                <w:sz w:val="22"/>
                <w:szCs w:val="22"/>
                <w:lang w:val="en-GB" w:eastAsia="en-US"/>
              </w:rPr>
            </w:pPr>
            <w:r w:rsidRPr="009F065E">
              <w:rPr>
                <w:sz w:val="22"/>
                <w:szCs w:val="22"/>
                <w:lang w:val="en-GB" w:eastAsia="en-US"/>
              </w:rPr>
              <w:t>1. jagu</w:t>
            </w:r>
          </w:p>
          <w:p w14:paraId="79BEB625" w14:textId="61D7D90D" w:rsidR="000D0965" w:rsidRPr="009F065E" w:rsidRDefault="000D0965" w:rsidP="000D0965">
            <w:pPr>
              <w:spacing w:before="0"/>
              <w:jc w:val="center"/>
              <w:rPr>
                <w:sz w:val="22"/>
                <w:szCs w:val="22"/>
                <w:lang w:val="en-GB" w:eastAsia="en-US"/>
              </w:rPr>
            </w:pPr>
            <w:r w:rsidRPr="009F065E">
              <w:rPr>
                <w:sz w:val="22"/>
                <w:szCs w:val="22"/>
                <w:lang w:val="en-GB" w:eastAsia="en-US"/>
              </w:rPr>
              <w:t>Üldnõuded rahastuse taotlejale</w:t>
            </w:r>
          </w:p>
          <w:p w14:paraId="3E07700E" w14:textId="77777777" w:rsidR="000D0965" w:rsidRPr="009F065E" w:rsidRDefault="000D0965" w:rsidP="000D0965">
            <w:pPr>
              <w:pStyle w:val="TOC2"/>
              <w:spacing w:beforeLines="0" w:before="0" w:afterLines="0" w:after="0"/>
              <w:ind w:left="0"/>
              <w:rPr>
                <w:noProof/>
                <w:sz w:val="22"/>
                <w:szCs w:val="22"/>
              </w:rPr>
            </w:pPr>
          </w:p>
          <w:p w14:paraId="30AEAC0E" w14:textId="3E62A087" w:rsidR="000D0965" w:rsidRPr="009F065E" w:rsidRDefault="000D0965" w:rsidP="000D0965">
            <w:pPr>
              <w:pStyle w:val="TOC2"/>
              <w:spacing w:beforeLines="0" w:before="0" w:afterLines="0" w:after="0"/>
              <w:ind w:left="0"/>
              <w:rPr>
                <w:noProof/>
                <w:sz w:val="22"/>
                <w:szCs w:val="22"/>
              </w:rPr>
            </w:pPr>
            <w:r w:rsidRPr="009F065E">
              <w:rPr>
                <w:noProof/>
                <w:sz w:val="22"/>
                <w:szCs w:val="22"/>
              </w:rPr>
              <w:t>§ 65. Üldnõuded juriidilisest isikust rahastuse taotlejale</w:t>
            </w:r>
          </w:p>
          <w:p w14:paraId="3A6CE554" w14:textId="7EA6A972" w:rsidR="000D0965" w:rsidRPr="009F065E" w:rsidRDefault="000D0965" w:rsidP="000D0965">
            <w:pPr>
              <w:rPr>
                <w:rFonts w:eastAsiaTheme="minorEastAsia"/>
                <w:sz w:val="22"/>
                <w:szCs w:val="22"/>
                <w:lang w:val="en-GB" w:eastAsia="en-US"/>
              </w:rPr>
            </w:pPr>
          </w:p>
          <w:p w14:paraId="5ABF63C3" w14:textId="7318491C" w:rsidR="000D0965" w:rsidRPr="009F065E" w:rsidRDefault="000D0965" w:rsidP="000D0965">
            <w:pPr>
              <w:spacing w:before="0"/>
              <w:jc w:val="center"/>
              <w:rPr>
                <w:sz w:val="22"/>
                <w:szCs w:val="22"/>
                <w:lang w:val="en-GB" w:eastAsia="en-US"/>
              </w:rPr>
            </w:pPr>
            <w:r w:rsidRPr="009F065E">
              <w:rPr>
                <w:sz w:val="22"/>
                <w:szCs w:val="22"/>
                <w:lang w:val="en-GB" w:eastAsia="en-US"/>
              </w:rPr>
              <w:t>2. jagu</w:t>
            </w:r>
          </w:p>
          <w:p w14:paraId="05B9B2BC" w14:textId="2FD0E7F3" w:rsidR="000D0965" w:rsidRPr="009F065E" w:rsidRDefault="000D0965" w:rsidP="000D0965">
            <w:pPr>
              <w:spacing w:before="0"/>
              <w:jc w:val="center"/>
              <w:rPr>
                <w:sz w:val="22"/>
                <w:szCs w:val="22"/>
                <w:lang w:val="en-GB" w:eastAsia="en-US"/>
              </w:rPr>
            </w:pPr>
            <w:r w:rsidRPr="009F065E">
              <w:rPr>
                <w:sz w:val="22"/>
                <w:szCs w:val="22"/>
                <w:lang w:val="en-GB" w:eastAsia="en-US"/>
              </w:rPr>
              <w:t>Põhiteabedokument, kahju hüvitamine ja pakkumise peatamine</w:t>
            </w:r>
          </w:p>
          <w:p w14:paraId="7C5F1CFB" w14:textId="67E7C2DD" w:rsidR="000D0965" w:rsidRPr="009F065E" w:rsidRDefault="000D0965" w:rsidP="000D0965">
            <w:pPr>
              <w:rPr>
                <w:rFonts w:eastAsiaTheme="minorEastAsia"/>
                <w:sz w:val="22"/>
                <w:szCs w:val="22"/>
                <w:lang w:val="en-GB" w:eastAsia="en-US"/>
              </w:rPr>
            </w:pPr>
          </w:p>
          <w:p w14:paraId="412B97E3" w14:textId="79811AB0" w:rsidR="000D0965" w:rsidRPr="009F065E" w:rsidRDefault="000D0965" w:rsidP="000D0965">
            <w:pPr>
              <w:pStyle w:val="TOC2"/>
              <w:spacing w:beforeLines="0" w:before="0" w:afterLines="0" w:after="0"/>
              <w:ind w:left="0"/>
              <w:rPr>
                <w:noProof/>
                <w:sz w:val="22"/>
                <w:szCs w:val="22"/>
              </w:rPr>
            </w:pPr>
            <w:r w:rsidRPr="009F065E">
              <w:rPr>
                <w:noProof/>
                <w:sz w:val="22"/>
                <w:szCs w:val="22"/>
              </w:rPr>
              <w:t>§ 66. Nõuded põhiteabedokumendile</w:t>
            </w:r>
          </w:p>
          <w:p w14:paraId="68E9C4F3" w14:textId="0412DF6F" w:rsidR="000D0965" w:rsidRPr="009F065E" w:rsidRDefault="000D0965" w:rsidP="000D0965">
            <w:pPr>
              <w:pStyle w:val="TOC2"/>
              <w:spacing w:beforeLines="0" w:before="0" w:afterLines="0" w:after="0"/>
              <w:ind w:left="0"/>
              <w:rPr>
                <w:noProof/>
                <w:sz w:val="22"/>
                <w:szCs w:val="22"/>
              </w:rPr>
            </w:pPr>
            <w:r w:rsidRPr="009F065E">
              <w:rPr>
                <w:noProof/>
                <w:sz w:val="22"/>
                <w:szCs w:val="22"/>
              </w:rPr>
              <w:t>§ 67. Põhiteabedokumendi muutmine ja eksitava, vigase või ebatäpse teabe ilmnemisel põhiteabedokumendis</w:t>
            </w:r>
          </w:p>
          <w:p w14:paraId="63125A99" w14:textId="23AF243C" w:rsidR="000D0965" w:rsidRPr="009F065E" w:rsidRDefault="000D0965" w:rsidP="000D0965">
            <w:pPr>
              <w:pStyle w:val="TOC2"/>
              <w:spacing w:beforeLines="0" w:before="0" w:afterLines="0" w:after="0"/>
              <w:ind w:left="0"/>
              <w:rPr>
                <w:noProof/>
                <w:sz w:val="22"/>
                <w:szCs w:val="22"/>
              </w:rPr>
            </w:pPr>
            <w:r w:rsidRPr="009F065E">
              <w:rPr>
                <w:noProof/>
                <w:sz w:val="22"/>
                <w:szCs w:val="22"/>
              </w:rPr>
              <w:t>§ 68. Põhiteabedokumendi registreerimine Finantsinspektsioonis</w:t>
            </w:r>
          </w:p>
          <w:p w14:paraId="110DD6A9" w14:textId="0AD11A4B" w:rsidR="000D0965" w:rsidRPr="009F065E" w:rsidRDefault="000D0965" w:rsidP="000D0965">
            <w:pPr>
              <w:pStyle w:val="TOC2"/>
              <w:spacing w:beforeLines="0" w:before="0" w:afterLines="0" w:after="0"/>
              <w:ind w:left="0"/>
              <w:rPr>
                <w:noProof/>
                <w:sz w:val="22"/>
                <w:szCs w:val="22"/>
              </w:rPr>
            </w:pPr>
            <w:r w:rsidRPr="009F065E">
              <w:rPr>
                <w:noProof/>
                <w:sz w:val="22"/>
                <w:szCs w:val="22"/>
              </w:rPr>
              <w:t>§ 69. Finantsinspektsiooni õigused ja ülesanded seoses põhiteabedokumendiga ja õigus nõude põhiteabedokumendi muutmist</w:t>
            </w:r>
          </w:p>
          <w:p w14:paraId="12EA68CB" w14:textId="7933095D" w:rsidR="000D0965" w:rsidRPr="009F065E" w:rsidRDefault="000D0965" w:rsidP="000D0965">
            <w:pPr>
              <w:pStyle w:val="TOC2"/>
              <w:spacing w:beforeLines="0" w:before="0" w:afterLines="0" w:after="0"/>
              <w:ind w:left="0"/>
              <w:rPr>
                <w:noProof/>
                <w:sz w:val="22"/>
                <w:szCs w:val="22"/>
              </w:rPr>
            </w:pPr>
            <w:r w:rsidRPr="009F065E">
              <w:rPr>
                <w:noProof/>
                <w:sz w:val="22"/>
                <w:szCs w:val="22"/>
              </w:rPr>
              <w:t>§ 70. Klientidele kahju hüvitamine</w:t>
            </w:r>
          </w:p>
          <w:p w14:paraId="35FB3331" w14:textId="17A75D8F" w:rsidR="000D0965" w:rsidRPr="009F065E" w:rsidRDefault="000D0965" w:rsidP="000D0965">
            <w:pPr>
              <w:pStyle w:val="TOC2"/>
              <w:spacing w:beforeLines="0" w:before="0" w:afterLines="0" w:after="0"/>
              <w:ind w:left="0"/>
              <w:rPr>
                <w:noProof/>
                <w:sz w:val="22"/>
                <w:szCs w:val="22"/>
              </w:rPr>
            </w:pPr>
            <w:r w:rsidRPr="009F065E">
              <w:rPr>
                <w:noProof/>
                <w:sz w:val="22"/>
                <w:szCs w:val="22"/>
              </w:rPr>
              <w:t>§ 71. Investeerimisprojekti pakkumise peatamine ja lõpetamine</w:t>
            </w:r>
          </w:p>
          <w:p w14:paraId="5880E6FD" w14:textId="77777777" w:rsidR="000D0965" w:rsidRPr="009F065E" w:rsidRDefault="000D0965" w:rsidP="000D0965">
            <w:pPr>
              <w:rPr>
                <w:rFonts w:eastAsiaTheme="minorEastAsia"/>
                <w:sz w:val="22"/>
                <w:szCs w:val="22"/>
                <w:lang w:val="en-GB" w:eastAsia="en-US"/>
              </w:rPr>
            </w:pPr>
          </w:p>
          <w:p w14:paraId="15988172" w14:textId="77777777" w:rsidR="00AB753A" w:rsidRPr="009F065E" w:rsidRDefault="00AB753A" w:rsidP="009F065E">
            <w:pPr>
              <w:pStyle w:val="TOC1"/>
              <w:rPr>
                <w:rFonts w:eastAsiaTheme="minorEastAsia"/>
                <w:noProof/>
                <w:sz w:val="22"/>
                <w:szCs w:val="22"/>
                <w:lang w:eastAsia="et-EE"/>
              </w:rPr>
            </w:pPr>
            <w:r w:rsidRPr="009F065E">
              <w:rPr>
                <w:noProof/>
                <w:sz w:val="22"/>
                <w:szCs w:val="22"/>
              </w:rPr>
              <w:t>8. peatükk</w:t>
            </w:r>
          </w:p>
          <w:p w14:paraId="16AAB4A7" w14:textId="47340959" w:rsidR="00AB753A" w:rsidRPr="009F065E" w:rsidRDefault="009F065E" w:rsidP="009F065E">
            <w:pPr>
              <w:pStyle w:val="TOC1"/>
              <w:rPr>
                <w:rFonts w:eastAsiaTheme="minorEastAsia"/>
                <w:noProof/>
                <w:sz w:val="22"/>
                <w:szCs w:val="22"/>
              </w:rPr>
            </w:pPr>
            <w:r w:rsidRPr="009F065E">
              <w:rPr>
                <w:noProof/>
                <w:sz w:val="22"/>
                <w:szCs w:val="22"/>
              </w:rPr>
              <w:t>Nõuded kapitalile, omavahenditele ja varade hoidmisele</w:t>
            </w:r>
            <w:r w:rsidR="00AB753A" w:rsidRPr="009F065E">
              <w:rPr>
                <w:noProof/>
                <w:sz w:val="22"/>
                <w:szCs w:val="22"/>
              </w:rPr>
              <w:br/>
            </w:r>
          </w:p>
          <w:p w14:paraId="2DE13406" w14:textId="2DB50F6E" w:rsidR="00AB753A" w:rsidRPr="009F065E" w:rsidRDefault="00AB753A" w:rsidP="009F065E">
            <w:pPr>
              <w:pStyle w:val="TOC2"/>
              <w:spacing w:beforeLines="0" w:before="0" w:afterLines="0" w:after="0"/>
              <w:ind w:left="0"/>
              <w:rPr>
                <w:noProof/>
                <w:sz w:val="22"/>
                <w:szCs w:val="22"/>
              </w:rPr>
            </w:pPr>
            <w:r w:rsidRPr="009F065E">
              <w:rPr>
                <w:noProof/>
                <w:sz w:val="22"/>
                <w:szCs w:val="22"/>
              </w:rPr>
              <w:t>§ 72. Teenuseosutaja osa- või aktsiakapital</w:t>
            </w:r>
          </w:p>
          <w:p w14:paraId="161DCBF3" w14:textId="3CC7B59B" w:rsidR="009F065E" w:rsidRPr="009F065E" w:rsidRDefault="009F065E" w:rsidP="009F065E">
            <w:pPr>
              <w:pStyle w:val="TOC2"/>
              <w:spacing w:beforeLines="0" w:before="0" w:afterLines="0" w:after="0"/>
              <w:ind w:left="0"/>
              <w:rPr>
                <w:noProof/>
                <w:sz w:val="22"/>
                <w:szCs w:val="22"/>
              </w:rPr>
            </w:pPr>
            <w:r w:rsidRPr="009F065E">
              <w:rPr>
                <w:noProof/>
                <w:sz w:val="22"/>
                <w:szCs w:val="22"/>
              </w:rPr>
              <w:t>§ 73. Nõuded teenuseosutaja omavahenditele</w:t>
            </w:r>
          </w:p>
          <w:p w14:paraId="33959D5A" w14:textId="77777777" w:rsidR="00AB753A" w:rsidRPr="009F065E" w:rsidRDefault="00AB753A" w:rsidP="009F065E">
            <w:pPr>
              <w:pStyle w:val="TOC2"/>
              <w:spacing w:beforeLines="0" w:before="0" w:afterLines="0" w:after="0"/>
              <w:ind w:left="0"/>
              <w:rPr>
                <w:noProof/>
                <w:sz w:val="22"/>
                <w:szCs w:val="22"/>
              </w:rPr>
            </w:pPr>
            <w:r w:rsidRPr="009F065E">
              <w:rPr>
                <w:noProof/>
                <w:sz w:val="22"/>
                <w:szCs w:val="22"/>
              </w:rPr>
              <w:t>§ 74. Kliendi vara hoidmise nõuded</w:t>
            </w:r>
          </w:p>
          <w:p w14:paraId="0DC25100" w14:textId="77777777" w:rsidR="00AB753A" w:rsidRPr="009F065E" w:rsidRDefault="00AB753A" w:rsidP="00AB753A">
            <w:pPr>
              <w:spacing w:before="0"/>
              <w:rPr>
                <w:rFonts w:eastAsiaTheme="minorEastAsia"/>
                <w:sz w:val="22"/>
                <w:szCs w:val="22"/>
              </w:rPr>
            </w:pPr>
          </w:p>
          <w:p w14:paraId="72AA3587" w14:textId="77777777" w:rsidR="00AB753A" w:rsidRPr="009F065E" w:rsidRDefault="00AB753A" w:rsidP="00AB753A">
            <w:pPr>
              <w:pStyle w:val="TOC2"/>
              <w:jc w:val="center"/>
              <w:rPr>
                <w:rFonts w:eastAsiaTheme="minorEastAsia"/>
                <w:noProof/>
                <w:sz w:val="22"/>
                <w:szCs w:val="22"/>
                <w:lang w:eastAsia="et-EE"/>
              </w:rPr>
            </w:pPr>
            <w:r w:rsidRPr="009F065E">
              <w:rPr>
                <w:noProof/>
                <w:sz w:val="22"/>
                <w:szCs w:val="22"/>
              </w:rPr>
              <w:t>9. peatükk</w:t>
            </w:r>
          </w:p>
          <w:p w14:paraId="06D475A8" w14:textId="77777777" w:rsidR="00AB753A" w:rsidRPr="00045571" w:rsidRDefault="00AB753A" w:rsidP="00AB753A">
            <w:pPr>
              <w:pStyle w:val="TOC2"/>
              <w:jc w:val="center"/>
              <w:rPr>
                <w:rFonts w:eastAsiaTheme="minorEastAsia"/>
                <w:noProof/>
                <w:sz w:val="22"/>
              </w:rPr>
            </w:pPr>
            <w:r w:rsidRPr="009F065E">
              <w:rPr>
                <w:noProof/>
                <w:sz w:val="22"/>
                <w:szCs w:val="22"/>
              </w:rPr>
              <w:t>Raamatupidamine ja aruannete esitamine Finantsinspektsioonile</w:t>
            </w:r>
            <w:r>
              <w:rPr>
                <w:noProof/>
                <w:sz w:val="22"/>
              </w:rPr>
              <w:br/>
            </w:r>
          </w:p>
          <w:p w14:paraId="1FB25A04" w14:textId="77777777" w:rsidR="00AB753A" w:rsidRPr="009F065E" w:rsidRDefault="00AB753A" w:rsidP="009F065E">
            <w:pPr>
              <w:pStyle w:val="TOC2"/>
              <w:spacing w:beforeLines="0" w:before="0" w:afterLines="0" w:after="0"/>
              <w:ind w:left="0"/>
              <w:rPr>
                <w:noProof/>
                <w:sz w:val="22"/>
                <w:szCs w:val="22"/>
              </w:rPr>
            </w:pPr>
            <w:r w:rsidRPr="009F065E">
              <w:rPr>
                <w:noProof/>
                <w:sz w:val="22"/>
                <w:szCs w:val="22"/>
              </w:rPr>
              <w:t>§ 75. Raamatupidamise korraldamine</w:t>
            </w:r>
          </w:p>
          <w:p w14:paraId="183416D5" w14:textId="77777777" w:rsidR="00AB753A" w:rsidRPr="009F065E" w:rsidRDefault="00AB753A" w:rsidP="009F065E">
            <w:pPr>
              <w:pStyle w:val="TOC2"/>
              <w:spacing w:beforeLines="0" w:before="0" w:afterLines="0" w:after="0"/>
              <w:ind w:left="0"/>
              <w:rPr>
                <w:noProof/>
                <w:sz w:val="22"/>
                <w:szCs w:val="22"/>
              </w:rPr>
            </w:pPr>
            <w:r w:rsidRPr="009F065E">
              <w:rPr>
                <w:noProof/>
                <w:sz w:val="22"/>
                <w:szCs w:val="22"/>
              </w:rPr>
              <w:t>§ 76. Aruannete esitamine Finantsinspektsioonile</w:t>
            </w:r>
          </w:p>
          <w:p w14:paraId="215CB8E1" w14:textId="77777777" w:rsidR="00AB753A" w:rsidRPr="009F065E" w:rsidRDefault="00AB753A" w:rsidP="009F065E">
            <w:pPr>
              <w:pStyle w:val="TOC2"/>
              <w:spacing w:beforeLines="0" w:before="0" w:afterLines="0" w:after="0"/>
              <w:ind w:left="0"/>
              <w:rPr>
                <w:noProof/>
                <w:sz w:val="22"/>
                <w:szCs w:val="22"/>
              </w:rPr>
            </w:pPr>
            <w:r w:rsidRPr="009F065E">
              <w:rPr>
                <w:noProof/>
                <w:sz w:val="22"/>
                <w:szCs w:val="22"/>
              </w:rPr>
              <w:t>§ 77. Finantsinspektsioonile esitatud aruannete kontroll, puuduste kõrvaldamine ja algandmete säilitamine</w:t>
            </w:r>
          </w:p>
          <w:p w14:paraId="7D2D5EDC" w14:textId="75C217E9" w:rsidR="00AB753A" w:rsidRDefault="00AB753A" w:rsidP="009F065E">
            <w:pPr>
              <w:pStyle w:val="TOC2"/>
              <w:spacing w:beforeLines="0" w:before="0" w:afterLines="0" w:after="0"/>
              <w:ind w:left="0"/>
              <w:rPr>
                <w:noProof/>
                <w:sz w:val="22"/>
                <w:szCs w:val="22"/>
              </w:rPr>
            </w:pPr>
            <w:r w:rsidRPr="009F065E">
              <w:rPr>
                <w:noProof/>
                <w:sz w:val="22"/>
                <w:szCs w:val="22"/>
              </w:rPr>
              <w:lastRenderedPageBreak/>
              <w:t>§ 78. Audiitorkontroll</w:t>
            </w:r>
          </w:p>
          <w:p w14:paraId="321C3FDB" w14:textId="5271136D" w:rsidR="009F065E" w:rsidRPr="009F065E" w:rsidRDefault="009F065E" w:rsidP="009F065E">
            <w:pPr>
              <w:pStyle w:val="TOC2"/>
              <w:spacing w:beforeLines="0" w:before="0" w:afterLines="0" w:after="0"/>
              <w:ind w:left="0"/>
              <w:rPr>
                <w:noProof/>
                <w:sz w:val="22"/>
                <w:szCs w:val="22"/>
              </w:rPr>
            </w:pPr>
            <w:r w:rsidRPr="009F065E">
              <w:rPr>
                <w:noProof/>
                <w:sz w:val="22"/>
                <w:szCs w:val="22"/>
              </w:rPr>
              <w:t>§ 79. Audiitorettevõtja informeerimiskohustus</w:t>
            </w:r>
          </w:p>
          <w:p w14:paraId="57031529" w14:textId="77777777" w:rsidR="009F065E" w:rsidRPr="00F614AE" w:rsidRDefault="009F065E" w:rsidP="009F065E">
            <w:pPr>
              <w:rPr>
                <w:rFonts w:eastAsiaTheme="minorEastAsia"/>
                <w:sz w:val="22"/>
                <w:szCs w:val="22"/>
                <w:lang w:val="en-GB" w:eastAsia="en-US"/>
              </w:rPr>
            </w:pPr>
          </w:p>
          <w:p w14:paraId="509D16EE" w14:textId="77777777" w:rsidR="00AB753A" w:rsidRPr="00F614AE" w:rsidRDefault="00AB753A" w:rsidP="009F065E">
            <w:pPr>
              <w:pStyle w:val="TOC1"/>
              <w:rPr>
                <w:rFonts w:eastAsiaTheme="minorEastAsia"/>
                <w:noProof/>
                <w:sz w:val="22"/>
                <w:szCs w:val="22"/>
                <w:lang w:eastAsia="et-EE"/>
              </w:rPr>
            </w:pPr>
            <w:r w:rsidRPr="00F614AE">
              <w:rPr>
                <w:noProof/>
                <w:sz w:val="22"/>
                <w:szCs w:val="22"/>
              </w:rPr>
              <w:t>10. peatükk</w:t>
            </w:r>
          </w:p>
          <w:p w14:paraId="35858FCA" w14:textId="77777777" w:rsidR="00AB753A" w:rsidRPr="00F614AE" w:rsidRDefault="00AB753A" w:rsidP="009F065E">
            <w:pPr>
              <w:pStyle w:val="TOC1"/>
              <w:rPr>
                <w:rFonts w:eastAsiaTheme="minorEastAsia"/>
                <w:noProof/>
                <w:sz w:val="22"/>
                <w:szCs w:val="22"/>
                <w:lang w:eastAsia="et-EE"/>
              </w:rPr>
            </w:pPr>
            <w:r w:rsidRPr="00F614AE">
              <w:rPr>
                <w:noProof/>
                <w:sz w:val="22"/>
                <w:szCs w:val="22"/>
              </w:rPr>
              <w:t>Teenuseosutaja ümberkujundamine, ühinemine</w:t>
            </w:r>
            <w:r w:rsidRPr="00F614AE">
              <w:rPr>
                <w:caps/>
                <w:noProof/>
                <w:sz w:val="22"/>
                <w:szCs w:val="22"/>
              </w:rPr>
              <w:t>,</w:t>
            </w:r>
            <w:r w:rsidRPr="00F614AE">
              <w:rPr>
                <w:noProof/>
                <w:sz w:val="22"/>
                <w:szCs w:val="22"/>
              </w:rPr>
              <w:t xml:space="preserve"> lõpetamine ja pankrot</w:t>
            </w:r>
            <w:r w:rsidRPr="00F614AE">
              <w:rPr>
                <w:noProof/>
                <w:sz w:val="22"/>
                <w:szCs w:val="22"/>
              </w:rPr>
              <w:br/>
            </w:r>
          </w:p>
          <w:p w14:paraId="5FE9FE5D" w14:textId="77777777" w:rsidR="00AB753A" w:rsidRPr="00F614AE" w:rsidRDefault="00AB753A" w:rsidP="009F065E">
            <w:pPr>
              <w:pStyle w:val="TOC2"/>
              <w:spacing w:beforeLines="0" w:before="0" w:afterLines="0" w:after="0"/>
              <w:ind w:left="0"/>
              <w:rPr>
                <w:noProof/>
                <w:sz w:val="22"/>
                <w:szCs w:val="22"/>
              </w:rPr>
            </w:pPr>
            <w:r w:rsidRPr="00F614AE">
              <w:rPr>
                <w:noProof/>
                <w:sz w:val="22"/>
                <w:szCs w:val="22"/>
              </w:rPr>
              <w:t>§ 80. Ümberkujundamine</w:t>
            </w:r>
          </w:p>
          <w:p w14:paraId="2ED028A7" w14:textId="77777777" w:rsidR="00AB753A" w:rsidRPr="00F614AE" w:rsidRDefault="00AB753A" w:rsidP="009F065E">
            <w:pPr>
              <w:pStyle w:val="TOC2"/>
              <w:spacing w:beforeLines="0" w:before="0" w:afterLines="0" w:after="0"/>
              <w:ind w:left="0"/>
              <w:rPr>
                <w:noProof/>
                <w:sz w:val="22"/>
                <w:szCs w:val="22"/>
              </w:rPr>
            </w:pPr>
            <w:r w:rsidRPr="00F614AE">
              <w:rPr>
                <w:noProof/>
                <w:sz w:val="22"/>
                <w:szCs w:val="22"/>
              </w:rPr>
              <w:t>§ 81. Ühinemine</w:t>
            </w:r>
          </w:p>
          <w:p w14:paraId="02B4539B" w14:textId="77777777" w:rsidR="00AB753A" w:rsidRPr="00F614AE" w:rsidRDefault="00AB753A" w:rsidP="009F065E">
            <w:pPr>
              <w:pStyle w:val="TOC2"/>
              <w:spacing w:beforeLines="0" w:before="0" w:afterLines="0" w:after="0"/>
              <w:ind w:left="0"/>
              <w:rPr>
                <w:noProof/>
                <w:sz w:val="22"/>
                <w:szCs w:val="22"/>
              </w:rPr>
            </w:pPr>
            <w:r w:rsidRPr="00F614AE">
              <w:rPr>
                <w:noProof/>
                <w:sz w:val="22"/>
                <w:szCs w:val="22"/>
              </w:rPr>
              <w:t>§ 82. Jagunemine</w:t>
            </w:r>
          </w:p>
          <w:p w14:paraId="5AF818FB" w14:textId="77777777" w:rsidR="00AB753A" w:rsidRPr="00F614AE" w:rsidRDefault="00AB753A" w:rsidP="009F065E">
            <w:pPr>
              <w:pStyle w:val="TOC2"/>
              <w:spacing w:beforeLines="0" w:before="0" w:afterLines="0" w:after="0"/>
              <w:ind w:left="0"/>
              <w:rPr>
                <w:noProof/>
                <w:sz w:val="22"/>
                <w:szCs w:val="22"/>
              </w:rPr>
            </w:pPr>
            <w:r w:rsidRPr="00F614AE">
              <w:rPr>
                <w:noProof/>
                <w:sz w:val="22"/>
                <w:szCs w:val="22"/>
              </w:rPr>
              <w:t>§ 83. Tegevuskava äritegevuse lõppemise kohta</w:t>
            </w:r>
          </w:p>
          <w:p w14:paraId="7AE32D73" w14:textId="77777777" w:rsidR="00AB753A" w:rsidRPr="00F614AE" w:rsidRDefault="00AB753A" w:rsidP="009F065E">
            <w:pPr>
              <w:pStyle w:val="TOC2"/>
              <w:spacing w:beforeLines="0" w:before="0" w:afterLines="0" w:after="0"/>
              <w:ind w:left="0"/>
              <w:rPr>
                <w:noProof/>
                <w:sz w:val="22"/>
                <w:szCs w:val="22"/>
              </w:rPr>
            </w:pPr>
            <w:r w:rsidRPr="00F614AE">
              <w:rPr>
                <w:noProof/>
                <w:sz w:val="22"/>
                <w:szCs w:val="22"/>
              </w:rPr>
              <w:t>§ 84. Lõpetamine</w:t>
            </w:r>
          </w:p>
          <w:p w14:paraId="78538491" w14:textId="1EFC9642" w:rsidR="00AB753A" w:rsidRPr="00F614AE" w:rsidRDefault="00AB753A" w:rsidP="009F065E">
            <w:pPr>
              <w:pStyle w:val="TOC2"/>
              <w:spacing w:beforeLines="0" w:before="0" w:afterLines="0" w:after="0"/>
              <w:ind w:left="0"/>
              <w:rPr>
                <w:noProof/>
                <w:sz w:val="22"/>
                <w:szCs w:val="22"/>
              </w:rPr>
            </w:pPr>
            <w:r w:rsidRPr="00F614AE">
              <w:rPr>
                <w:noProof/>
                <w:sz w:val="22"/>
                <w:szCs w:val="22"/>
              </w:rPr>
              <w:t>§ 85. Pankrot</w:t>
            </w:r>
          </w:p>
          <w:p w14:paraId="5B1D2077" w14:textId="77777777" w:rsidR="00F614AE" w:rsidRPr="00F614AE" w:rsidRDefault="00F614AE" w:rsidP="00F614AE">
            <w:pPr>
              <w:rPr>
                <w:rFonts w:eastAsiaTheme="minorEastAsia"/>
                <w:sz w:val="22"/>
                <w:szCs w:val="22"/>
                <w:lang w:val="en-GB" w:eastAsia="en-US"/>
              </w:rPr>
            </w:pPr>
          </w:p>
          <w:p w14:paraId="3711AF2E" w14:textId="77777777" w:rsidR="00AB753A" w:rsidRPr="00F614AE" w:rsidRDefault="00AB753A" w:rsidP="009F065E">
            <w:pPr>
              <w:pStyle w:val="TOC1"/>
              <w:rPr>
                <w:rFonts w:eastAsiaTheme="minorEastAsia"/>
                <w:noProof/>
                <w:sz w:val="22"/>
                <w:szCs w:val="22"/>
                <w:lang w:eastAsia="et-EE"/>
              </w:rPr>
            </w:pPr>
            <w:r w:rsidRPr="00F614AE">
              <w:rPr>
                <w:noProof/>
                <w:sz w:val="22"/>
                <w:szCs w:val="22"/>
              </w:rPr>
              <w:t>11. peatükk</w:t>
            </w:r>
          </w:p>
          <w:p w14:paraId="3C7A3EF8" w14:textId="6489F9D6" w:rsidR="00AB753A" w:rsidRPr="00F614AE" w:rsidRDefault="00AB753A" w:rsidP="009F065E">
            <w:pPr>
              <w:pStyle w:val="TOC1"/>
              <w:rPr>
                <w:noProof/>
                <w:sz w:val="22"/>
                <w:szCs w:val="22"/>
              </w:rPr>
            </w:pPr>
            <w:r w:rsidRPr="00F614AE">
              <w:rPr>
                <w:noProof/>
                <w:sz w:val="22"/>
                <w:szCs w:val="22"/>
              </w:rPr>
              <w:t>Järelevalve</w:t>
            </w:r>
          </w:p>
          <w:p w14:paraId="51DA30CA" w14:textId="5A80F810" w:rsidR="009F065E" w:rsidRPr="00F614AE" w:rsidRDefault="009F065E" w:rsidP="00F614AE">
            <w:pPr>
              <w:pStyle w:val="TOC2"/>
              <w:spacing w:beforeLines="0" w:before="0" w:afterLines="0" w:after="0"/>
              <w:ind w:left="0"/>
              <w:rPr>
                <w:noProof/>
                <w:sz w:val="22"/>
                <w:szCs w:val="22"/>
              </w:rPr>
            </w:pPr>
            <w:r w:rsidRPr="00F614AE">
              <w:rPr>
                <w:rFonts w:eastAsiaTheme="minorEastAsia"/>
                <w:sz w:val="22"/>
                <w:szCs w:val="22"/>
              </w:rPr>
              <w:br/>
            </w:r>
            <w:r w:rsidRPr="00F614AE">
              <w:rPr>
                <w:noProof/>
                <w:sz w:val="22"/>
                <w:szCs w:val="22"/>
              </w:rPr>
              <w:t>§ 86. Järelevalve eesmärk</w:t>
            </w:r>
          </w:p>
          <w:p w14:paraId="20B95E66" w14:textId="52EBE8CC" w:rsidR="009F065E" w:rsidRPr="00F614AE" w:rsidRDefault="009F065E" w:rsidP="00F614AE">
            <w:pPr>
              <w:pStyle w:val="TOC2"/>
              <w:spacing w:beforeLines="0" w:before="0" w:afterLines="0" w:after="0"/>
              <w:ind w:left="0"/>
              <w:rPr>
                <w:noProof/>
                <w:sz w:val="22"/>
                <w:szCs w:val="22"/>
              </w:rPr>
            </w:pPr>
            <w:r w:rsidRPr="00F614AE">
              <w:rPr>
                <w:noProof/>
                <w:sz w:val="22"/>
                <w:szCs w:val="22"/>
              </w:rPr>
              <w:t>§ 87. Järelevalve alused ja ulatus ning järelevalve teostamine</w:t>
            </w:r>
          </w:p>
          <w:p w14:paraId="3F4EBF0A" w14:textId="6236FDA0" w:rsidR="009F065E" w:rsidRPr="00F614AE" w:rsidRDefault="009F065E" w:rsidP="00F614AE">
            <w:pPr>
              <w:pStyle w:val="TOC2"/>
              <w:spacing w:beforeLines="0" w:before="0" w:afterLines="0" w:after="0"/>
              <w:ind w:left="0"/>
              <w:rPr>
                <w:noProof/>
                <w:sz w:val="22"/>
                <w:szCs w:val="22"/>
              </w:rPr>
            </w:pPr>
            <w:r w:rsidRPr="00F614AE">
              <w:rPr>
                <w:noProof/>
                <w:sz w:val="22"/>
                <w:szCs w:val="22"/>
              </w:rPr>
              <w:t>§ 88. Järelevalve välisriigis filiaali registreeritud teenuseosutaja ja piiriüleselt teenuseid osutava teenuseosutaja üle</w:t>
            </w:r>
          </w:p>
          <w:p w14:paraId="72ACC4E7" w14:textId="1A31D516" w:rsidR="009F065E" w:rsidRPr="00F614AE" w:rsidRDefault="009F065E" w:rsidP="00F614AE">
            <w:pPr>
              <w:pStyle w:val="TOC2"/>
              <w:spacing w:beforeLines="0" w:before="0" w:afterLines="0" w:after="0"/>
              <w:ind w:left="0"/>
              <w:rPr>
                <w:noProof/>
                <w:sz w:val="22"/>
                <w:szCs w:val="22"/>
              </w:rPr>
            </w:pPr>
            <w:r w:rsidRPr="00F614AE">
              <w:rPr>
                <w:noProof/>
                <w:sz w:val="22"/>
                <w:szCs w:val="22"/>
              </w:rPr>
              <w:t>§ 89. Järelevalve teise lepinguriigi isiku Eestis registreeritud filiaali ja Eestis piiriüleselt teenuseid osutava isiku üle</w:t>
            </w:r>
          </w:p>
          <w:p w14:paraId="04C864F8" w14:textId="2A4582AA" w:rsidR="009F065E" w:rsidRPr="00F614AE" w:rsidRDefault="009F065E" w:rsidP="00F614AE">
            <w:pPr>
              <w:pStyle w:val="TOC2"/>
              <w:spacing w:beforeLines="0" w:before="0" w:afterLines="0" w:after="0"/>
              <w:ind w:left="0"/>
              <w:rPr>
                <w:noProof/>
                <w:sz w:val="22"/>
                <w:szCs w:val="22"/>
              </w:rPr>
            </w:pPr>
            <w:r w:rsidRPr="00F614AE">
              <w:rPr>
                <w:noProof/>
                <w:sz w:val="22"/>
                <w:szCs w:val="22"/>
              </w:rPr>
              <w:t>§ 90. Menetlusosalise õigused ja kohustused järelevalvemenetluses</w:t>
            </w:r>
          </w:p>
          <w:p w14:paraId="47B282CF" w14:textId="75A47AF7" w:rsidR="009F065E" w:rsidRPr="00F614AE" w:rsidRDefault="009F065E" w:rsidP="00F614AE">
            <w:pPr>
              <w:pStyle w:val="TOC2"/>
              <w:spacing w:beforeLines="0" w:before="0" w:afterLines="0" w:after="0"/>
              <w:ind w:left="0"/>
              <w:rPr>
                <w:noProof/>
                <w:sz w:val="22"/>
                <w:szCs w:val="22"/>
              </w:rPr>
            </w:pPr>
            <w:r w:rsidRPr="00F614AE">
              <w:rPr>
                <w:noProof/>
                <w:sz w:val="22"/>
                <w:szCs w:val="22"/>
              </w:rPr>
              <w:t>§ 91. Finantsinspektsiooni õigused info saamisel</w:t>
            </w:r>
          </w:p>
          <w:p w14:paraId="420E4A78" w14:textId="420AB563" w:rsidR="009F065E" w:rsidRPr="00F614AE" w:rsidRDefault="009F065E" w:rsidP="00F614AE">
            <w:pPr>
              <w:pStyle w:val="TOC2"/>
              <w:spacing w:beforeLines="0" w:before="0" w:afterLines="0" w:after="0"/>
              <w:ind w:left="0"/>
              <w:rPr>
                <w:noProof/>
                <w:sz w:val="22"/>
                <w:szCs w:val="22"/>
              </w:rPr>
            </w:pPr>
            <w:r w:rsidRPr="00F614AE">
              <w:rPr>
                <w:noProof/>
                <w:sz w:val="22"/>
                <w:szCs w:val="22"/>
              </w:rPr>
              <w:t>§ 92. Selgituste andmisest keeldumise alused</w:t>
            </w:r>
          </w:p>
          <w:p w14:paraId="2FDD7513" w14:textId="5CC2058D" w:rsidR="009F065E" w:rsidRPr="00F614AE" w:rsidRDefault="009F065E" w:rsidP="00F614AE">
            <w:pPr>
              <w:pStyle w:val="TOC2"/>
              <w:spacing w:beforeLines="0" w:before="0" w:afterLines="0" w:after="0"/>
              <w:ind w:left="0"/>
              <w:rPr>
                <w:noProof/>
                <w:sz w:val="22"/>
                <w:szCs w:val="22"/>
              </w:rPr>
            </w:pPr>
            <w:r w:rsidRPr="00F614AE">
              <w:rPr>
                <w:noProof/>
                <w:sz w:val="22"/>
                <w:szCs w:val="22"/>
              </w:rPr>
              <w:t>§ 93. Kohapealne kontroll</w:t>
            </w:r>
          </w:p>
          <w:p w14:paraId="1A5BDEA6" w14:textId="4B3C62A5" w:rsidR="009F065E" w:rsidRPr="00F614AE" w:rsidRDefault="009F065E" w:rsidP="00F614AE">
            <w:pPr>
              <w:pStyle w:val="TOC2"/>
              <w:spacing w:beforeLines="0" w:before="0" w:afterLines="0" w:after="0"/>
              <w:ind w:left="0"/>
              <w:rPr>
                <w:noProof/>
                <w:sz w:val="22"/>
                <w:szCs w:val="22"/>
              </w:rPr>
            </w:pPr>
            <w:r w:rsidRPr="00F614AE">
              <w:rPr>
                <w:noProof/>
                <w:sz w:val="22"/>
                <w:szCs w:val="22"/>
              </w:rPr>
              <w:t>§ 94. Ekspertiis ja erakorraline audiitorkontroll</w:t>
            </w:r>
          </w:p>
          <w:p w14:paraId="66A12071" w14:textId="1B4F1699" w:rsidR="009F065E" w:rsidRPr="00F614AE" w:rsidRDefault="009F065E" w:rsidP="00F614AE">
            <w:pPr>
              <w:pStyle w:val="TOC2"/>
              <w:spacing w:beforeLines="0" w:before="0" w:afterLines="0" w:after="0"/>
              <w:ind w:left="0"/>
              <w:rPr>
                <w:noProof/>
                <w:sz w:val="22"/>
                <w:szCs w:val="22"/>
              </w:rPr>
            </w:pPr>
            <w:r w:rsidRPr="00F614AE">
              <w:rPr>
                <w:noProof/>
                <w:sz w:val="22"/>
                <w:szCs w:val="22"/>
              </w:rPr>
              <w:t>§ 95. Ettekirjutus</w:t>
            </w:r>
          </w:p>
          <w:p w14:paraId="44229A0A" w14:textId="43070C98" w:rsidR="009F065E" w:rsidRPr="00F614AE" w:rsidRDefault="009F065E" w:rsidP="00F614AE">
            <w:pPr>
              <w:pStyle w:val="TOC2"/>
              <w:spacing w:beforeLines="0" w:before="0" w:afterLines="0" w:after="0"/>
              <w:ind w:left="0"/>
              <w:rPr>
                <w:noProof/>
                <w:sz w:val="22"/>
                <w:szCs w:val="22"/>
              </w:rPr>
            </w:pPr>
            <w:r w:rsidRPr="00F614AE">
              <w:rPr>
                <w:noProof/>
                <w:sz w:val="22"/>
                <w:szCs w:val="22"/>
              </w:rPr>
              <w:t>§ 96. Finantsinspektsiooni õigused ja kohustused ettekirjutuse tegemisel</w:t>
            </w:r>
          </w:p>
          <w:p w14:paraId="007B02AE" w14:textId="1DECC8E9" w:rsidR="009F065E" w:rsidRPr="00F614AE" w:rsidRDefault="009F065E" w:rsidP="00F614AE">
            <w:pPr>
              <w:pStyle w:val="TOC2"/>
              <w:spacing w:beforeLines="0" w:before="0" w:afterLines="0" w:after="0"/>
              <w:ind w:left="0"/>
              <w:rPr>
                <w:noProof/>
                <w:sz w:val="22"/>
                <w:szCs w:val="22"/>
              </w:rPr>
            </w:pPr>
            <w:r w:rsidRPr="00F614AE">
              <w:rPr>
                <w:noProof/>
                <w:sz w:val="22"/>
                <w:szCs w:val="22"/>
              </w:rPr>
              <w:t>§ 97. Juhtorganite kokkukutsumine ja juhtorgani otsuse kehtetuks tunnistamine Finantsinspektsiooni taotlusel</w:t>
            </w:r>
          </w:p>
          <w:p w14:paraId="1FE45E2D" w14:textId="29C01C6F" w:rsidR="009F065E" w:rsidRPr="00F614AE" w:rsidRDefault="009F065E" w:rsidP="00F614AE">
            <w:pPr>
              <w:pStyle w:val="TOC2"/>
              <w:spacing w:beforeLines="0" w:before="0" w:afterLines="0" w:after="0"/>
              <w:ind w:left="0"/>
              <w:rPr>
                <w:noProof/>
                <w:sz w:val="22"/>
                <w:szCs w:val="22"/>
              </w:rPr>
            </w:pPr>
            <w:r w:rsidRPr="00F614AE">
              <w:rPr>
                <w:noProof/>
                <w:sz w:val="22"/>
                <w:szCs w:val="22"/>
              </w:rPr>
              <w:t>§ 98. Sunniraha</w:t>
            </w:r>
          </w:p>
          <w:p w14:paraId="46348115" w14:textId="77777777" w:rsidR="009F065E" w:rsidRPr="00F614AE" w:rsidRDefault="009F065E" w:rsidP="009F065E">
            <w:pPr>
              <w:rPr>
                <w:rFonts w:eastAsiaTheme="minorEastAsia"/>
                <w:sz w:val="22"/>
                <w:szCs w:val="22"/>
                <w:lang w:eastAsia="en-US"/>
              </w:rPr>
            </w:pPr>
          </w:p>
          <w:p w14:paraId="38CE7FF8" w14:textId="77777777" w:rsidR="00AB753A" w:rsidRPr="00F614AE" w:rsidRDefault="00AB753A" w:rsidP="009F065E">
            <w:pPr>
              <w:pStyle w:val="TOC1"/>
              <w:rPr>
                <w:rFonts w:eastAsiaTheme="minorEastAsia"/>
                <w:noProof/>
                <w:sz w:val="22"/>
                <w:szCs w:val="22"/>
                <w:lang w:eastAsia="et-EE"/>
              </w:rPr>
            </w:pPr>
            <w:r w:rsidRPr="00F614AE">
              <w:rPr>
                <w:noProof/>
                <w:sz w:val="22"/>
                <w:szCs w:val="22"/>
              </w:rPr>
              <w:t>12. peatükk</w:t>
            </w:r>
          </w:p>
          <w:p w14:paraId="651018B2" w14:textId="77777777" w:rsidR="00AB753A" w:rsidRPr="00F614AE" w:rsidRDefault="00AB753A" w:rsidP="00F614AE">
            <w:pPr>
              <w:pStyle w:val="Heading2"/>
              <w:spacing w:before="0"/>
              <w:jc w:val="center"/>
              <w:rPr>
                <w:rFonts w:cstheme="majorBidi"/>
                <w:b w:val="0"/>
                <w:sz w:val="22"/>
                <w:szCs w:val="22"/>
              </w:rPr>
            </w:pPr>
            <w:r w:rsidRPr="001B587B">
              <w:rPr>
                <w:rFonts w:cstheme="majorBidi"/>
                <w:b w:val="0"/>
                <w:color w:val="auto"/>
                <w:sz w:val="22"/>
                <w:szCs w:val="22"/>
              </w:rPr>
              <w:t>Vastutus</w:t>
            </w:r>
            <w:r w:rsidRPr="00F614AE">
              <w:rPr>
                <w:b w:val="0"/>
                <w:sz w:val="22"/>
                <w:szCs w:val="22"/>
              </w:rPr>
              <w:br/>
            </w:r>
          </w:p>
          <w:p w14:paraId="79335397"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99. Põhiteabedokumendiga seotud nõuete rikkumine</w:t>
            </w:r>
          </w:p>
          <w:p w14:paraId="7A21D0F6"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100. Muu teabe avalikustamise nõuete rikkumine</w:t>
            </w:r>
          </w:p>
          <w:p w14:paraId="6BE815D2"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101. Aruande, teabe, selgituse ja muu dokumendi esitamata jätmine</w:t>
            </w:r>
          </w:p>
          <w:p w14:paraId="21C699D7"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102. Teenuse osutamisega seotud kohustuste rikkumine</w:t>
            </w:r>
          </w:p>
          <w:p w14:paraId="75BCC404"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103. Teenuse osutamisega seoses tasu ja hüve saamise ning andmise nõuete rikkumine</w:t>
            </w:r>
          </w:p>
          <w:p w14:paraId="3BC4FB0B"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104. Finantsvahendusplatvormi haldamise ja korraldamisega seotud nõuete rikkumine</w:t>
            </w:r>
          </w:p>
          <w:p w14:paraId="34AA9765"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105. Teenuseosutaja või temaga seotud isikute investeerimisprojektides osalemisega seotud nõuete rikkumine</w:t>
            </w:r>
          </w:p>
          <w:p w14:paraId="36D7AA06" w14:textId="77777777" w:rsidR="00F614AE" w:rsidRPr="00F614AE" w:rsidRDefault="00F614AE" w:rsidP="00F614AE">
            <w:pPr>
              <w:pStyle w:val="TOC2"/>
              <w:spacing w:beforeLines="0" w:before="0" w:afterLines="0" w:after="0"/>
              <w:ind w:left="0"/>
              <w:rPr>
                <w:noProof/>
                <w:sz w:val="22"/>
                <w:szCs w:val="22"/>
              </w:rPr>
            </w:pPr>
            <w:r w:rsidRPr="00F614AE">
              <w:rPr>
                <w:noProof/>
                <w:sz w:val="22"/>
                <w:szCs w:val="22"/>
              </w:rPr>
              <w:t>§ 106. Andmete registreerimise ja säilitamise kohustuse rikkumine</w:t>
            </w:r>
          </w:p>
          <w:p w14:paraId="35904912" w14:textId="7FE2B21B" w:rsidR="00AB753A" w:rsidRPr="00F614AE" w:rsidRDefault="00AB753A" w:rsidP="00F614AE">
            <w:pPr>
              <w:pStyle w:val="TOC2"/>
              <w:spacing w:beforeLines="0" w:before="0" w:afterLines="0" w:after="0"/>
              <w:ind w:left="0"/>
              <w:rPr>
                <w:noProof/>
                <w:sz w:val="22"/>
                <w:szCs w:val="22"/>
              </w:rPr>
            </w:pPr>
            <w:r w:rsidRPr="00F614AE">
              <w:rPr>
                <w:noProof/>
                <w:sz w:val="22"/>
                <w:szCs w:val="22"/>
              </w:rPr>
              <w:t>§ 107. Olulise osaluse omandamise korra rikkumine</w:t>
            </w:r>
          </w:p>
          <w:p w14:paraId="7B4FFA4C" w14:textId="77777777" w:rsidR="00AB753A" w:rsidRPr="00F614AE" w:rsidRDefault="00AB753A" w:rsidP="00F614AE">
            <w:pPr>
              <w:pStyle w:val="TOC2"/>
              <w:spacing w:beforeLines="0" w:before="0" w:afterLines="0" w:after="0"/>
              <w:ind w:left="0"/>
              <w:rPr>
                <w:noProof/>
                <w:sz w:val="22"/>
                <w:szCs w:val="22"/>
              </w:rPr>
            </w:pPr>
            <w:r w:rsidRPr="00F614AE">
              <w:rPr>
                <w:noProof/>
                <w:sz w:val="22"/>
                <w:szCs w:val="22"/>
              </w:rPr>
              <w:t>§ 108. Sise-eeskirjade või sisekontrolli nõuete rikkumine</w:t>
            </w:r>
          </w:p>
          <w:p w14:paraId="46422FBE" w14:textId="77777777" w:rsidR="00AB753A" w:rsidRPr="00F614AE" w:rsidRDefault="00AB753A" w:rsidP="00F614AE">
            <w:pPr>
              <w:pStyle w:val="TOC2"/>
              <w:spacing w:beforeLines="0" w:before="0" w:afterLines="0" w:after="0"/>
              <w:ind w:left="0"/>
              <w:rPr>
                <w:noProof/>
                <w:sz w:val="22"/>
                <w:szCs w:val="22"/>
              </w:rPr>
            </w:pPr>
            <w:r w:rsidRPr="00F614AE">
              <w:rPr>
                <w:noProof/>
                <w:sz w:val="22"/>
                <w:szCs w:val="22"/>
              </w:rPr>
              <w:t>§ 109. Teenuseosutaja tegevuse edasiandmise korra rikkumine</w:t>
            </w:r>
          </w:p>
          <w:p w14:paraId="742E68DB" w14:textId="77777777" w:rsidR="00AB753A" w:rsidRPr="00F614AE" w:rsidRDefault="00AB753A" w:rsidP="00F614AE">
            <w:pPr>
              <w:pStyle w:val="TOC2"/>
              <w:spacing w:beforeLines="0" w:before="0" w:afterLines="0" w:after="0"/>
              <w:ind w:left="0"/>
              <w:rPr>
                <w:noProof/>
                <w:sz w:val="22"/>
                <w:szCs w:val="22"/>
              </w:rPr>
            </w:pPr>
            <w:r w:rsidRPr="00F614AE">
              <w:rPr>
                <w:noProof/>
                <w:sz w:val="22"/>
                <w:szCs w:val="22"/>
              </w:rPr>
              <w:t>§ 110. Teenuseosutaja juhtorgani kohustuste rikkumine</w:t>
            </w:r>
          </w:p>
          <w:p w14:paraId="33799BC9" w14:textId="0AA27788" w:rsidR="00AB753A" w:rsidRPr="00F614AE" w:rsidRDefault="00AB753A" w:rsidP="00F614AE">
            <w:pPr>
              <w:pStyle w:val="TOC2"/>
              <w:spacing w:beforeLines="0" w:before="0" w:afterLines="0" w:after="0"/>
              <w:ind w:left="0"/>
              <w:rPr>
                <w:noProof/>
                <w:sz w:val="22"/>
                <w:szCs w:val="22"/>
              </w:rPr>
            </w:pPr>
            <w:r w:rsidRPr="00F614AE">
              <w:rPr>
                <w:noProof/>
                <w:sz w:val="22"/>
                <w:szCs w:val="22"/>
              </w:rPr>
              <w:t>§ 111. Omavahendite nõuete rikkumine</w:t>
            </w:r>
          </w:p>
          <w:p w14:paraId="15D05D99" w14:textId="6EC6D599" w:rsidR="00F614AE" w:rsidRPr="00F614AE" w:rsidRDefault="00F614AE" w:rsidP="00F614AE">
            <w:pPr>
              <w:pStyle w:val="TOC2"/>
              <w:spacing w:beforeLines="0" w:before="0" w:afterLines="0" w:after="0"/>
              <w:ind w:left="0"/>
              <w:rPr>
                <w:noProof/>
                <w:sz w:val="22"/>
                <w:szCs w:val="22"/>
              </w:rPr>
            </w:pPr>
            <w:r w:rsidRPr="00F614AE">
              <w:rPr>
                <w:noProof/>
                <w:sz w:val="22"/>
                <w:szCs w:val="22"/>
              </w:rPr>
              <w:t>§ 112. Vara hoidmise nõude rikkumine</w:t>
            </w:r>
          </w:p>
          <w:p w14:paraId="5CFD4B7C" w14:textId="6F2A313E" w:rsidR="00F614AE" w:rsidRPr="00F614AE" w:rsidRDefault="00F614AE" w:rsidP="00F614AE">
            <w:pPr>
              <w:pStyle w:val="TOC2"/>
              <w:spacing w:beforeLines="0" w:before="0" w:afterLines="0" w:after="0"/>
              <w:ind w:left="0"/>
              <w:rPr>
                <w:noProof/>
                <w:sz w:val="22"/>
                <w:szCs w:val="22"/>
              </w:rPr>
            </w:pPr>
            <w:r w:rsidRPr="00F614AE">
              <w:rPr>
                <w:noProof/>
                <w:sz w:val="22"/>
                <w:szCs w:val="22"/>
              </w:rPr>
              <w:t>§ 113. Huvide konflikti maandamise või vältimise nõuete rikkumine</w:t>
            </w:r>
          </w:p>
          <w:p w14:paraId="40AFFCFA" w14:textId="1FD11741" w:rsidR="00F614AE" w:rsidRPr="00F614AE" w:rsidRDefault="00F614AE" w:rsidP="00F614AE">
            <w:pPr>
              <w:pStyle w:val="TOC2"/>
              <w:spacing w:beforeLines="0" w:before="0" w:afterLines="0" w:after="0"/>
              <w:ind w:left="0"/>
              <w:rPr>
                <w:noProof/>
                <w:sz w:val="22"/>
                <w:szCs w:val="22"/>
              </w:rPr>
            </w:pPr>
            <w:r w:rsidRPr="00F614AE">
              <w:rPr>
                <w:noProof/>
                <w:sz w:val="22"/>
                <w:szCs w:val="22"/>
              </w:rPr>
              <w:t>§ 114. Teenuseosutaja tegevusega seotud õigusrikkumistest teavitamise korra rikkumine</w:t>
            </w:r>
          </w:p>
          <w:p w14:paraId="5B5A3C2B" w14:textId="3375DFDF" w:rsidR="00AB753A" w:rsidRPr="00F614AE" w:rsidRDefault="00AB753A" w:rsidP="00F614AE">
            <w:pPr>
              <w:pStyle w:val="TOC2"/>
              <w:spacing w:beforeLines="0" w:before="0" w:afterLines="0" w:after="0"/>
              <w:ind w:left="0"/>
              <w:rPr>
                <w:noProof/>
                <w:sz w:val="22"/>
                <w:szCs w:val="22"/>
              </w:rPr>
            </w:pPr>
            <w:r w:rsidRPr="00F614AE">
              <w:rPr>
                <w:noProof/>
                <w:sz w:val="22"/>
                <w:szCs w:val="22"/>
              </w:rPr>
              <w:t>§ 115. Teenuseosutaja talitluspidevuse või küberturvalisuse tagamisega seotud nõuete rikkumine</w:t>
            </w:r>
          </w:p>
          <w:p w14:paraId="4C1A3DE3" w14:textId="7AC8209A" w:rsidR="00F614AE" w:rsidRPr="00F614AE" w:rsidRDefault="00F614AE" w:rsidP="00F614AE">
            <w:pPr>
              <w:pStyle w:val="TOC2"/>
              <w:spacing w:beforeLines="0" w:before="0" w:afterLines="0" w:after="0"/>
              <w:ind w:left="0"/>
              <w:rPr>
                <w:noProof/>
                <w:sz w:val="22"/>
                <w:szCs w:val="22"/>
              </w:rPr>
            </w:pPr>
            <w:r w:rsidRPr="00F614AE">
              <w:rPr>
                <w:noProof/>
                <w:sz w:val="22"/>
                <w:szCs w:val="22"/>
              </w:rPr>
              <w:t>§ 116. Teenuse piiriülese osutamise ja filiaali asutamisega seoses Finantsinspektsiooni teavitamise kohustuse rikkumine</w:t>
            </w:r>
          </w:p>
          <w:p w14:paraId="6A97A4C9" w14:textId="07B53553" w:rsidR="00F614AE" w:rsidRPr="00F614AE" w:rsidRDefault="00F614AE" w:rsidP="00F614AE">
            <w:pPr>
              <w:pStyle w:val="TOC2"/>
              <w:spacing w:beforeLines="0" w:before="0" w:afterLines="0" w:after="0"/>
              <w:ind w:left="0"/>
              <w:rPr>
                <w:noProof/>
                <w:sz w:val="22"/>
                <w:szCs w:val="22"/>
              </w:rPr>
            </w:pPr>
            <w:r w:rsidRPr="00F614AE">
              <w:rPr>
                <w:noProof/>
                <w:sz w:val="22"/>
                <w:szCs w:val="22"/>
              </w:rPr>
              <w:lastRenderedPageBreak/>
              <w:t>§ 117. Teenuseosutaja jagunemise, ümberkujundamise, ühinemise või lõpetamisega seotud nõuete rikkumine</w:t>
            </w:r>
          </w:p>
          <w:p w14:paraId="4DCB7017" w14:textId="56F2A7F9" w:rsidR="00F614AE" w:rsidRPr="00F614AE" w:rsidRDefault="00F614AE" w:rsidP="00F614AE">
            <w:pPr>
              <w:pStyle w:val="TOC2"/>
              <w:spacing w:beforeLines="0" w:before="0" w:afterLines="0" w:after="0"/>
              <w:ind w:left="0"/>
              <w:rPr>
                <w:noProof/>
                <w:sz w:val="22"/>
                <w:szCs w:val="22"/>
              </w:rPr>
            </w:pPr>
            <w:r w:rsidRPr="00F614AE">
              <w:rPr>
                <w:noProof/>
                <w:sz w:val="22"/>
                <w:szCs w:val="22"/>
              </w:rPr>
              <w:t>§ 118. Euroopa Parlamendi ja nõukogu määruses (EL) 2020/1503 nimetatud nõuete rikkumine</w:t>
            </w:r>
          </w:p>
          <w:p w14:paraId="2FC328C5" w14:textId="77777777" w:rsidR="00AB753A" w:rsidRPr="00F614AE" w:rsidRDefault="00AB753A" w:rsidP="00F614AE">
            <w:pPr>
              <w:pStyle w:val="TOC2"/>
              <w:spacing w:beforeLines="0" w:before="0" w:afterLines="0" w:after="0"/>
              <w:ind w:left="0"/>
              <w:rPr>
                <w:noProof/>
                <w:sz w:val="22"/>
                <w:szCs w:val="22"/>
              </w:rPr>
            </w:pPr>
            <w:r w:rsidRPr="00F614AE">
              <w:rPr>
                <w:noProof/>
                <w:sz w:val="22"/>
                <w:szCs w:val="22"/>
              </w:rPr>
              <w:t>§ 119. Menetlus</w:t>
            </w:r>
          </w:p>
          <w:p w14:paraId="4DB03764" w14:textId="77777777" w:rsidR="001B587B" w:rsidRDefault="001B587B" w:rsidP="009F065E">
            <w:pPr>
              <w:pStyle w:val="TOC1"/>
              <w:rPr>
                <w:noProof/>
              </w:rPr>
            </w:pPr>
          </w:p>
          <w:p w14:paraId="6CFFDDAA" w14:textId="501B9858" w:rsidR="00AB753A" w:rsidRPr="00045571" w:rsidRDefault="00AB753A" w:rsidP="009F065E">
            <w:pPr>
              <w:pStyle w:val="TOC1"/>
              <w:rPr>
                <w:rFonts w:eastAsiaTheme="minorEastAsia"/>
                <w:noProof/>
                <w:lang w:eastAsia="et-EE"/>
              </w:rPr>
            </w:pPr>
            <w:r w:rsidRPr="00045571">
              <w:rPr>
                <w:noProof/>
              </w:rPr>
              <w:t>13. peatükk</w:t>
            </w:r>
          </w:p>
          <w:p w14:paraId="2EE7A344" w14:textId="77777777" w:rsidR="00AB753A" w:rsidRPr="00045571" w:rsidRDefault="00AB753A" w:rsidP="009F065E">
            <w:pPr>
              <w:pStyle w:val="TOC1"/>
              <w:rPr>
                <w:rFonts w:eastAsiaTheme="minorEastAsia"/>
                <w:noProof/>
                <w:lang w:eastAsia="et-EE"/>
              </w:rPr>
            </w:pPr>
            <w:r w:rsidRPr="00045571">
              <w:rPr>
                <w:noProof/>
              </w:rPr>
              <w:t>Rakendussätted</w:t>
            </w:r>
          </w:p>
          <w:p w14:paraId="3A038C9A" w14:textId="77777777" w:rsidR="001B587B" w:rsidRDefault="001B587B" w:rsidP="009F065E">
            <w:pPr>
              <w:pStyle w:val="TOC1"/>
              <w:rPr>
                <w:noProof/>
              </w:rPr>
            </w:pPr>
          </w:p>
          <w:p w14:paraId="076F3FBF" w14:textId="7C49E5D8" w:rsidR="00AB753A" w:rsidRPr="00045571" w:rsidRDefault="00AB753A" w:rsidP="009F065E">
            <w:pPr>
              <w:pStyle w:val="TOC1"/>
              <w:rPr>
                <w:rFonts w:eastAsiaTheme="minorEastAsia"/>
                <w:noProof/>
                <w:lang w:eastAsia="et-EE"/>
              </w:rPr>
            </w:pPr>
            <w:r w:rsidRPr="00045571">
              <w:rPr>
                <w:noProof/>
              </w:rPr>
              <w:t>1. jagu</w:t>
            </w:r>
          </w:p>
          <w:p w14:paraId="51ED4645" w14:textId="77777777" w:rsidR="00AB753A" w:rsidRPr="00AA1050" w:rsidRDefault="00AB753A" w:rsidP="009F065E">
            <w:pPr>
              <w:pStyle w:val="TOC1"/>
              <w:rPr>
                <w:rFonts w:eastAsiaTheme="minorEastAsia"/>
                <w:noProof/>
                <w:sz w:val="22"/>
                <w:szCs w:val="22"/>
              </w:rPr>
            </w:pPr>
            <w:r w:rsidRPr="00AA1050">
              <w:rPr>
                <w:noProof/>
                <w:sz w:val="22"/>
                <w:szCs w:val="22"/>
              </w:rPr>
              <w:t>Üleminekusätted</w:t>
            </w:r>
            <w:r w:rsidRPr="00AA1050">
              <w:rPr>
                <w:noProof/>
                <w:sz w:val="22"/>
                <w:szCs w:val="22"/>
              </w:rPr>
              <w:br/>
            </w:r>
          </w:p>
          <w:p w14:paraId="0FF62309" w14:textId="77777777" w:rsidR="00F614AE" w:rsidRPr="00AA1050" w:rsidRDefault="00AB753A" w:rsidP="00F614AE">
            <w:pPr>
              <w:pStyle w:val="TOC2"/>
              <w:spacing w:beforeLines="0" w:before="0" w:afterLines="0" w:after="0"/>
              <w:ind w:left="0"/>
              <w:rPr>
                <w:noProof/>
                <w:sz w:val="22"/>
                <w:szCs w:val="22"/>
              </w:rPr>
            </w:pPr>
            <w:r w:rsidRPr="00AA1050">
              <w:rPr>
                <w:noProof/>
                <w:sz w:val="22"/>
                <w:szCs w:val="22"/>
              </w:rPr>
              <w:t>§ 120. Tegevuse kooskõlla viimine käesoleva seaduse nõuetega</w:t>
            </w:r>
          </w:p>
          <w:p w14:paraId="16ADB4A3" w14:textId="7051DF73" w:rsidR="00AB753A" w:rsidRPr="00A3112A" w:rsidRDefault="00AB753A" w:rsidP="00F614AE">
            <w:pPr>
              <w:pStyle w:val="TOC2"/>
              <w:spacing w:beforeLines="0" w:before="0" w:afterLines="0" w:after="0"/>
              <w:ind w:left="0"/>
              <w:rPr>
                <w:rFonts w:eastAsiaTheme="minorEastAsia"/>
                <w:noProof/>
                <w:sz w:val="22"/>
                <w:szCs w:val="22"/>
                <w:lang w:eastAsia="et-EE"/>
              </w:rPr>
            </w:pPr>
            <w:r w:rsidRPr="00AA1050">
              <w:rPr>
                <w:rFonts w:eastAsiaTheme="minorEastAsia"/>
                <w:noProof/>
                <w:sz w:val="22"/>
                <w:szCs w:val="22"/>
                <w:lang w:eastAsia="et-EE"/>
              </w:rPr>
              <w:br/>
            </w:r>
          </w:p>
          <w:p w14:paraId="20F79673" w14:textId="77777777" w:rsidR="00AB753A" w:rsidRPr="00AA1050" w:rsidRDefault="00AB753A" w:rsidP="009F065E">
            <w:pPr>
              <w:pStyle w:val="TOC1"/>
              <w:rPr>
                <w:rFonts w:eastAsiaTheme="minorEastAsia"/>
                <w:noProof/>
                <w:sz w:val="22"/>
                <w:szCs w:val="22"/>
                <w:lang w:eastAsia="et-EE"/>
              </w:rPr>
            </w:pPr>
            <w:r w:rsidRPr="00AA1050">
              <w:rPr>
                <w:noProof/>
                <w:sz w:val="22"/>
                <w:szCs w:val="22"/>
              </w:rPr>
              <w:t>2. jagu</w:t>
            </w:r>
          </w:p>
          <w:p w14:paraId="55538D52" w14:textId="77777777" w:rsidR="00AB753A" w:rsidRPr="00AA1050" w:rsidRDefault="00AB753A" w:rsidP="009F065E">
            <w:pPr>
              <w:pStyle w:val="TOC1"/>
              <w:rPr>
                <w:rFonts w:eastAsiaTheme="minorEastAsia"/>
                <w:noProof/>
                <w:sz w:val="22"/>
                <w:szCs w:val="22"/>
                <w:lang w:eastAsia="et-EE"/>
              </w:rPr>
            </w:pPr>
            <w:r w:rsidRPr="00AA1050">
              <w:rPr>
                <w:noProof/>
                <w:sz w:val="22"/>
                <w:szCs w:val="22"/>
              </w:rPr>
              <w:t>Muudatused kehtivates seadustes</w:t>
            </w:r>
            <w:r w:rsidRPr="00AA1050">
              <w:rPr>
                <w:noProof/>
                <w:sz w:val="22"/>
                <w:szCs w:val="22"/>
              </w:rPr>
              <w:br/>
            </w:r>
          </w:p>
          <w:p w14:paraId="016170F0" w14:textId="7CA9E7AB" w:rsidR="00AB753A" w:rsidRPr="00AA1050" w:rsidRDefault="00AB753A" w:rsidP="001B587B">
            <w:pPr>
              <w:pStyle w:val="TOC2"/>
              <w:spacing w:beforeLines="0" w:before="0" w:afterLines="0" w:after="0"/>
              <w:ind w:left="0"/>
              <w:rPr>
                <w:noProof/>
                <w:sz w:val="22"/>
                <w:szCs w:val="22"/>
              </w:rPr>
            </w:pPr>
            <w:r w:rsidRPr="00AA1050">
              <w:rPr>
                <w:noProof/>
                <w:sz w:val="22"/>
                <w:szCs w:val="22"/>
              </w:rPr>
              <w:t>§ 121. Finantsinspektsiooni seaduse muutmine</w:t>
            </w:r>
          </w:p>
          <w:p w14:paraId="1D297F1D" w14:textId="3335E318" w:rsidR="00F614AE" w:rsidRPr="00A3112A" w:rsidRDefault="00F614AE" w:rsidP="001B587B">
            <w:pPr>
              <w:pStyle w:val="TOC2"/>
              <w:spacing w:beforeLines="0" w:before="0" w:afterLines="0" w:after="0"/>
              <w:ind w:left="0"/>
              <w:rPr>
                <w:noProof/>
                <w:sz w:val="22"/>
                <w:szCs w:val="22"/>
              </w:rPr>
            </w:pPr>
            <w:r w:rsidRPr="00A3112A">
              <w:rPr>
                <w:noProof/>
                <w:sz w:val="22"/>
                <w:szCs w:val="22"/>
              </w:rPr>
              <w:t xml:space="preserve">§ 122. </w:t>
            </w:r>
            <w:r w:rsidR="001B587B" w:rsidRPr="00A3112A">
              <w:rPr>
                <w:noProof/>
                <w:sz w:val="22"/>
                <w:szCs w:val="22"/>
              </w:rPr>
              <w:t>Kindlustustegevuse seaduse muutmine</w:t>
            </w:r>
          </w:p>
          <w:p w14:paraId="12365B1E" w14:textId="3555D5DA" w:rsidR="00AB753A" w:rsidRPr="00A3112A" w:rsidRDefault="00AB753A" w:rsidP="001B587B">
            <w:pPr>
              <w:pStyle w:val="TOC2"/>
              <w:spacing w:beforeLines="0" w:before="0" w:afterLines="0" w:after="0"/>
              <w:ind w:left="0"/>
              <w:rPr>
                <w:noProof/>
                <w:sz w:val="22"/>
                <w:szCs w:val="22"/>
              </w:rPr>
            </w:pPr>
            <w:r w:rsidRPr="00A3112A">
              <w:rPr>
                <w:noProof/>
                <w:sz w:val="22"/>
                <w:szCs w:val="22"/>
              </w:rPr>
              <w:t>§ 123. Krediidiandjate ja -vahendajate seaduse muutmine</w:t>
            </w:r>
          </w:p>
          <w:p w14:paraId="50C91E11" w14:textId="71AF0DEF" w:rsidR="001B587B" w:rsidRPr="00A3112A" w:rsidRDefault="001B587B" w:rsidP="001B587B">
            <w:pPr>
              <w:pStyle w:val="TOC2"/>
              <w:spacing w:beforeLines="0" w:before="0" w:afterLines="0" w:after="0"/>
              <w:ind w:left="0"/>
              <w:rPr>
                <w:noProof/>
                <w:sz w:val="22"/>
                <w:szCs w:val="22"/>
              </w:rPr>
            </w:pPr>
            <w:r w:rsidRPr="00A3112A">
              <w:rPr>
                <w:noProof/>
                <w:sz w:val="22"/>
                <w:szCs w:val="22"/>
              </w:rPr>
              <w:t>§ 124. Krediidiasutuste seaduse muutmine</w:t>
            </w:r>
          </w:p>
          <w:p w14:paraId="4A523CA8" w14:textId="63B66E73" w:rsidR="00AB753A" w:rsidRPr="00A3112A" w:rsidRDefault="00AB753A" w:rsidP="001B587B">
            <w:pPr>
              <w:pStyle w:val="TOC2"/>
              <w:spacing w:beforeLines="0" w:before="0" w:afterLines="0" w:after="0"/>
              <w:ind w:left="0"/>
              <w:rPr>
                <w:noProof/>
                <w:sz w:val="22"/>
                <w:szCs w:val="22"/>
              </w:rPr>
            </w:pPr>
            <w:r w:rsidRPr="00A3112A">
              <w:rPr>
                <w:noProof/>
                <w:sz w:val="22"/>
                <w:szCs w:val="22"/>
              </w:rPr>
              <w:t>§ 125. Majandustegevuse seadustiku üldosa seaduse muutmine</w:t>
            </w:r>
          </w:p>
          <w:p w14:paraId="2CEB8503" w14:textId="6A84FD38" w:rsidR="001B587B" w:rsidRPr="00A3112A" w:rsidRDefault="001B587B" w:rsidP="001B587B">
            <w:pPr>
              <w:pStyle w:val="TOC2"/>
              <w:spacing w:beforeLines="0" w:before="0" w:afterLines="0" w:after="0"/>
              <w:ind w:left="0"/>
              <w:rPr>
                <w:noProof/>
                <w:sz w:val="22"/>
                <w:szCs w:val="22"/>
              </w:rPr>
            </w:pPr>
            <w:r w:rsidRPr="00A3112A">
              <w:rPr>
                <w:noProof/>
                <w:sz w:val="22"/>
                <w:szCs w:val="22"/>
              </w:rPr>
              <w:t>§ 126. Makseasutuste ja e-raha asutuste seaduse muutmine</w:t>
            </w:r>
          </w:p>
          <w:p w14:paraId="4FEDC532" w14:textId="0AF335DF" w:rsidR="00AB753A" w:rsidRPr="00A3112A" w:rsidRDefault="00AB753A" w:rsidP="001B587B">
            <w:pPr>
              <w:pStyle w:val="TOC2"/>
              <w:spacing w:beforeLines="0" w:before="0" w:afterLines="0" w:after="0"/>
              <w:ind w:left="0"/>
              <w:rPr>
                <w:noProof/>
                <w:sz w:val="22"/>
                <w:szCs w:val="22"/>
              </w:rPr>
            </w:pPr>
            <w:r w:rsidRPr="00A3112A">
              <w:rPr>
                <w:noProof/>
                <w:sz w:val="22"/>
                <w:szCs w:val="22"/>
              </w:rPr>
              <w:t>§ 127. Rahapesu ja terrorismi rahastamise tõkestamise seaduse muutmine</w:t>
            </w:r>
          </w:p>
          <w:p w14:paraId="2F666E66" w14:textId="4BD17687" w:rsidR="001B587B" w:rsidRPr="00A3112A" w:rsidRDefault="001B587B" w:rsidP="001B587B">
            <w:pPr>
              <w:pStyle w:val="TOC2"/>
              <w:spacing w:beforeLines="0" w:before="0" w:afterLines="0" w:after="0"/>
              <w:ind w:left="0"/>
              <w:rPr>
                <w:noProof/>
                <w:sz w:val="22"/>
                <w:szCs w:val="22"/>
              </w:rPr>
            </w:pPr>
            <w:r w:rsidRPr="00A3112A">
              <w:rPr>
                <w:noProof/>
                <w:sz w:val="22"/>
                <w:szCs w:val="22"/>
              </w:rPr>
              <w:t>§ 128. Rahvusvahelise sanktsiooni seaduse muutmine</w:t>
            </w:r>
          </w:p>
          <w:p w14:paraId="3DBCEA7E" w14:textId="41CA3F85" w:rsidR="001B587B" w:rsidRPr="00A3112A" w:rsidRDefault="001B587B" w:rsidP="001B587B">
            <w:pPr>
              <w:pStyle w:val="TOC2"/>
              <w:spacing w:beforeLines="0" w:before="0" w:afterLines="0" w:after="0"/>
              <w:ind w:left="0"/>
              <w:rPr>
                <w:noProof/>
                <w:sz w:val="22"/>
                <w:szCs w:val="22"/>
              </w:rPr>
            </w:pPr>
            <w:r w:rsidRPr="00A3112A">
              <w:rPr>
                <w:noProof/>
                <w:sz w:val="22"/>
                <w:szCs w:val="22"/>
              </w:rPr>
              <w:t>§ 129. Riigilõivuseaduse muutmine</w:t>
            </w:r>
          </w:p>
          <w:p w14:paraId="6FB2EE52" w14:textId="77777777" w:rsidR="00AB753A" w:rsidRPr="00A3112A" w:rsidRDefault="00AB753A" w:rsidP="001B587B">
            <w:pPr>
              <w:pStyle w:val="TOC2"/>
              <w:spacing w:beforeLines="0" w:before="0" w:afterLines="0" w:after="0"/>
              <w:ind w:left="0"/>
              <w:rPr>
                <w:noProof/>
                <w:sz w:val="22"/>
                <w:szCs w:val="22"/>
              </w:rPr>
            </w:pPr>
            <w:r w:rsidRPr="00A3112A">
              <w:rPr>
                <w:noProof/>
                <w:sz w:val="22"/>
                <w:szCs w:val="22"/>
              </w:rPr>
              <w:t>§ 130. Väärtpaberite registri pidamise seaduse muutmine</w:t>
            </w:r>
          </w:p>
          <w:p w14:paraId="3E6DB3DA" w14:textId="3F5CC5DF" w:rsidR="00AB753A" w:rsidRPr="00A3112A" w:rsidRDefault="00AB753A" w:rsidP="001B587B">
            <w:pPr>
              <w:pStyle w:val="TOC2"/>
              <w:spacing w:beforeLines="0" w:before="0" w:afterLines="0" w:after="0"/>
              <w:ind w:left="0"/>
              <w:rPr>
                <w:noProof/>
                <w:sz w:val="22"/>
                <w:szCs w:val="22"/>
              </w:rPr>
            </w:pPr>
            <w:r w:rsidRPr="00A3112A">
              <w:rPr>
                <w:noProof/>
                <w:sz w:val="22"/>
                <w:szCs w:val="22"/>
              </w:rPr>
              <w:t>§ 131. Väärtpaberituru seaduse muutmine</w:t>
            </w:r>
          </w:p>
          <w:p w14:paraId="651FCBF5" w14:textId="77777777" w:rsidR="001B587B" w:rsidRPr="00AA1050" w:rsidRDefault="001B587B" w:rsidP="001B587B">
            <w:pPr>
              <w:rPr>
                <w:rFonts w:eastAsiaTheme="minorEastAsia"/>
                <w:sz w:val="22"/>
                <w:szCs w:val="22"/>
                <w:lang w:val="en-GB" w:eastAsia="en-US"/>
              </w:rPr>
            </w:pPr>
          </w:p>
          <w:p w14:paraId="119999F9" w14:textId="77777777" w:rsidR="00AB753A" w:rsidRPr="00AA1050" w:rsidRDefault="00AB753A" w:rsidP="009F065E">
            <w:pPr>
              <w:pStyle w:val="TOC1"/>
              <w:rPr>
                <w:rFonts w:eastAsiaTheme="minorEastAsia"/>
                <w:noProof/>
                <w:sz w:val="22"/>
                <w:szCs w:val="22"/>
                <w:lang w:eastAsia="et-EE"/>
              </w:rPr>
            </w:pPr>
            <w:r w:rsidRPr="00AA1050">
              <w:rPr>
                <w:noProof/>
                <w:sz w:val="22"/>
                <w:szCs w:val="22"/>
              </w:rPr>
              <w:t>3. jagu</w:t>
            </w:r>
          </w:p>
          <w:p w14:paraId="4CB4AEE3" w14:textId="3C528840" w:rsidR="00AB753A" w:rsidRPr="00AA1050" w:rsidRDefault="00AB753A" w:rsidP="009F065E">
            <w:pPr>
              <w:pStyle w:val="TOC1"/>
              <w:rPr>
                <w:noProof/>
                <w:sz w:val="22"/>
                <w:szCs w:val="22"/>
              </w:rPr>
            </w:pPr>
            <w:r w:rsidRPr="00AA1050">
              <w:rPr>
                <w:noProof/>
                <w:sz w:val="22"/>
                <w:szCs w:val="22"/>
              </w:rPr>
              <w:t>Seaduse jõustumine</w:t>
            </w:r>
          </w:p>
          <w:p w14:paraId="4541D604" w14:textId="2700C162" w:rsidR="001B587B" w:rsidRPr="00AA1050" w:rsidRDefault="001B587B" w:rsidP="001B587B">
            <w:pPr>
              <w:rPr>
                <w:rFonts w:eastAsiaTheme="minorEastAsia"/>
                <w:sz w:val="22"/>
                <w:szCs w:val="22"/>
                <w:lang w:eastAsia="en-US"/>
              </w:rPr>
            </w:pPr>
            <w:r w:rsidRPr="00AA1050">
              <w:rPr>
                <w:rFonts w:eastAsiaTheme="minorEastAsia"/>
                <w:sz w:val="22"/>
                <w:szCs w:val="22"/>
                <w:lang w:eastAsia="en-US"/>
              </w:rPr>
              <w:t>§ 132. Seaduse jõustumine</w:t>
            </w:r>
          </w:p>
          <w:p w14:paraId="4AA6149A" w14:textId="77777777" w:rsidR="00AB753A" w:rsidRPr="00CA3D9D" w:rsidRDefault="00AB753A" w:rsidP="00AB753A">
            <w:pPr>
              <w:spacing w:before="0"/>
            </w:pPr>
            <w:r w:rsidRPr="00045571">
              <w:rPr>
                <w:sz w:val="22"/>
                <w:szCs w:val="22"/>
              </w:rPr>
              <w:fldChar w:fldCharType="end"/>
            </w:r>
          </w:p>
          <w:p w14:paraId="2561876C" w14:textId="2BAD8EF8" w:rsidR="00F0085D" w:rsidRPr="00F21093" w:rsidRDefault="00F0085D" w:rsidP="00D375E5">
            <w:pPr>
              <w:spacing w:before="0"/>
              <w:rPr>
                <w:b/>
                <w:sz w:val="22"/>
                <w:szCs w:val="22"/>
              </w:rPr>
            </w:pPr>
          </w:p>
        </w:tc>
      </w:tr>
    </w:tbl>
    <w:p w14:paraId="39D2E04A" w14:textId="14C0458C" w:rsidR="000B380D" w:rsidRDefault="000B380D" w:rsidP="00D375E5">
      <w:pPr>
        <w:spacing w:before="0"/>
        <w:rPr>
          <w:b/>
          <w:sz w:val="21"/>
          <w:szCs w:val="21"/>
        </w:rPr>
      </w:pPr>
    </w:p>
    <w:p w14:paraId="4A3F3792" w14:textId="522C5D70" w:rsidR="00693617" w:rsidRPr="00CC194A" w:rsidRDefault="0027464C" w:rsidP="00D375E5">
      <w:pPr>
        <w:spacing w:before="0"/>
        <w:rPr>
          <w:sz w:val="21"/>
          <w:szCs w:val="21"/>
        </w:rPr>
      </w:pPr>
      <w:r>
        <w:rPr>
          <w:sz w:val="21"/>
          <w:szCs w:val="21"/>
        </w:rPr>
        <w:t xml:space="preserve">Eelnõuga </w:t>
      </w:r>
      <w:r w:rsidR="00693617" w:rsidRPr="00CC194A">
        <w:rPr>
          <w:sz w:val="21"/>
          <w:szCs w:val="21"/>
        </w:rPr>
        <w:t xml:space="preserve">ei reguleerita küsimusi, mis EL </w:t>
      </w:r>
      <w:proofErr w:type="spellStart"/>
      <w:r w:rsidR="00693617" w:rsidRPr="00CC194A">
        <w:rPr>
          <w:sz w:val="21"/>
          <w:szCs w:val="21"/>
        </w:rPr>
        <w:t>ühisrahastusmäärusele</w:t>
      </w:r>
      <w:proofErr w:type="spellEnd"/>
      <w:r w:rsidR="00693617" w:rsidRPr="00CC194A">
        <w:rPr>
          <w:sz w:val="21"/>
          <w:szCs w:val="21"/>
        </w:rPr>
        <w:t xml:space="preserve"> tuginedes on otsekohalduva iseloomuga. Euroopa Liidu õiguse kohaselt on keelatud otsekohalduva õigusakti sisu ümber ki</w:t>
      </w:r>
      <w:r w:rsidR="003B1DE2">
        <w:rPr>
          <w:sz w:val="21"/>
          <w:szCs w:val="21"/>
        </w:rPr>
        <w:t>rjutada riigi õigusesse. Eelnõu</w:t>
      </w:r>
      <w:r w:rsidR="00CB6A23">
        <w:rPr>
          <w:sz w:val="21"/>
          <w:szCs w:val="21"/>
        </w:rPr>
        <w:t xml:space="preserve">ga </w:t>
      </w:r>
      <w:r w:rsidR="00693617" w:rsidRPr="00CC194A">
        <w:rPr>
          <w:sz w:val="21"/>
          <w:szCs w:val="21"/>
        </w:rPr>
        <w:t xml:space="preserve">reguleeritakse küsimusi, milles EL </w:t>
      </w:r>
      <w:proofErr w:type="spellStart"/>
      <w:r w:rsidR="00693617" w:rsidRPr="00CC194A">
        <w:rPr>
          <w:sz w:val="21"/>
          <w:szCs w:val="21"/>
        </w:rPr>
        <w:t>ühisrahastusmäärus</w:t>
      </w:r>
      <w:proofErr w:type="spellEnd"/>
      <w:r w:rsidR="00693617" w:rsidRPr="00CC194A">
        <w:rPr>
          <w:sz w:val="21"/>
          <w:szCs w:val="21"/>
        </w:rPr>
        <w:t xml:space="preserve"> on liikmesriigile selle õiguse andnud</w:t>
      </w:r>
      <w:r w:rsidR="00320ACF">
        <w:rPr>
          <w:sz w:val="21"/>
          <w:szCs w:val="21"/>
        </w:rPr>
        <w:t xml:space="preserve"> või vastava kohustuse pannud</w:t>
      </w:r>
      <w:r w:rsidR="00693617" w:rsidRPr="00CC194A">
        <w:rPr>
          <w:sz w:val="21"/>
          <w:szCs w:val="21"/>
        </w:rPr>
        <w:t>.</w:t>
      </w:r>
    </w:p>
    <w:p w14:paraId="2F38BCC8" w14:textId="77777777" w:rsidR="00693617" w:rsidRPr="000B380D" w:rsidRDefault="00693617" w:rsidP="00D375E5">
      <w:pPr>
        <w:spacing w:before="0"/>
        <w:rPr>
          <w:b/>
          <w:sz w:val="21"/>
          <w:szCs w:val="21"/>
        </w:rPr>
      </w:pPr>
    </w:p>
    <w:p w14:paraId="2E4EB25A" w14:textId="0E138B24" w:rsidR="009D3E49" w:rsidRPr="009D3E49" w:rsidRDefault="009D3E49" w:rsidP="009D3E49">
      <w:pPr>
        <w:tabs>
          <w:tab w:val="left" w:pos="142"/>
        </w:tabs>
        <w:rPr>
          <w:b/>
          <w:sz w:val="22"/>
          <w:szCs w:val="22"/>
        </w:rPr>
      </w:pPr>
      <w:bookmarkStart w:id="1" w:name="_Hlk106635686"/>
      <w:r>
        <w:rPr>
          <w:b/>
          <w:sz w:val="22"/>
          <w:szCs w:val="22"/>
        </w:rPr>
        <w:t xml:space="preserve">3.2. </w:t>
      </w:r>
      <w:proofErr w:type="spellStart"/>
      <w:r w:rsidRPr="009D3E49">
        <w:rPr>
          <w:b/>
          <w:sz w:val="22"/>
          <w:szCs w:val="22"/>
        </w:rPr>
        <w:t>Krüptovara</w:t>
      </w:r>
      <w:proofErr w:type="spellEnd"/>
      <w:r w:rsidRPr="009D3E49">
        <w:rPr>
          <w:b/>
          <w:sz w:val="22"/>
          <w:szCs w:val="22"/>
        </w:rPr>
        <w:t xml:space="preserve"> ja </w:t>
      </w:r>
      <w:proofErr w:type="spellStart"/>
      <w:r w:rsidRPr="009D3E49">
        <w:rPr>
          <w:b/>
          <w:sz w:val="22"/>
          <w:szCs w:val="22"/>
        </w:rPr>
        <w:t>ühisrahastuse</w:t>
      </w:r>
      <w:proofErr w:type="spellEnd"/>
      <w:r w:rsidRPr="009D3E49">
        <w:rPr>
          <w:b/>
          <w:sz w:val="22"/>
          <w:szCs w:val="22"/>
        </w:rPr>
        <w:t xml:space="preserve"> seadus (edaspidi </w:t>
      </w:r>
      <w:proofErr w:type="spellStart"/>
      <w:r w:rsidRPr="009D3E49">
        <w:rPr>
          <w:b/>
          <w:i/>
          <w:sz w:val="22"/>
          <w:szCs w:val="22"/>
        </w:rPr>
        <w:t>KrÜS</w:t>
      </w:r>
      <w:proofErr w:type="spellEnd"/>
      <w:r w:rsidRPr="009D3E49">
        <w:rPr>
          <w:b/>
          <w:sz w:val="22"/>
          <w:szCs w:val="22"/>
        </w:rPr>
        <w:t>)</w:t>
      </w:r>
    </w:p>
    <w:p w14:paraId="1C1CF6A5" w14:textId="77777777" w:rsidR="009D3E49" w:rsidRPr="005A55CA" w:rsidRDefault="009D3E49" w:rsidP="009D3E49">
      <w:pPr>
        <w:spacing w:before="0"/>
        <w:jc w:val="left"/>
        <w:rPr>
          <w:sz w:val="22"/>
          <w:szCs w:val="22"/>
          <w:lang w:eastAsia="en-US"/>
        </w:rPr>
      </w:pPr>
    </w:p>
    <w:p w14:paraId="1E2EEA84" w14:textId="77777777" w:rsidR="009D3E49" w:rsidRPr="005A55CA" w:rsidRDefault="009D3E49" w:rsidP="00B12BBF">
      <w:pPr>
        <w:spacing w:before="0"/>
        <w:rPr>
          <w:sz w:val="22"/>
          <w:szCs w:val="22"/>
        </w:rPr>
      </w:pPr>
      <w:r w:rsidRPr="005A55CA">
        <w:rPr>
          <w:b/>
          <w:sz w:val="22"/>
          <w:szCs w:val="22"/>
        </w:rPr>
        <w:t xml:space="preserve">Paragrahv 1 </w:t>
      </w:r>
      <w:r w:rsidRPr="005A55CA">
        <w:rPr>
          <w:sz w:val="22"/>
          <w:szCs w:val="22"/>
        </w:rPr>
        <w:t>määratleb</w:t>
      </w:r>
      <w:r w:rsidRPr="005A55CA">
        <w:rPr>
          <w:b/>
          <w:sz w:val="22"/>
          <w:szCs w:val="22"/>
        </w:rPr>
        <w:t xml:space="preserve"> </w:t>
      </w:r>
      <w:r w:rsidRPr="005A55CA">
        <w:rPr>
          <w:sz w:val="22"/>
          <w:szCs w:val="22"/>
        </w:rPr>
        <w:t xml:space="preserve">seaduse reguleerimisala. </w:t>
      </w:r>
      <w:r>
        <w:rPr>
          <w:sz w:val="22"/>
          <w:szCs w:val="22"/>
        </w:rPr>
        <w:t xml:space="preserve">Selles </w:t>
      </w:r>
      <w:r w:rsidRPr="005A55CA">
        <w:rPr>
          <w:sz w:val="22"/>
          <w:szCs w:val="22"/>
        </w:rPr>
        <w:t xml:space="preserve">nimetatud mõisted on defineeritud eelnõu paragrahvides </w:t>
      </w:r>
      <w:r>
        <w:rPr>
          <w:sz w:val="22"/>
          <w:szCs w:val="22"/>
        </w:rPr>
        <w:t>3</w:t>
      </w:r>
      <w:r w:rsidRPr="005A55CA">
        <w:rPr>
          <w:sz w:val="22"/>
          <w:szCs w:val="22"/>
        </w:rPr>
        <w:t xml:space="preserve"> ja </w:t>
      </w:r>
      <w:r>
        <w:rPr>
          <w:sz w:val="22"/>
          <w:szCs w:val="22"/>
        </w:rPr>
        <w:t>4</w:t>
      </w:r>
      <w:r w:rsidRPr="005A55CA">
        <w:rPr>
          <w:sz w:val="22"/>
          <w:szCs w:val="22"/>
        </w:rPr>
        <w:t>.</w:t>
      </w:r>
    </w:p>
    <w:p w14:paraId="08E783E0" w14:textId="77777777" w:rsidR="009D3E49" w:rsidRPr="005A55CA" w:rsidRDefault="009D3E49" w:rsidP="00B12BBF">
      <w:pPr>
        <w:spacing w:before="0"/>
        <w:rPr>
          <w:sz w:val="22"/>
          <w:szCs w:val="22"/>
        </w:rPr>
      </w:pPr>
    </w:p>
    <w:p w14:paraId="34BAEB83" w14:textId="473C4262" w:rsidR="009D3E49" w:rsidRDefault="009D3E49" w:rsidP="00B12BBF">
      <w:pPr>
        <w:spacing w:before="0"/>
        <w:rPr>
          <w:sz w:val="22"/>
          <w:szCs w:val="22"/>
        </w:rPr>
      </w:pPr>
      <w:r w:rsidRPr="00462D03">
        <w:rPr>
          <w:b/>
          <w:sz w:val="22"/>
          <w:szCs w:val="22"/>
        </w:rPr>
        <w:t>Lõike 1</w:t>
      </w:r>
      <w:r w:rsidRPr="005A55CA">
        <w:rPr>
          <w:sz w:val="22"/>
          <w:szCs w:val="22"/>
        </w:rPr>
        <w:t xml:space="preserve"> </w:t>
      </w:r>
      <w:r w:rsidRPr="00E362D6">
        <w:rPr>
          <w:b/>
          <w:sz w:val="22"/>
          <w:szCs w:val="22"/>
        </w:rPr>
        <w:t>punkti 1</w:t>
      </w:r>
      <w:r>
        <w:rPr>
          <w:sz w:val="22"/>
          <w:szCs w:val="22"/>
        </w:rPr>
        <w:t xml:space="preserve"> </w:t>
      </w:r>
      <w:r w:rsidRPr="005A55CA">
        <w:rPr>
          <w:sz w:val="22"/>
          <w:szCs w:val="22"/>
        </w:rPr>
        <w:t xml:space="preserve">kohaselt on seadusega reguleeritud </w:t>
      </w:r>
      <w:proofErr w:type="spellStart"/>
      <w:r w:rsidRPr="00462D03">
        <w:rPr>
          <w:sz w:val="22"/>
          <w:szCs w:val="22"/>
        </w:rPr>
        <w:t>ühisrahastusteenuse</w:t>
      </w:r>
      <w:proofErr w:type="spellEnd"/>
      <w:r w:rsidRPr="00462D03">
        <w:rPr>
          <w:sz w:val="22"/>
          <w:szCs w:val="22"/>
        </w:rPr>
        <w:t xml:space="preserve"> osutami</w:t>
      </w:r>
      <w:r>
        <w:rPr>
          <w:sz w:val="22"/>
          <w:szCs w:val="22"/>
        </w:rPr>
        <w:t xml:space="preserve">ne </w:t>
      </w:r>
      <w:r w:rsidRPr="00462D03">
        <w:rPr>
          <w:sz w:val="22"/>
          <w:szCs w:val="22"/>
        </w:rPr>
        <w:t xml:space="preserve">ulatuses, milles see </w:t>
      </w:r>
      <w:r w:rsidRPr="00743DC1">
        <w:rPr>
          <w:sz w:val="22"/>
          <w:szCs w:val="22"/>
        </w:rPr>
        <w:t xml:space="preserve">täpsustab ja täiendab </w:t>
      </w:r>
      <w:r w:rsidRPr="00F4363A">
        <w:rPr>
          <w:sz w:val="22"/>
          <w:szCs w:val="22"/>
        </w:rPr>
        <w:t xml:space="preserve">EL </w:t>
      </w:r>
      <w:proofErr w:type="spellStart"/>
      <w:r w:rsidRPr="00F4363A">
        <w:rPr>
          <w:sz w:val="22"/>
          <w:szCs w:val="22"/>
        </w:rPr>
        <w:t>ühisrahastusmäärus</w:t>
      </w:r>
      <w:r>
        <w:rPr>
          <w:sz w:val="22"/>
          <w:szCs w:val="22"/>
        </w:rPr>
        <w:t>es</w:t>
      </w:r>
      <w:proofErr w:type="spellEnd"/>
      <w:r>
        <w:rPr>
          <w:sz w:val="22"/>
          <w:szCs w:val="22"/>
        </w:rPr>
        <w:t xml:space="preserve"> lubatavuse ulatuses. Teisisõnu kehtestatakse käesoleva punktiga EL </w:t>
      </w:r>
      <w:proofErr w:type="spellStart"/>
      <w:r>
        <w:rPr>
          <w:sz w:val="22"/>
          <w:szCs w:val="22"/>
        </w:rPr>
        <w:t>ühisrahastusteenuse</w:t>
      </w:r>
      <w:proofErr w:type="spellEnd"/>
      <w:r>
        <w:rPr>
          <w:sz w:val="22"/>
          <w:szCs w:val="22"/>
        </w:rPr>
        <w:t xml:space="preserve"> osutajatele nõuded niivõrd, kuivõrd see on lubatud või nõutud viidatud EL määrusega, st selles osas, mil määrust otse ei kohaldata - eeskätt vastutuse ja järelevalve sätted 11. ja 12. peatükis, vt ka § 7 lg 7. Eelnõu 11. ja 12 peatüki sätetega antakse pädevale asutusele järelevalvetegevuseks asjaomased meetmed ja kehtestatakse võimalus nõuete rikkumisel puhul sekkuda, sh määrata karistusi või võtta tarvitusele muid haldusmeetmeid.</w:t>
      </w:r>
    </w:p>
    <w:p w14:paraId="01E9D0D8" w14:textId="77777777" w:rsidR="009D3E49" w:rsidRDefault="009D3E49" w:rsidP="00B12BBF">
      <w:pPr>
        <w:spacing w:before="0"/>
        <w:rPr>
          <w:sz w:val="22"/>
          <w:szCs w:val="22"/>
        </w:rPr>
      </w:pPr>
    </w:p>
    <w:p w14:paraId="01FD9031" w14:textId="77777777" w:rsidR="009D3E49" w:rsidRPr="00FB122F" w:rsidRDefault="009D3E49" w:rsidP="00B12BBF">
      <w:pPr>
        <w:spacing w:before="0"/>
        <w:rPr>
          <w:sz w:val="22"/>
          <w:szCs w:val="22"/>
        </w:rPr>
      </w:pPr>
      <w:r>
        <w:rPr>
          <w:sz w:val="22"/>
          <w:szCs w:val="22"/>
        </w:rPr>
        <w:lastRenderedPageBreak/>
        <w:t xml:space="preserve">EL </w:t>
      </w:r>
      <w:proofErr w:type="spellStart"/>
      <w:r>
        <w:rPr>
          <w:sz w:val="22"/>
          <w:szCs w:val="22"/>
        </w:rPr>
        <w:t>ühisrahastusmääruse</w:t>
      </w:r>
      <w:proofErr w:type="spellEnd"/>
      <w:r>
        <w:rPr>
          <w:sz w:val="22"/>
          <w:szCs w:val="22"/>
        </w:rPr>
        <w:t xml:space="preserve"> </w:t>
      </w:r>
      <w:r w:rsidRPr="00FB122F">
        <w:rPr>
          <w:sz w:val="22"/>
          <w:szCs w:val="22"/>
        </w:rPr>
        <w:t xml:space="preserve">artikli 29 tähenduses </w:t>
      </w:r>
      <w:r>
        <w:rPr>
          <w:sz w:val="22"/>
          <w:szCs w:val="22"/>
        </w:rPr>
        <w:t xml:space="preserve">määratakse </w:t>
      </w:r>
      <w:r w:rsidRPr="00FB122F">
        <w:rPr>
          <w:sz w:val="22"/>
          <w:szCs w:val="22"/>
        </w:rPr>
        <w:t>pädevaks asutuseks Eestis Finantsinspektsioon</w:t>
      </w:r>
      <w:r>
        <w:rPr>
          <w:sz w:val="22"/>
          <w:szCs w:val="22"/>
        </w:rPr>
        <w:t xml:space="preserve"> (vt eelnõu § 87 lõige 6)</w:t>
      </w:r>
      <w:r w:rsidRPr="00FB122F">
        <w:rPr>
          <w:sz w:val="22"/>
          <w:szCs w:val="22"/>
        </w:rPr>
        <w:t xml:space="preserve">. Finantsinspektsioonil on seega kõik õigused, mis </w:t>
      </w:r>
      <w:r>
        <w:rPr>
          <w:sz w:val="22"/>
          <w:szCs w:val="22"/>
        </w:rPr>
        <w:t xml:space="preserve">on sätestatud pädevale asutusele EL </w:t>
      </w:r>
      <w:proofErr w:type="spellStart"/>
      <w:r>
        <w:rPr>
          <w:sz w:val="22"/>
          <w:szCs w:val="22"/>
        </w:rPr>
        <w:t>ühisrahastusmääruses</w:t>
      </w:r>
      <w:proofErr w:type="spellEnd"/>
      <w:r>
        <w:rPr>
          <w:sz w:val="22"/>
          <w:szCs w:val="22"/>
        </w:rPr>
        <w:t xml:space="preserve"> ja mis eelnõuga sätestatakse</w:t>
      </w:r>
      <w:r w:rsidRPr="00FB122F">
        <w:rPr>
          <w:sz w:val="22"/>
          <w:szCs w:val="22"/>
        </w:rPr>
        <w:t>.</w:t>
      </w:r>
    </w:p>
    <w:p w14:paraId="7791513C" w14:textId="77777777" w:rsidR="009D3E49" w:rsidRDefault="009D3E49" w:rsidP="00B12BBF">
      <w:pPr>
        <w:spacing w:before="0"/>
        <w:rPr>
          <w:sz w:val="22"/>
          <w:szCs w:val="22"/>
        </w:rPr>
      </w:pPr>
    </w:p>
    <w:p w14:paraId="1CE66CCC" w14:textId="77777777" w:rsidR="009D3E49" w:rsidRDefault="009D3E49" w:rsidP="00B12BBF">
      <w:pPr>
        <w:spacing w:before="0"/>
        <w:rPr>
          <w:sz w:val="22"/>
          <w:szCs w:val="22"/>
        </w:rPr>
      </w:pPr>
      <w:r>
        <w:rPr>
          <w:b/>
          <w:sz w:val="22"/>
          <w:szCs w:val="22"/>
        </w:rPr>
        <w:t>Lõike 1 punkt</w:t>
      </w:r>
      <w:r w:rsidRPr="00462D03">
        <w:rPr>
          <w:b/>
          <w:sz w:val="22"/>
          <w:szCs w:val="22"/>
        </w:rPr>
        <w:t xml:space="preserve"> 2</w:t>
      </w:r>
      <w:r>
        <w:rPr>
          <w:sz w:val="22"/>
          <w:szCs w:val="22"/>
        </w:rPr>
        <w:t xml:space="preserve"> sätestab, et seadust kohaldatakse punktis 1 nimetamata </w:t>
      </w:r>
      <w:proofErr w:type="spellStart"/>
      <w:r>
        <w:rPr>
          <w:sz w:val="22"/>
          <w:szCs w:val="22"/>
        </w:rPr>
        <w:t>ühisrahastusteenuse</w:t>
      </w:r>
      <w:proofErr w:type="spellEnd"/>
      <w:r>
        <w:rPr>
          <w:sz w:val="22"/>
          <w:szCs w:val="22"/>
        </w:rPr>
        <w:t xml:space="preserve"> osutamisele. Nimetatud punkti alusel kuuluvad seaduse kohaldamisalasse need </w:t>
      </w:r>
      <w:proofErr w:type="spellStart"/>
      <w:r>
        <w:rPr>
          <w:sz w:val="22"/>
          <w:szCs w:val="22"/>
        </w:rPr>
        <w:t>ühisrahastusteenuse</w:t>
      </w:r>
      <w:proofErr w:type="spellEnd"/>
      <w:r>
        <w:rPr>
          <w:sz w:val="22"/>
          <w:szCs w:val="22"/>
        </w:rPr>
        <w:t xml:space="preserve"> osutajaid, kes punktis 1 nimetatud EL </w:t>
      </w:r>
      <w:proofErr w:type="spellStart"/>
      <w:r>
        <w:rPr>
          <w:sz w:val="22"/>
          <w:szCs w:val="22"/>
        </w:rPr>
        <w:t>ühisrahastusmääruse</w:t>
      </w:r>
      <w:proofErr w:type="spellEnd"/>
      <w:r>
        <w:rPr>
          <w:sz w:val="22"/>
          <w:szCs w:val="22"/>
        </w:rPr>
        <w:t xml:space="preserve"> kohaldamisalasse ei kuulu. Siia on hõlmatud nt tarbijakrediidipõhised </w:t>
      </w:r>
      <w:proofErr w:type="spellStart"/>
      <w:r>
        <w:rPr>
          <w:sz w:val="22"/>
          <w:szCs w:val="22"/>
        </w:rPr>
        <w:t>ühisrahastusmudelid</w:t>
      </w:r>
      <w:proofErr w:type="spellEnd"/>
      <w:r>
        <w:rPr>
          <w:sz w:val="22"/>
          <w:szCs w:val="22"/>
        </w:rPr>
        <w:t xml:space="preserve"> ning muud teenuseosutajad, kes vahendavad kolmandate isikute investeerimisprojekte. Täpsemalt on </w:t>
      </w:r>
      <w:proofErr w:type="spellStart"/>
      <w:r>
        <w:rPr>
          <w:sz w:val="22"/>
          <w:szCs w:val="22"/>
        </w:rPr>
        <w:t>ühisrahastusprojekti</w:t>
      </w:r>
      <w:proofErr w:type="spellEnd"/>
      <w:r>
        <w:rPr>
          <w:sz w:val="22"/>
          <w:szCs w:val="22"/>
        </w:rPr>
        <w:t xml:space="preserve"> mõiste lahti seletatud eelnõu § 4 lõikes 1 ning </w:t>
      </w:r>
      <w:proofErr w:type="spellStart"/>
      <w:r>
        <w:rPr>
          <w:sz w:val="22"/>
          <w:szCs w:val="22"/>
        </w:rPr>
        <w:t>ühisrahastusteenus</w:t>
      </w:r>
      <w:proofErr w:type="spellEnd"/>
      <w:r>
        <w:rPr>
          <w:sz w:val="22"/>
          <w:szCs w:val="22"/>
        </w:rPr>
        <w:t xml:space="preserve"> ja </w:t>
      </w:r>
      <w:proofErr w:type="spellStart"/>
      <w:r>
        <w:rPr>
          <w:sz w:val="22"/>
          <w:szCs w:val="22"/>
        </w:rPr>
        <w:t>ühisrahastusteenuse</w:t>
      </w:r>
      <w:proofErr w:type="spellEnd"/>
      <w:r>
        <w:rPr>
          <w:sz w:val="22"/>
          <w:szCs w:val="22"/>
        </w:rPr>
        <w:t xml:space="preserve"> osutaja sama paragrahvi vastavalt lõigetes 4 ja 5..</w:t>
      </w:r>
    </w:p>
    <w:p w14:paraId="4EE87FA3" w14:textId="77777777" w:rsidR="009D3E49" w:rsidRDefault="009D3E49" w:rsidP="00B12BBF">
      <w:pPr>
        <w:spacing w:before="0"/>
        <w:rPr>
          <w:sz w:val="22"/>
          <w:szCs w:val="22"/>
        </w:rPr>
      </w:pPr>
    </w:p>
    <w:p w14:paraId="48756C87" w14:textId="2FDE4C21" w:rsidR="009D3E49" w:rsidRDefault="009D3E49" w:rsidP="00B12BBF">
      <w:pPr>
        <w:spacing w:before="0"/>
        <w:rPr>
          <w:sz w:val="22"/>
          <w:szCs w:val="22"/>
        </w:rPr>
      </w:pPr>
      <w:r w:rsidRPr="00CE57DC">
        <w:rPr>
          <w:b/>
          <w:sz w:val="22"/>
          <w:szCs w:val="22"/>
        </w:rPr>
        <w:t>Lõike 1 punkti 3</w:t>
      </w:r>
      <w:r>
        <w:rPr>
          <w:sz w:val="22"/>
          <w:szCs w:val="22"/>
        </w:rPr>
        <w:t xml:space="preserve"> kohaselt reguleerib seadus </w:t>
      </w:r>
      <w:proofErr w:type="spellStart"/>
      <w:r>
        <w:rPr>
          <w:sz w:val="22"/>
          <w:szCs w:val="22"/>
        </w:rPr>
        <w:t>ühisrahastusprojektide</w:t>
      </w:r>
      <w:proofErr w:type="spellEnd"/>
      <w:r>
        <w:rPr>
          <w:sz w:val="22"/>
          <w:szCs w:val="22"/>
        </w:rPr>
        <w:t xml:space="preserve"> pakkumist. </w:t>
      </w:r>
      <w:proofErr w:type="spellStart"/>
      <w:r w:rsidR="00BD5E7F">
        <w:rPr>
          <w:sz w:val="22"/>
          <w:szCs w:val="22"/>
        </w:rPr>
        <w:t>Ühisrahastusprojekti</w:t>
      </w:r>
      <w:proofErr w:type="spellEnd"/>
      <w:r>
        <w:rPr>
          <w:sz w:val="22"/>
          <w:szCs w:val="22"/>
        </w:rPr>
        <w:t xml:space="preserve"> pakkumise kohta vt lähemalt eelnõu § </w:t>
      </w:r>
      <w:r w:rsidR="00BD5E7F">
        <w:rPr>
          <w:sz w:val="22"/>
          <w:szCs w:val="22"/>
        </w:rPr>
        <w:t>4</w:t>
      </w:r>
      <w:r>
        <w:rPr>
          <w:sz w:val="22"/>
          <w:szCs w:val="22"/>
        </w:rPr>
        <w:t xml:space="preserve"> lõigete 2 ja 3 selgitusi.</w:t>
      </w:r>
    </w:p>
    <w:p w14:paraId="5BD1487D" w14:textId="77777777" w:rsidR="009D3E49" w:rsidRDefault="009D3E49" w:rsidP="00B12BBF">
      <w:pPr>
        <w:spacing w:before="0"/>
        <w:rPr>
          <w:sz w:val="22"/>
          <w:szCs w:val="22"/>
        </w:rPr>
      </w:pPr>
    </w:p>
    <w:p w14:paraId="06D6CE43" w14:textId="77777777" w:rsidR="009D3E49" w:rsidRDefault="009D3E49" w:rsidP="00B12BBF">
      <w:pPr>
        <w:spacing w:before="0"/>
        <w:rPr>
          <w:sz w:val="22"/>
          <w:szCs w:val="22"/>
        </w:rPr>
      </w:pPr>
      <w:r w:rsidRPr="00E362D6">
        <w:rPr>
          <w:b/>
          <w:sz w:val="22"/>
          <w:szCs w:val="22"/>
        </w:rPr>
        <w:t xml:space="preserve">Lõike 1 punktiga </w:t>
      </w:r>
      <w:r>
        <w:rPr>
          <w:b/>
          <w:sz w:val="22"/>
          <w:szCs w:val="22"/>
        </w:rPr>
        <w:t>4</w:t>
      </w:r>
      <w:r>
        <w:rPr>
          <w:sz w:val="22"/>
          <w:szCs w:val="22"/>
        </w:rPr>
        <w:t xml:space="preserve"> sätestatakse, et seadust kohaldatakse ka </w:t>
      </w:r>
      <w:proofErr w:type="spellStart"/>
      <w:r>
        <w:rPr>
          <w:sz w:val="22"/>
          <w:szCs w:val="22"/>
        </w:rPr>
        <w:t>krüptovarateenuste</w:t>
      </w:r>
      <w:proofErr w:type="spellEnd"/>
      <w:r>
        <w:rPr>
          <w:sz w:val="22"/>
          <w:szCs w:val="22"/>
        </w:rPr>
        <w:t xml:space="preserve"> osutamisele.</w:t>
      </w:r>
      <w:r w:rsidRPr="00E362D6">
        <w:rPr>
          <w:sz w:val="22"/>
          <w:szCs w:val="22"/>
        </w:rPr>
        <w:t xml:space="preserve"> </w:t>
      </w:r>
      <w:r>
        <w:rPr>
          <w:sz w:val="22"/>
          <w:szCs w:val="22"/>
        </w:rPr>
        <w:t xml:space="preserve">Seega, </w:t>
      </w:r>
      <w:r w:rsidRPr="005A55CA">
        <w:rPr>
          <w:sz w:val="22"/>
          <w:szCs w:val="22"/>
        </w:rPr>
        <w:t xml:space="preserve">võrreldes kehtiva õigusega on virtuaalvääringu teenuste osutamisega seotud õiguslik regulatsioon </w:t>
      </w:r>
      <w:r>
        <w:rPr>
          <w:sz w:val="22"/>
          <w:szCs w:val="22"/>
        </w:rPr>
        <w:t>edaspidi toodud</w:t>
      </w:r>
      <w:r w:rsidRPr="005A55CA">
        <w:rPr>
          <w:sz w:val="22"/>
          <w:szCs w:val="22"/>
        </w:rPr>
        <w:t xml:space="preserve"> </w:t>
      </w:r>
      <w:proofErr w:type="spellStart"/>
      <w:r w:rsidRPr="005A55CA">
        <w:rPr>
          <w:sz w:val="22"/>
          <w:szCs w:val="22"/>
        </w:rPr>
        <w:t>RahaPTS</w:t>
      </w:r>
      <w:proofErr w:type="spellEnd"/>
      <w:r w:rsidRPr="005A55CA">
        <w:rPr>
          <w:sz w:val="22"/>
          <w:szCs w:val="22"/>
        </w:rPr>
        <w:t>-ist eriseaduse</w:t>
      </w:r>
      <w:r>
        <w:rPr>
          <w:sz w:val="22"/>
          <w:szCs w:val="22"/>
        </w:rPr>
        <w:t xml:space="preserve"> ehk </w:t>
      </w:r>
      <w:proofErr w:type="spellStart"/>
      <w:r>
        <w:rPr>
          <w:sz w:val="22"/>
          <w:szCs w:val="22"/>
        </w:rPr>
        <w:t>krüptovara</w:t>
      </w:r>
      <w:proofErr w:type="spellEnd"/>
      <w:r>
        <w:rPr>
          <w:sz w:val="22"/>
          <w:szCs w:val="22"/>
        </w:rPr>
        <w:t xml:space="preserve"> ja </w:t>
      </w:r>
      <w:proofErr w:type="spellStart"/>
      <w:r w:rsidRPr="00D46C9A">
        <w:rPr>
          <w:sz w:val="22"/>
          <w:szCs w:val="22"/>
        </w:rPr>
        <w:t>ühisrahastuse</w:t>
      </w:r>
      <w:proofErr w:type="spellEnd"/>
      <w:r w:rsidRPr="00D46C9A">
        <w:rPr>
          <w:sz w:val="22"/>
          <w:szCs w:val="22"/>
        </w:rPr>
        <w:t xml:space="preserve"> seaduse kohaldamisalasse.</w:t>
      </w:r>
      <w:r>
        <w:rPr>
          <w:sz w:val="22"/>
          <w:szCs w:val="22"/>
        </w:rPr>
        <w:t xml:space="preserve"> </w:t>
      </w:r>
      <w:proofErr w:type="spellStart"/>
      <w:r>
        <w:rPr>
          <w:sz w:val="22"/>
          <w:szCs w:val="22"/>
        </w:rPr>
        <w:t>Krüptovarateenuste</w:t>
      </w:r>
      <w:proofErr w:type="spellEnd"/>
      <w:r>
        <w:rPr>
          <w:sz w:val="22"/>
          <w:szCs w:val="22"/>
        </w:rPr>
        <w:t xml:space="preserve"> mõiste sisaldub § 3 lõikes 3 ning iga teenus on eraldi defineeritud sama paragrahvi järgnevates lõigetes.</w:t>
      </w:r>
    </w:p>
    <w:p w14:paraId="79B39490" w14:textId="77777777" w:rsidR="009D3E49" w:rsidRDefault="009D3E49" w:rsidP="00B12BBF">
      <w:pPr>
        <w:spacing w:before="0"/>
        <w:rPr>
          <w:sz w:val="22"/>
          <w:szCs w:val="22"/>
        </w:rPr>
      </w:pPr>
    </w:p>
    <w:p w14:paraId="7957494D" w14:textId="77777777" w:rsidR="009D3E49" w:rsidRPr="002674F7" w:rsidRDefault="009D3E49" w:rsidP="00B12BBF">
      <w:pPr>
        <w:spacing w:before="0"/>
        <w:rPr>
          <w:sz w:val="22"/>
          <w:szCs w:val="22"/>
        </w:rPr>
      </w:pPr>
      <w:r>
        <w:rPr>
          <w:b/>
          <w:sz w:val="22"/>
          <w:szCs w:val="22"/>
        </w:rPr>
        <w:t xml:space="preserve">Lõike 1 punktiga 5 </w:t>
      </w:r>
      <w:r>
        <w:rPr>
          <w:sz w:val="22"/>
          <w:szCs w:val="22"/>
        </w:rPr>
        <w:t xml:space="preserve">sätestatakse, et § 1 lõike 1 punktides 2 ja 4 nimetatud teenuseosutajate üle kehtestatakse eelnõuga nõuded asutamisele, tegevusele, lõpetamisele, samuti vastutuse ja järelevalve teostamise sätted. Lõike 1 punktis 1 nimetatud teenuseosutajatele kehtestatakse eelviidatud nõuded ulatuses, milles see on lubatud EL </w:t>
      </w:r>
      <w:proofErr w:type="spellStart"/>
      <w:r>
        <w:rPr>
          <w:sz w:val="22"/>
          <w:szCs w:val="22"/>
        </w:rPr>
        <w:t>ühisrahastusmääruse</w:t>
      </w:r>
      <w:proofErr w:type="spellEnd"/>
      <w:r>
        <w:rPr>
          <w:sz w:val="22"/>
          <w:szCs w:val="22"/>
        </w:rPr>
        <w:t xml:space="preserve"> alusel. Eelnõu üheks eesmärgiks ongi rakendada </w:t>
      </w:r>
      <w:r w:rsidRPr="00E362D6">
        <w:rPr>
          <w:sz w:val="22"/>
          <w:szCs w:val="22"/>
        </w:rPr>
        <w:t>E</w:t>
      </w:r>
      <w:r>
        <w:rPr>
          <w:sz w:val="22"/>
          <w:szCs w:val="22"/>
        </w:rPr>
        <w:t xml:space="preserve">L </w:t>
      </w:r>
      <w:proofErr w:type="spellStart"/>
      <w:r>
        <w:rPr>
          <w:sz w:val="22"/>
          <w:szCs w:val="22"/>
        </w:rPr>
        <w:t>ühisrahastus</w:t>
      </w:r>
      <w:r w:rsidRPr="00E362D6">
        <w:rPr>
          <w:sz w:val="22"/>
          <w:szCs w:val="22"/>
        </w:rPr>
        <w:t>määrus</w:t>
      </w:r>
      <w:r>
        <w:rPr>
          <w:sz w:val="22"/>
          <w:szCs w:val="22"/>
        </w:rPr>
        <w:t>e</w:t>
      </w:r>
      <w:proofErr w:type="spellEnd"/>
      <w:r w:rsidRPr="00E362D6">
        <w:rPr>
          <w:sz w:val="22"/>
          <w:szCs w:val="22"/>
        </w:rPr>
        <w:t xml:space="preserve"> </w:t>
      </w:r>
      <w:r>
        <w:rPr>
          <w:sz w:val="22"/>
          <w:szCs w:val="22"/>
        </w:rPr>
        <w:t>valikukohti ja kehtestada nõuded, mis selle alusel liikmesriikidele pannakse.</w:t>
      </w:r>
    </w:p>
    <w:p w14:paraId="24A40BE1" w14:textId="77777777" w:rsidR="009D3E49" w:rsidRPr="005A55CA" w:rsidRDefault="009D3E49" w:rsidP="00B12BBF">
      <w:pPr>
        <w:spacing w:before="0"/>
        <w:rPr>
          <w:sz w:val="22"/>
          <w:szCs w:val="22"/>
        </w:rPr>
      </w:pPr>
    </w:p>
    <w:p w14:paraId="446888C9" w14:textId="77777777" w:rsidR="009D3E49" w:rsidRPr="005A55CA" w:rsidRDefault="009D3E49" w:rsidP="00B12BBF">
      <w:pPr>
        <w:spacing w:before="0"/>
        <w:rPr>
          <w:sz w:val="22"/>
          <w:szCs w:val="22"/>
        </w:rPr>
      </w:pPr>
      <w:r w:rsidRPr="00462D03">
        <w:rPr>
          <w:b/>
          <w:sz w:val="22"/>
          <w:szCs w:val="22"/>
        </w:rPr>
        <w:t xml:space="preserve">Lõike </w:t>
      </w:r>
      <w:r>
        <w:rPr>
          <w:b/>
          <w:sz w:val="22"/>
          <w:szCs w:val="22"/>
        </w:rPr>
        <w:t>2</w:t>
      </w:r>
      <w:r w:rsidRPr="005A55CA">
        <w:rPr>
          <w:sz w:val="22"/>
          <w:szCs w:val="22"/>
        </w:rPr>
        <w:t xml:space="preserve"> näol on tegemist tüüpilise finantsjärelevalvesubjekti kohta käiva normiga, millega täpsustatakse, et seaduses ette nähtud haldusmenetlusele kohaldatakse haldusmenetluse seaduse sätteid, arvestades eriseadusest ja Finantsinspektsiooni seadusest tulenevaid erisusi.</w:t>
      </w:r>
    </w:p>
    <w:p w14:paraId="79545CE2" w14:textId="77777777" w:rsidR="009D3E49" w:rsidRPr="005A55CA" w:rsidRDefault="009D3E49" w:rsidP="00B12BBF">
      <w:pPr>
        <w:spacing w:before="0"/>
        <w:rPr>
          <w:sz w:val="22"/>
          <w:szCs w:val="22"/>
        </w:rPr>
      </w:pPr>
    </w:p>
    <w:p w14:paraId="347C5073" w14:textId="77777777" w:rsidR="009D3E49" w:rsidRPr="005A55CA" w:rsidRDefault="009D3E49" w:rsidP="00B12BBF">
      <w:pPr>
        <w:spacing w:before="0"/>
        <w:rPr>
          <w:sz w:val="22"/>
          <w:szCs w:val="22"/>
        </w:rPr>
      </w:pPr>
      <w:r w:rsidRPr="005A55CA">
        <w:rPr>
          <w:b/>
          <w:sz w:val="22"/>
          <w:szCs w:val="22"/>
        </w:rPr>
        <w:t xml:space="preserve">Paragrahvis 2 </w:t>
      </w:r>
      <w:r>
        <w:rPr>
          <w:sz w:val="22"/>
          <w:szCs w:val="22"/>
        </w:rPr>
        <w:t xml:space="preserve">sätestatakse seaduse kohaldumisala, milles piiritletakse isikud, teenused ja instrumendid, millele eelnõu kohaldub. </w:t>
      </w:r>
      <w:r w:rsidRPr="005A55CA">
        <w:rPr>
          <w:sz w:val="22"/>
          <w:szCs w:val="22"/>
        </w:rPr>
        <w:t xml:space="preserve"> </w:t>
      </w:r>
    </w:p>
    <w:p w14:paraId="2027197B" w14:textId="77777777" w:rsidR="009D3E49" w:rsidRDefault="009D3E49" w:rsidP="00B12BBF">
      <w:pPr>
        <w:spacing w:before="0"/>
        <w:rPr>
          <w:sz w:val="22"/>
          <w:szCs w:val="22"/>
        </w:rPr>
      </w:pPr>
    </w:p>
    <w:p w14:paraId="17094506" w14:textId="77777777" w:rsidR="009D3E49" w:rsidRPr="006626EA" w:rsidRDefault="009D3E49" w:rsidP="00B12BBF">
      <w:pPr>
        <w:spacing w:before="0"/>
        <w:rPr>
          <w:sz w:val="22"/>
          <w:szCs w:val="22"/>
        </w:rPr>
      </w:pPr>
      <w:r w:rsidRPr="006626EA">
        <w:rPr>
          <w:sz w:val="22"/>
          <w:szCs w:val="22"/>
        </w:rPr>
        <w:t>Eelnõu kohaldumisala illustreerib lihtsustatud kujul järgmine tabel.</w:t>
      </w:r>
    </w:p>
    <w:p w14:paraId="59A9B9A4" w14:textId="77777777" w:rsidR="009D3E49" w:rsidRPr="006626EA" w:rsidRDefault="009D3E49" w:rsidP="009D3E49">
      <w:pPr>
        <w:rPr>
          <w:sz w:val="22"/>
          <w:szCs w:val="22"/>
        </w:rPr>
      </w:pPr>
    </w:p>
    <w:p w14:paraId="5F43A6D6" w14:textId="77777777" w:rsidR="009D3E49" w:rsidRPr="00F54783" w:rsidRDefault="009D3E49" w:rsidP="009D3E49">
      <w:pPr>
        <w:rPr>
          <w:b/>
          <w:sz w:val="22"/>
          <w:szCs w:val="22"/>
        </w:rPr>
      </w:pPr>
      <w:r w:rsidRPr="006626EA">
        <w:rPr>
          <w:b/>
          <w:sz w:val="22"/>
          <w:szCs w:val="22"/>
        </w:rPr>
        <w:t xml:space="preserve">Tabel </w:t>
      </w:r>
      <w:r>
        <w:rPr>
          <w:b/>
          <w:sz w:val="22"/>
          <w:szCs w:val="22"/>
        </w:rPr>
        <w:t>6</w:t>
      </w:r>
      <w:r w:rsidRPr="006626EA">
        <w:rPr>
          <w:b/>
          <w:sz w:val="22"/>
          <w:szCs w:val="22"/>
        </w:rPr>
        <w:t>. Eelnõu koh</w:t>
      </w:r>
      <w:r w:rsidRPr="00F54783">
        <w:rPr>
          <w:b/>
          <w:sz w:val="22"/>
          <w:szCs w:val="22"/>
        </w:rPr>
        <w:t>aldumisala vastavalt instrumendi liigile</w:t>
      </w:r>
    </w:p>
    <w:tbl>
      <w:tblPr>
        <w:tblStyle w:val="Kontuurtabel1"/>
        <w:tblW w:w="9215" w:type="dxa"/>
        <w:tblInd w:w="-147" w:type="dxa"/>
        <w:tblLayout w:type="fixed"/>
        <w:tblLook w:val="04A0" w:firstRow="1" w:lastRow="0" w:firstColumn="1" w:lastColumn="0" w:noHBand="0" w:noVBand="1"/>
      </w:tblPr>
      <w:tblGrid>
        <w:gridCol w:w="1843"/>
        <w:gridCol w:w="2269"/>
        <w:gridCol w:w="1701"/>
        <w:gridCol w:w="1560"/>
        <w:gridCol w:w="1842"/>
      </w:tblGrid>
      <w:tr w:rsidR="009D3E49" w:rsidRPr="00397561" w14:paraId="70C41DCE" w14:textId="77777777" w:rsidTr="00A476D1">
        <w:trPr>
          <w:trHeight w:val="249"/>
        </w:trPr>
        <w:tc>
          <w:tcPr>
            <w:tcW w:w="1843" w:type="dxa"/>
            <w:tcBorders>
              <w:bottom w:val="single" w:sz="4" w:space="0" w:color="auto"/>
            </w:tcBorders>
            <w:shd w:val="clear" w:color="auto" w:fill="DEEAF6" w:themeFill="accent1" w:themeFillTint="33"/>
          </w:tcPr>
          <w:p w14:paraId="41644CEA" w14:textId="77777777" w:rsidR="009D3E49" w:rsidRPr="00397561" w:rsidRDefault="009D3E49" w:rsidP="00A476D1">
            <w:pPr>
              <w:spacing w:before="0"/>
              <w:jc w:val="center"/>
              <w:rPr>
                <w:rFonts w:eastAsiaTheme="minorHAnsi"/>
                <w:b/>
                <w:sz w:val="18"/>
                <w:szCs w:val="18"/>
                <w:lang w:eastAsia="en-US"/>
              </w:rPr>
            </w:pPr>
            <w:r w:rsidRPr="00397561">
              <w:rPr>
                <w:rFonts w:eastAsiaTheme="minorHAnsi"/>
                <w:b/>
                <w:sz w:val="18"/>
                <w:szCs w:val="18"/>
                <w:lang w:eastAsia="en-US"/>
              </w:rPr>
              <w:t>ÜLDNIMETUS</w:t>
            </w:r>
          </w:p>
        </w:tc>
        <w:tc>
          <w:tcPr>
            <w:tcW w:w="2269" w:type="dxa"/>
            <w:tcBorders>
              <w:bottom w:val="single" w:sz="4" w:space="0" w:color="auto"/>
            </w:tcBorders>
            <w:shd w:val="clear" w:color="auto" w:fill="DEEAF6" w:themeFill="accent1" w:themeFillTint="33"/>
          </w:tcPr>
          <w:p w14:paraId="3FE7796F" w14:textId="77777777" w:rsidR="009D3E49" w:rsidRPr="00397561" w:rsidRDefault="009D3E49" w:rsidP="00A476D1">
            <w:pPr>
              <w:spacing w:before="0"/>
              <w:jc w:val="center"/>
              <w:rPr>
                <w:rFonts w:eastAsiaTheme="minorHAnsi"/>
                <w:b/>
                <w:sz w:val="18"/>
                <w:szCs w:val="18"/>
                <w:lang w:eastAsia="en-US"/>
              </w:rPr>
            </w:pPr>
            <w:r w:rsidRPr="00397561">
              <w:rPr>
                <w:rFonts w:eastAsiaTheme="minorHAnsi"/>
                <w:b/>
                <w:sz w:val="18"/>
                <w:szCs w:val="18"/>
                <w:lang w:eastAsia="en-US"/>
              </w:rPr>
              <w:t>INSTRUMENDI LIIK</w:t>
            </w:r>
          </w:p>
        </w:tc>
        <w:tc>
          <w:tcPr>
            <w:tcW w:w="1701" w:type="dxa"/>
            <w:tcBorders>
              <w:bottom w:val="single" w:sz="4" w:space="0" w:color="auto"/>
            </w:tcBorders>
            <w:shd w:val="clear" w:color="auto" w:fill="DEEAF6" w:themeFill="accent1" w:themeFillTint="33"/>
          </w:tcPr>
          <w:p w14:paraId="2E2A7BA8" w14:textId="77777777" w:rsidR="009D3E49" w:rsidRPr="007472DB" w:rsidRDefault="009D3E49" w:rsidP="00A476D1">
            <w:pPr>
              <w:spacing w:before="0"/>
              <w:jc w:val="center"/>
              <w:rPr>
                <w:rFonts w:eastAsiaTheme="minorHAnsi"/>
                <w:b/>
                <w:sz w:val="18"/>
                <w:szCs w:val="18"/>
                <w:lang w:eastAsia="en-US"/>
              </w:rPr>
            </w:pPr>
            <w:r w:rsidRPr="007472DB">
              <w:rPr>
                <w:rFonts w:eastAsiaTheme="minorHAnsi"/>
                <w:b/>
                <w:sz w:val="18"/>
                <w:szCs w:val="18"/>
                <w:lang w:eastAsia="en-US"/>
              </w:rPr>
              <w:t>KAS EL ÜHISRAHASTUS-MÄÄRUS REGULEERIB</w:t>
            </w:r>
          </w:p>
        </w:tc>
        <w:tc>
          <w:tcPr>
            <w:tcW w:w="1560" w:type="dxa"/>
            <w:tcBorders>
              <w:bottom w:val="single" w:sz="4" w:space="0" w:color="auto"/>
            </w:tcBorders>
            <w:shd w:val="clear" w:color="auto" w:fill="DEEAF6" w:themeFill="accent1" w:themeFillTint="33"/>
          </w:tcPr>
          <w:p w14:paraId="2ED697D3" w14:textId="77777777" w:rsidR="009D3E49" w:rsidRPr="00397561" w:rsidRDefault="009D3E49" w:rsidP="00A476D1">
            <w:pPr>
              <w:spacing w:before="0"/>
              <w:jc w:val="center"/>
              <w:rPr>
                <w:rFonts w:eastAsiaTheme="minorHAnsi"/>
                <w:b/>
                <w:sz w:val="18"/>
                <w:szCs w:val="18"/>
                <w:lang w:eastAsia="en-US"/>
              </w:rPr>
            </w:pPr>
            <w:r w:rsidRPr="00397561">
              <w:rPr>
                <w:rFonts w:eastAsiaTheme="minorHAnsi"/>
                <w:b/>
                <w:sz w:val="18"/>
                <w:szCs w:val="18"/>
                <w:lang w:eastAsia="en-US"/>
              </w:rPr>
              <w:t>KAS EELNÕU (</w:t>
            </w:r>
            <w:proofErr w:type="spellStart"/>
            <w:r>
              <w:rPr>
                <w:rFonts w:eastAsiaTheme="minorHAnsi"/>
                <w:b/>
                <w:sz w:val="18"/>
                <w:szCs w:val="18"/>
                <w:lang w:eastAsia="en-US"/>
              </w:rPr>
              <w:t>KrÜS</w:t>
            </w:r>
            <w:proofErr w:type="spellEnd"/>
            <w:r w:rsidRPr="00397561">
              <w:rPr>
                <w:rFonts w:eastAsiaTheme="minorHAnsi"/>
                <w:b/>
                <w:sz w:val="18"/>
                <w:szCs w:val="18"/>
                <w:lang w:eastAsia="en-US"/>
              </w:rPr>
              <w:t>) REGULEERIB</w:t>
            </w:r>
          </w:p>
        </w:tc>
        <w:tc>
          <w:tcPr>
            <w:tcW w:w="1842" w:type="dxa"/>
            <w:tcBorders>
              <w:bottom w:val="single" w:sz="4" w:space="0" w:color="auto"/>
            </w:tcBorders>
            <w:shd w:val="clear" w:color="auto" w:fill="DEEAF6" w:themeFill="accent1" w:themeFillTint="33"/>
          </w:tcPr>
          <w:p w14:paraId="798B518A" w14:textId="77777777" w:rsidR="009D3E49" w:rsidRPr="00397561" w:rsidRDefault="009D3E49" w:rsidP="00A476D1">
            <w:pPr>
              <w:spacing w:before="0"/>
              <w:jc w:val="center"/>
              <w:rPr>
                <w:rFonts w:eastAsiaTheme="minorHAnsi"/>
                <w:b/>
                <w:sz w:val="18"/>
                <w:szCs w:val="18"/>
                <w:lang w:eastAsia="en-US"/>
              </w:rPr>
            </w:pPr>
            <w:r>
              <w:rPr>
                <w:rFonts w:eastAsiaTheme="minorHAnsi"/>
                <w:b/>
                <w:sz w:val="18"/>
                <w:szCs w:val="18"/>
                <w:lang w:eastAsia="en-US"/>
              </w:rPr>
              <w:t>INSTRUMENDI PAKKUMISEL AVALIKUSTATAV TEAVE</w:t>
            </w:r>
          </w:p>
        </w:tc>
      </w:tr>
      <w:tr w:rsidR="009D3E49" w:rsidRPr="00397561" w14:paraId="0B7A233D" w14:textId="77777777" w:rsidTr="00A476D1">
        <w:trPr>
          <w:trHeight w:val="249"/>
        </w:trPr>
        <w:tc>
          <w:tcPr>
            <w:tcW w:w="1843" w:type="dxa"/>
            <w:vMerge w:val="restart"/>
          </w:tcPr>
          <w:p w14:paraId="2EB85FA6" w14:textId="77777777" w:rsidR="009D3E49" w:rsidRPr="00397561" w:rsidRDefault="009D3E49" w:rsidP="00A476D1">
            <w:pPr>
              <w:spacing w:before="0"/>
              <w:jc w:val="left"/>
              <w:rPr>
                <w:rFonts w:eastAsiaTheme="minorHAnsi"/>
                <w:b/>
                <w:sz w:val="18"/>
                <w:szCs w:val="18"/>
                <w:lang w:eastAsia="en-US"/>
              </w:rPr>
            </w:pPr>
            <w:r>
              <w:rPr>
                <w:rFonts w:eastAsiaTheme="minorHAnsi"/>
                <w:b/>
                <w:sz w:val="18"/>
                <w:szCs w:val="18"/>
                <w:lang w:eastAsia="en-US"/>
              </w:rPr>
              <w:t>ÜHISRAHASTUS-PROJEKT</w:t>
            </w:r>
          </w:p>
        </w:tc>
        <w:tc>
          <w:tcPr>
            <w:tcW w:w="2269" w:type="dxa"/>
          </w:tcPr>
          <w:p w14:paraId="723A27DD" w14:textId="77777777" w:rsidR="009D3E49" w:rsidRPr="00397561" w:rsidRDefault="009D3E49" w:rsidP="00A476D1">
            <w:pPr>
              <w:spacing w:before="0"/>
              <w:rPr>
                <w:rFonts w:eastAsiaTheme="minorHAnsi"/>
                <w:sz w:val="18"/>
                <w:szCs w:val="18"/>
                <w:lang w:eastAsia="en-US"/>
              </w:rPr>
            </w:pPr>
            <w:r w:rsidRPr="00397561">
              <w:rPr>
                <w:rFonts w:eastAsiaTheme="minorHAnsi"/>
                <w:sz w:val="18"/>
                <w:szCs w:val="18"/>
                <w:lang w:eastAsia="en-US"/>
              </w:rPr>
              <w:t xml:space="preserve">Mitte-MiFID instrument [EL </w:t>
            </w:r>
            <w:proofErr w:type="spellStart"/>
            <w:r w:rsidRPr="00397561">
              <w:rPr>
                <w:rFonts w:eastAsiaTheme="minorHAnsi"/>
                <w:sz w:val="18"/>
                <w:szCs w:val="18"/>
                <w:lang w:eastAsia="en-US"/>
              </w:rPr>
              <w:t>ühisrahastusmääruse</w:t>
            </w:r>
            <w:proofErr w:type="spellEnd"/>
            <w:r w:rsidRPr="00397561">
              <w:rPr>
                <w:rFonts w:eastAsiaTheme="minorHAnsi"/>
                <w:sz w:val="18"/>
                <w:szCs w:val="18"/>
                <w:lang w:eastAsia="en-US"/>
              </w:rPr>
              <w:t xml:space="preserve"> art 2(1) </w:t>
            </w:r>
            <w:proofErr w:type="spellStart"/>
            <w:r w:rsidRPr="00397561">
              <w:rPr>
                <w:rFonts w:eastAsiaTheme="minorHAnsi"/>
                <w:sz w:val="18"/>
                <w:szCs w:val="18"/>
                <w:lang w:eastAsia="en-US"/>
              </w:rPr>
              <w:t>punkt</w:t>
            </w:r>
            <w:proofErr w:type="spellEnd"/>
            <w:r w:rsidRPr="00397561">
              <w:rPr>
                <w:rFonts w:eastAsiaTheme="minorHAnsi"/>
                <w:sz w:val="18"/>
                <w:szCs w:val="18"/>
                <w:lang w:eastAsia="en-US"/>
              </w:rPr>
              <w:t xml:space="preserve"> n] </w:t>
            </w:r>
            <w:proofErr w:type="spellStart"/>
            <w:r w:rsidRPr="00397561">
              <w:rPr>
                <w:rFonts w:eastAsiaTheme="minorHAnsi"/>
                <w:sz w:val="18"/>
                <w:szCs w:val="18"/>
                <w:lang w:eastAsia="en-US"/>
              </w:rPr>
              <w:t>ehk</w:t>
            </w:r>
            <w:proofErr w:type="spellEnd"/>
            <w:r w:rsidRPr="00397561">
              <w:rPr>
                <w:rFonts w:eastAsiaTheme="minorHAnsi"/>
                <w:sz w:val="18"/>
                <w:szCs w:val="18"/>
                <w:lang w:eastAsia="en-US"/>
              </w:rPr>
              <w:t xml:space="preserve"> </w:t>
            </w:r>
            <w:proofErr w:type="spellStart"/>
            <w:r w:rsidRPr="00397561">
              <w:rPr>
                <w:rFonts w:eastAsiaTheme="minorHAnsi"/>
                <w:sz w:val="18"/>
                <w:szCs w:val="18"/>
                <w:lang w:eastAsia="en-US"/>
              </w:rPr>
              <w:t>vabalt</w:t>
            </w:r>
            <w:proofErr w:type="spellEnd"/>
            <w:r w:rsidRPr="00397561">
              <w:rPr>
                <w:rFonts w:eastAsiaTheme="minorHAnsi"/>
                <w:sz w:val="18"/>
                <w:szCs w:val="18"/>
                <w:lang w:eastAsia="en-US"/>
              </w:rPr>
              <w:t xml:space="preserve"> </w:t>
            </w:r>
            <w:proofErr w:type="spellStart"/>
            <w:r w:rsidRPr="00397561">
              <w:rPr>
                <w:rFonts w:eastAsiaTheme="minorHAnsi"/>
                <w:sz w:val="18"/>
                <w:szCs w:val="18"/>
                <w:lang w:eastAsia="en-US"/>
              </w:rPr>
              <w:t>võõrandatav</w:t>
            </w:r>
            <w:proofErr w:type="spellEnd"/>
            <w:r w:rsidRPr="00397561">
              <w:rPr>
                <w:rFonts w:eastAsiaTheme="minorHAnsi"/>
                <w:sz w:val="18"/>
                <w:szCs w:val="18"/>
                <w:lang w:eastAsia="en-US"/>
              </w:rPr>
              <w:t xml:space="preserve"> </w:t>
            </w:r>
            <w:proofErr w:type="spellStart"/>
            <w:r w:rsidRPr="00397561">
              <w:rPr>
                <w:rFonts w:eastAsiaTheme="minorHAnsi"/>
                <w:sz w:val="18"/>
                <w:szCs w:val="18"/>
                <w:lang w:eastAsia="en-US"/>
              </w:rPr>
              <w:t>mitte</w:t>
            </w:r>
            <w:proofErr w:type="spellEnd"/>
            <w:r w:rsidRPr="00397561">
              <w:rPr>
                <w:rFonts w:eastAsiaTheme="minorHAnsi"/>
                <w:sz w:val="18"/>
                <w:szCs w:val="18"/>
                <w:lang w:eastAsia="en-US"/>
              </w:rPr>
              <w:t>-MiFID instrument</w:t>
            </w:r>
          </w:p>
        </w:tc>
        <w:tc>
          <w:tcPr>
            <w:tcW w:w="1701" w:type="dxa"/>
          </w:tcPr>
          <w:p w14:paraId="3C182AD8" w14:textId="77777777" w:rsidR="009D3E49" w:rsidRPr="007472DB" w:rsidRDefault="009D3E49" w:rsidP="00A476D1">
            <w:pPr>
              <w:spacing w:before="0"/>
              <w:jc w:val="center"/>
              <w:rPr>
                <w:rFonts w:eastAsiaTheme="minorHAnsi"/>
                <w:sz w:val="18"/>
                <w:szCs w:val="18"/>
                <w:lang w:eastAsia="en-US"/>
              </w:rPr>
            </w:pPr>
            <w:r w:rsidRPr="007472DB">
              <w:rPr>
                <w:rFonts w:eastAsiaTheme="minorHAnsi"/>
                <w:sz w:val="18"/>
                <w:szCs w:val="18"/>
                <w:lang w:eastAsia="en-US"/>
              </w:rPr>
              <w:t xml:space="preserve">Jah </w:t>
            </w:r>
          </w:p>
          <w:p w14:paraId="06306721" w14:textId="77777777" w:rsidR="009D3E49" w:rsidRPr="007472DB" w:rsidRDefault="009D3E49" w:rsidP="00A476D1">
            <w:pPr>
              <w:spacing w:before="0"/>
              <w:jc w:val="center"/>
              <w:rPr>
                <w:rFonts w:eastAsiaTheme="minorHAnsi"/>
                <w:sz w:val="18"/>
                <w:szCs w:val="18"/>
                <w:lang w:eastAsia="en-US"/>
              </w:rPr>
            </w:pPr>
            <w:r w:rsidRPr="007472DB">
              <w:rPr>
                <w:rFonts w:eastAsiaTheme="minorHAnsi"/>
                <w:sz w:val="18"/>
                <w:szCs w:val="18"/>
                <w:lang w:eastAsia="en-US"/>
              </w:rPr>
              <w:t>(</w:t>
            </w:r>
            <w:proofErr w:type="spellStart"/>
            <w:proofErr w:type="gramStart"/>
            <w:r w:rsidRPr="007472DB">
              <w:rPr>
                <w:rFonts w:eastAsiaTheme="minorHAnsi"/>
                <w:sz w:val="18"/>
                <w:szCs w:val="18"/>
                <w:lang w:eastAsia="en-US"/>
              </w:rPr>
              <w:t>kui</w:t>
            </w:r>
            <w:proofErr w:type="spellEnd"/>
            <w:proofErr w:type="gramEnd"/>
            <w:r w:rsidRPr="007472DB">
              <w:rPr>
                <w:rFonts w:eastAsiaTheme="minorHAnsi"/>
                <w:sz w:val="18"/>
                <w:szCs w:val="18"/>
                <w:lang w:eastAsia="en-US"/>
              </w:rPr>
              <w:t xml:space="preserve"> </w:t>
            </w:r>
            <w:proofErr w:type="spellStart"/>
            <w:r w:rsidRPr="007472DB">
              <w:rPr>
                <w:rFonts w:eastAsiaTheme="minorHAnsi"/>
                <w:sz w:val="18"/>
                <w:szCs w:val="18"/>
                <w:lang w:eastAsia="en-US"/>
              </w:rPr>
              <w:t>pakkumise</w:t>
            </w:r>
            <w:proofErr w:type="spellEnd"/>
            <w:r w:rsidRPr="007472DB">
              <w:rPr>
                <w:rFonts w:eastAsiaTheme="minorHAnsi"/>
                <w:sz w:val="18"/>
                <w:szCs w:val="18"/>
                <w:lang w:eastAsia="en-US"/>
              </w:rPr>
              <w:t xml:space="preserve"> </w:t>
            </w:r>
            <w:proofErr w:type="spellStart"/>
            <w:r w:rsidRPr="007472DB">
              <w:rPr>
                <w:rFonts w:eastAsiaTheme="minorHAnsi"/>
                <w:sz w:val="18"/>
                <w:szCs w:val="18"/>
                <w:lang w:eastAsia="en-US"/>
              </w:rPr>
              <w:t>koguväärtus</w:t>
            </w:r>
            <w:proofErr w:type="spellEnd"/>
            <w:r w:rsidRPr="007472DB">
              <w:rPr>
                <w:rFonts w:eastAsiaTheme="minorHAnsi"/>
                <w:sz w:val="18"/>
                <w:szCs w:val="18"/>
                <w:lang w:eastAsia="en-US"/>
              </w:rPr>
              <w:t xml:space="preserve"> on </w:t>
            </w:r>
            <w:proofErr w:type="spellStart"/>
            <w:r w:rsidRPr="007472DB">
              <w:rPr>
                <w:rFonts w:eastAsiaTheme="minorHAnsi"/>
                <w:sz w:val="18"/>
                <w:szCs w:val="18"/>
                <w:lang w:eastAsia="en-US"/>
              </w:rPr>
              <w:t>alla</w:t>
            </w:r>
            <w:proofErr w:type="spellEnd"/>
            <w:r w:rsidRPr="007472DB">
              <w:rPr>
                <w:rFonts w:eastAsiaTheme="minorHAnsi"/>
                <w:sz w:val="18"/>
                <w:szCs w:val="18"/>
                <w:lang w:eastAsia="en-US"/>
              </w:rPr>
              <w:t xml:space="preserve"> 5 </w:t>
            </w:r>
            <w:proofErr w:type="spellStart"/>
            <w:r w:rsidRPr="007472DB">
              <w:rPr>
                <w:rFonts w:eastAsiaTheme="minorHAnsi"/>
                <w:sz w:val="18"/>
                <w:szCs w:val="18"/>
                <w:lang w:eastAsia="en-US"/>
              </w:rPr>
              <w:t>mln</w:t>
            </w:r>
            <w:proofErr w:type="spellEnd"/>
            <w:r w:rsidRPr="007472DB">
              <w:rPr>
                <w:rFonts w:eastAsiaTheme="minorHAnsi"/>
                <w:sz w:val="18"/>
                <w:szCs w:val="18"/>
                <w:lang w:eastAsia="en-US"/>
              </w:rPr>
              <w:t xml:space="preserve"> euro)</w:t>
            </w:r>
          </w:p>
        </w:tc>
        <w:tc>
          <w:tcPr>
            <w:tcW w:w="1560" w:type="dxa"/>
          </w:tcPr>
          <w:p w14:paraId="09F11B7B" w14:textId="77777777" w:rsidR="009D3E49" w:rsidRPr="00397561" w:rsidRDefault="009D3E49" w:rsidP="00A476D1">
            <w:pPr>
              <w:spacing w:before="0"/>
              <w:jc w:val="center"/>
              <w:rPr>
                <w:rFonts w:eastAsiaTheme="minorHAnsi"/>
                <w:sz w:val="18"/>
                <w:szCs w:val="18"/>
                <w:lang w:eastAsia="en-US"/>
              </w:rPr>
            </w:pPr>
            <w:proofErr w:type="spellStart"/>
            <w:r w:rsidRPr="00397561">
              <w:rPr>
                <w:rFonts w:eastAsiaTheme="minorHAnsi"/>
                <w:sz w:val="18"/>
                <w:szCs w:val="18"/>
                <w:lang w:eastAsia="en-US"/>
              </w:rPr>
              <w:t>Osaliselt</w:t>
            </w:r>
            <w:proofErr w:type="spellEnd"/>
            <w:r w:rsidRPr="00397561">
              <w:rPr>
                <w:rFonts w:eastAsiaTheme="minorHAnsi"/>
                <w:sz w:val="18"/>
                <w:szCs w:val="18"/>
                <w:lang w:eastAsia="en-US"/>
              </w:rPr>
              <w:t xml:space="preserve"> (</w:t>
            </w:r>
            <w:proofErr w:type="spellStart"/>
            <w:r w:rsidRPr="00397561">
              <w:rPr>
                <w:rFonts w:eastAsiaTheme="minorHAnsi"/>
                <w:sz w:val="18"/>
                <w:szCs w:val="18"/>
                <w:lang w:eastAsia="en-US"/>
              </w:rPr>
              <w:t>järelevalve</w:t>
            </w:r>
            <w:proofErr w:type="spellEnd"/>
            <w:r>
              <w:rPr>
                <w:rFonts w:eastAsiaTheme="minorHAnsi"/>
                <w:sz w:val="18"/>
                <w:szCs w:val="18"/>
                <w:lang w:eastAsia="en-US"/>
              </w:rPr>
              <w:t xml:space="preserve">, </w:t>
            </w:r>
            <w:proofErr w:type="spellStart"/>
            <w:r>
              <w:rPr>
                <w:rFonts w:eastAsiaTheme="minorHAnsi"/>
                <w:sz w:val="18"/>
                <w:szCs w:val="18"/>
                <w:lang w:eastAsia="en-US"/>
              </w:rPr>
              <w:t>karistused</w:t>
            </w:r>
            <w:proofErr w:type="spellEnd"/>
            <w:r>
              <w:rPr>
                <w:rFonts w:eastAsiaTheme="minorHAnsi"/>
                <w:sz w:val="18"/>
                <w:szCs w:val="18"/>
                <w:lang w:eastAsia="en-US"/>
              </w:rPr>
              <w:t xml:space="preserve"> </w:t>
            </w:r>
            <w:proofErr w:type="spellStart"/>
            <w:r>
              <w:rPr>
                <w:rFonts w:eastAsiaTheme="minorHAnsi"/>
                <w:sz w:val="18"/>
                <w:szCs w:val="18"/>
                <w:lang w:eastAsia="en-US"/>
              </w:rPr>
              <w:t>jm</w:t>
            </w:r>
            <w:proofErr w:type="spellEnd"/>
            <w:r w:rsidRPr="00397561">
              <w:rPr>
                <w:rFonts w:eastAsiaTheme="minorHAnsi"/>
                <w:sz w:val="18"/>
                <w:szCs w:val="18"/>
                <w:lang w:eastAsia="en-US"/>
              </w:rPr>
              <w:t>)</w:t>
            </w:r>
          </w:p>
        </w:tc>
        <w:tc>
          <w:tcPr>
            <w:tcW w:w="1842" w:type="dxa"/>
            <w:vMerge w:val="restart"/>
          </w:tcPr>
          <w:p w14:paraId="01B803E5" w14:textId="77777777" w:rsidR="009D3E49" w:rsidRPr="00397561" w:rsidRDefault="009D3E49" w:rsidP="00A476D1">
            <w:pPr>
              <w:spacing w:before="0"/>
              <w:jc w:val="center"/>
              <w:rPr>
                <w:rFonts w:eastAsiaTheme="minorHAnsi"/>
                <w:sz w:val="18"/>
                <w:szCs w:val="18"/>
                <w:lang w:eastAsia="en-US"/>
              </w:rPr>
            </w:pPr>
            <w:proofErr w:type="spellStart"/>
            <w:r>
              <w:rPr>
                <w:rFonts w:eastAsiaTheme="minorHAnsi"/>
                <w:sz w:val="18"/>
                <w:szCs w:val="18"/>
                <w:lang w:eastAsia="en-US"/>
              </w:rPr>
              <w:t>Põhiteabedokument</w:t>
            </w:r>
            <w:proofErr w:type="spellEnd"/>
            <w:r>
              <w:rPr>
                <w:rFonts w:eastAsiaTheme="minorHAnsi"/>
                <w:sz w:val="18"/>
                <w:szCs w:val="18"/>
                <w:lang w:eastAsia="en-US"/>
              </w:rPr>
              <w:t xml:space="preserve"> (</w:t>
            </w:r>
            <w:proofErr w:type="spellStart"/>
            <w:r>
              <w:rPr>
                <w:rFonts w:eastAsiaTheme="minorHAnsi"/>
                <w:sz w:val="18"/>
                <w:szCs w:val="18"/>
                <w:lang w:eastAsia="en-US"/>
              </w:rPr>
              <w:t>KrÜS</w:t>
            </w:r>
            <w:proofErr w:type="spellEnd"/>
            <w:r>
              <w:rPr>
                <w:rFonts w:eastAsiaTheme="minorHAnsi"/>
                <w:sz w:val="18"/>
                <w:szCs w:val="18"/>
                <w:lang w:eastAsia="en-US"/>
              </w:rPr>
              <w:t xml:space="preserve"> 6. </w:t>
            </w:r>
            <w:proofErr w:type="spellStart"/>
            <w:r>
              <w:rPr>
                <w:rFonts w:eastAsiaTheme="minorHAnsi"/>
                <w:sz w:val="18"/>
                <w:szCs w:val="18"/>
                <w:lang w:eastAsia="en-US"/>
              </w:rPr>
              <w:t>ptk</w:t>
            </w:r>
            <w:proofErr w:type="spellEnd"/>
            <w:r>
              <w:rPr>
                <w:rFonts w:eastAsiaTheme="minorHAnsi"/>
                <w:sz w:val="18"/>
                <w:szCs w:val="18"/>
                <w:lang w:eastAsia="en-US"/>
              </w:rPr>
              <w:t>)</w:t>
            </w:r>
          </w:p>
        </w:tc>
      </w:tr>
      <w:tr w:rsidR="009D3E49" w:rsidRPr="00397561" w14:paraId="551308D4" w14:textId="77777777" w:rsidTr="00A476D1">
        <w:trPr>
          <w:trHeight w:val="249"/>
        </w:trPr>
        <w:tc>
          <w:tcPr>
            <w:tcW w:w="1843" w:type="dxa"/>
            <w:vMerge/>
          </w:tcPr>
          <w:p w14:paraId="67A693BB" w14:textId="77777777" w:rsidR="009D3E49" w:rsidRPr="00F54783" w:rsidRDefault="009D3E49" w:rsidP="00A476D1">
            <w:pPr>
              <w:spacing w:before="0"/>
              <w:jc w:val="left"/>
              <w:rPr>
                <w:rFonts w:eastAsiaTheme="minorHAnsi"/>
                <w:b/>
                <w:sz w:val="18"/>
                <w:szCs w:val="18"/>
                <w:lang w:eastAsia="en-US"/>
              </w:rPr>
            </w:pPr>
          </w:p>
        </w:tc>
        <w:tc>
          <w:tcPr>
            <w:tcW w:w="2269" w:type="dxa"/>
          </w:tcPr>
          <w:p w14:paraId="7C7E6315" w14:textId="77777777" w:rsidR="009D3E49" w:rsidRPr="00F54783" w:rsidRDefault="009D3E49" w:rsidP="00A476D1">
            <w:pPr>
              <w:spacing w:before="0"/>
              <w:rPr>
                <w:rFonts w:eastAsiaTheme="minorHAnsi"/>
                <w:sz w:val="18"/>
                <w:szCs w:val="18"/>
                <w:lang w:eastAsia="en-US"/>
              </w:rPr>
            </w:pPr>
            <w:proofErr w:type="spellStart"/>
            <w:r w:rsidRPr="00F54783">
              <w:rPr>
                <w:rFonts w:eastAsiaTheme="minorHAnsi"/>
                <w:sz w:val="18"/>
                <w:szCs w:val="18"/>
                <w:lang w:eastAsia="en-US"/>
              </w:rPr>
              <w:t>Muu</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mitte</w:t>
            </w:r>
            <w:proofErr w:type="spellEnd"/>
            <w:r w:rsidRPr="00F54783">
              <w:rPr>
                <w:rFonts w:eastAsiaTheme="minorHAnsi"/>
                <w:sz w:val="18"/>
                <w:szCs w:val="18"/>
                <w:lang w:eastAsia="en-US"/>
              </w:rPr>
              <w:t>-</w:t>
            </w:r>
            <w:r>
              <w:rPr>
                <w:rFonts w:eastAsiaTheme="minorHAnsi"/>
                <w:sz w:val="18"/>
                <w:szCs w:val="18"/>
                <w:lang w:eastAsia="en-US"/>
              </w:rPr>
              <w:t xml:space="preserve"> </w:t>
            </w:r>
            <w:r w:rsidRPr="00F54783">
              <w:rPr>
                <w:rFonts w:eastAsiaTheme="minorHAnsi"/>
                <w:sz w:val="18"/>
                <w:szCs w:val="18"/>
                <w:lang w:eastAsia="en-US"/>
              </w:rPr>
              <w:t xml:space="preserve">MiFID instrument, </w:t>
            </w:r>
            <w:proofErr w:type="spellStart"/>
            <w:r w:rsidRPr="00F54783">
              <w:rPr>
                <w:rFonts w:eastAsiaTheme="minorHAnsi"/>
                <w:sz w:val="18"/>
                <w:szCs w:val="18"/>
                <w:lang w:eastAsia="en-US"/>
              </w:rPr>
              <w:t>nt</w:t>
            </w:r>
            <w:proofErr w:type="spellEnd"/>
            <w:r w:rsidRPr="00F54783">
              <w:rPr>
                <w:rFonts w:eastAsiaTheme="minorHAnsi"/>
                <w:sz w:val="18"/>
                <w:szCs w:val="18"/>
                <w:lang w:eastAsia="en-US"/>
              </w:rPr>
              <w:t xml:space="preserve"> OÜ </w:t>
            </w:r>
            <w:proofErr w:type="spellStart"/>
            <w:r w:rsidRPr="00F54783">
              <w:rPr>
                <w:rFonts w:eastAsiaTheme="minorHAnsi"/>
                <w:sz w:val="18"/>
                <w:szCs w:val="18"/>
                <w:lang w:eastAsia="en-US"/>
              </w:rPr>
              <w:t>osad</w:t>
            </w:r>
            <w:proofErr w:type="spellEnd"/>
            <w:r w:rsidRPr="00F54783">
              <w:rPr>
                <w:rFonts w:eastAsiaTheme="minorHAnsi"/>
                <w:sz w:val="18"/>
                <w:szCs w:val="18"/>
                <w:lang w:eastAsia="en-US"/>
              </w:rPr>
              <w:t xml:space="preserve">, mis </w:t>
            </w:r>
            <w:proofErr w:type="spellStart"/>
            <w:r w:rsidRPr="00F54783">
              <w:rPr>
                <w:rFonts w:eastAsiaTheme="minorHAnsi"/>
                <w:sz w:val="18"/>
                <w:szCs w:val="18"/>
                <w:lang w:eastAsia="en-US"/>
              </w:rPr>
              <w:t>ei</w:t>
            </w:r>
            <w:proofErr w:type="spellEnd"/>
            <w:r w:rsidRPr="00F54783">
              <w:rPr>
                <w:rFonts w:eastAsiaTheme="minorHAnsi"/>
                <w:sz w:val="18"/>
                <w:szCs w:val="18"/>
                <w:lang w:eastAsia="en-US"/>
              </w:rPr>
              <w:t xml:space="preserve"> ole </w:t>
            </w:r>
            <w:proofErr w:type="spellStart"/>
            <w:r w:rsidRPr="00F54783">
              <w:rPr>
                <w:rFonts w:eastAsiaTheme="minorHAnsi"/>
                <w:sz w:val="18"/>
                <w:szCs w:val="18"/>
                <w:lang w:eastAsia="en-US"/>
              </w:rPr>
              <w:t>vabalt</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võõrandatavad</w:t>
            </w:r>
            <w:proofErr w:type="spellEnd"/>
          </w:p>
        </w:tc>
        <w:tc>
          <w:tcPr>
            <w:tcW w:w="1701" w:type="dxa"/>
          </w:tcPr>
          <w:p w14:paraId="17AC1EB5" w14:textId="77777777" w:rsidR="009D3E49" w:rsidRPr="00F54783" w:rsidRDefault="009D3E49" w:rsidP="00A476D1">
            <w:pPr>
              <w:spacing w:before="0"/>
              <w:jc w:val="center"/>
              <w:rPr>
                <w:rFonts w:eastAsiaTheme="minorHAnsi"/>
                <w:sz w:val="18"/>
                <w:szCs w:val="18"/>
                <w:lang w:eastAsia="en-US"/>
              </w:rPr>
            </w:pPr>
            <w:proofErr w:type="spellStart"/>
            <w:r w:rsidRPr="00F54783">
              <w:rPr>
                <w:rFonts w:eastAsiaTheme="minorHAnsi"/>
                <w:sz w:val="18"/>
                <w:szCs w:val="18"/>
                <w:lang w:eastAsia="en-US"/>
              </w:rPr>
              <w:t>Ei</w:t>
            </w:r>
            <w:proofErr w:type="spellEnd"/>
            <w:r w:rsidRPr="00F54783">
              <w:rPr>
                <w:rFonts w:eastAsiaTheme="minorHAnsi"/>
                <w:sz w:val="18"/>
                <w:szCs w:val="18"/>
                <w:lang w:eastAsia="en-US"/>
              </w:rPr>
              <w:t xml:space="preserve"> </w:t>
            </w:r>
          </w:p>
        </w:tc>
        <w:tc>
          <w:tcPr>
            <w:tcW w:w="1560" w:type="dxa"/>
          </w:tcPr>
          <w:p w14:paraId="4122C5D1" w14:textId="77777777" w:rsidR="009D3E49" w:rsidRPr="00F54783" w:rsidRDefault="009D3E49" w:rsidP="00A476D1">
            <w:pPr>
              <w:spacing w:before="0"/>
              <w:jc w:val="center"/>
              <w:rPr>
                <w:rFonts w:eastAsiaTheme="minorHAnsi"/>
                <w:sz w:val="18"/>
                <w:szCs w:val="18"/>
                <w:lang w:eastAsia="en-US"/>
              </w:rPr>
            </w:pPr>
            <w:r w:rsidRPr="00F54783">
              <w:rPr>
                <w:rFonts w:eastAsiaTheme="minorHAnsi"/>
                <w:sz w:val="18"/>
                <w:szCs w:val="18"/>
                <w:lang w:eastAsia="en-US"/>
              </w:rPr>
              <w:t>Jah</w:t>
            </w:r>
          </w:p>
        </w:tc>
        <w:tc>
          <w:tcPr>
            <w:tcW w:w="1842" w:type="dxa"/>
            <w:vMerge/>
          </w:tcPr>
          <w:p w14:paraId="6E0BC860" w14:textId="77777777" w:rsidR="009D3E49" w:rsidRPr="00F54783" w:rsidRDefault="009D3E49" w:rsidP="00A476D1">
            <w:pPr>
              <w:spacing w:before="0"/>
              <w:jc w:val="center"/>
              <w:rPr>
                <w:rFonts w:eastAsiaTheme="minorHAnsi"/>
                <w:sz w:val="18"/>
                <w:szCs w:val="18"/>
                <w:lang w:eastAsia="en-US"/>
              </w:rPr>
            </w:pPr>
          </w:p>
        </w:tc>
      </w:tr>
      <w:tr w:rsidR="009D3E49" w:rsidRPr="00397561" w14:paraId="13BC789B" w14:textId="77777777" w:rsidTr="00A476D1">
        <w:trPr>
          <w:trHeight w:val="249"/>
        </w:trPr>
        <w:tc>
          <w:tcPr>
            <w:tcW w:w="1843" w:type="dxa"/>
            <w:vMerge/>
          </w:tcPr>
          <w:p w14:paraId="564693E4" w14:textId="77777777" w:rsidR="009D3E49" w:rsidRPr="00F54783" w:rsidRDefault="009D3E49" w:rsidP="00A476D1">
            <w:pPr>
              <w:spacing w:before="0"/>
              <w:jc w:val="left"/>
              <w:rPr>
                <w:rFonts w:eastAsiaTheme="minorHAnsi"/>
                <w:b/>
                <w:sz w:val="18"/>
                <w:szCs w:val="18"/>
                <w:lang w:eastAsia="en-US"/>
              </w:rPr>
            </w:pPr>
          </w:p>
        </w:tc>
        <w:tc>
          <w:tcPr>
            <w:tcW w:w="2269" w:type="dxa"/>
          </w:tcPr>
          <w:p w14:paraId="6CA47ABA" w14:textId="77777777" w:rsidR="009D3E49" w:rsidRPr="00F54783" w:rsidRDefault="009D3E49" w:rsidP="00A476D1">
            <w:pPr>
              <w:spacing w:before="0"/>
              <w:jc w:val="left"/>
              <w:rPr>
                <w:rFonts w:eastAsiaTheme="minorHAnsi"/>
                <w:sz w:val="18"/>
                <w:szCs w:val="18"/>
                <w:lang w:eastAsia="en-US"/>
              </w:rPr>
            </w:pPr>
            <w:proofErr w:type="spellStart"/>
            <w:r w:rsidRPr="00F54783">
              <w:rPr>
                <w:rFonts w:eastAsiaTheme="minorHAnsi"/>
                <w:sz w:val="18"/>
                <w:szCs w:val="18"/>
                <w:lang w:eastAsia="en-US"/>
              </w:rPr>
              <w:t>Ettevõt</w:t>
            </w:r>
            <w:r>
              <w:rPr>
                <w:rFonts w:eastAsiaTheme="minorHAnsi"/>
                <w:sz w:val="18"/>
                <w:szCs w:val="18"/>
                <w:lang w:eastAsia="en-US"/>
              </w:rPr>
              <w:t>ja</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laen</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läbi</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ühisrahastuse</w:t>
            </w:r>
            <w:proofErr w:type="spellEnd"/>
          </w:p>
        </w:tc>
        <w:tc>
          <w:tcPr>
            <w:tcW w:w="1701" w:type="dxa"/>
          </w:tcPr>
          <w:p w14:paraId="7D0516CC" w14:textId="77777777" w:rsidR="009D3E49" w:rsidRPr="007472DB" w:rsidRDefault="009D3E49" w:rsidP="00A476D1">
            <w:pPr>
              <w:spacing w:before="0"/>
              <w:jc w:val="center"/>
              <w:rPr>
                <w:rFonts w:eastAsiaTheme="minorHAnsi"/>
                <w:sz w:val="18"/>
                <w:szCs w:val="18"/>
                <w:lang w:eastAsia="en-US"/>
              </w:rPr>
            </w:pPr>
            <w:r w:rsidRPr="007472DB">
              <w:rPr>
                <w:rFonts w:eastAsiaTheme="minorHAnsi"/>
                <w:sz w:val="18"/>
                <w:szCs w:val="18"/>
                <w:lang w:eastAsia="en-US"/>
              </w:rPr>
              <w:t>Jah</w:t>
            </w:r>
          </w:p>
          <w:p w14:paraId="4748793C" w14:textId="77777777" w:rsidR="009D3E49" w:rsidRPr="007472DB" w:rsidRDefault="009D3E49" w:rsidP="00A476D1">
            <w:pPr>
              <w:spacing w:before="0"/>
              <w:jc w:val="center"/>
              <w:rPr>
                <w:rFonts w:eastAsiaTheme="minorHAnsi"/>
                <w:sz w:val="18"/>
                <w:szCs w:val="18"/>
                <w:lang w:eastAsia="en-US"/>
              </w:rPr>
            </w:pPr>
            <w:r w:rsidRPr="007472DB">
              <w:rPr>
                <w:rFonts w:eastAsiaTheme="minorHAnsi"/>
                <w:sz w:val="18"/>
                <w:szCs w:val="18"/>
                <w:lang w:eastAsia="en-US"/>
              </w:rPr>
              <w:t>(</w:t>
            </w:r>
            <w:proofErr w:type="spellStart"/>
            <w:proofErr w:type="gramStart"/>
            <w:r w:rsidRPr="007472DB">
              <w:rPr>
                <w:rFonts w:eastAsiaTheme="minorHAnsi"/>
                <w:sz w:val="18"/>
                <w:szCs w:val="18"/>
                <w:lang w:eastAsia="en-US"/>
              </w:rPr>
              <w:t>kui</w:t>
            </w:r>
            <w:proofErr w:type="spellEnd"/>
            <w:proofErr w:type="gramEnd"/>
            <w:r w:rsidRPr="007472DB">
              <w:rPr>
                <w:rFonts w:eastAsiaTheme="minorHAnsi"/>
                <w:sz w:val="18"/>
                <w:szCs w:val="18"/>
                <w:lang w:eastAsia="en-US"/>
              </w:rPr>
              <w:t xml:space="preserve"> </w:t>
            </w:r>
            <w:proofErr w:type="spellStart"/>
            <w:r w:rsidRPr="007472DB">
              <w:rPr>
                <w:rFonts w:eastAsiaTheme="minorHAnsi"/>
                <w:sz w:val="18"/>
                <w:szCs w:val="18"/>
                <w:lang w:eastAsia="en-US"/>
              </w:rPr>
              <w:t>pakkumise</w:t>
            </w:r>
            <w:proofErr w:type="spellEnd"/>
            <w:r w:rsidRPr="007472DB">
              <w:rPr>
                <w:rFonts w:eastAsiaTheme="minorHAnsi"/>
                <w:sz w:val="18"/>
                <w:szCs w:val="18"/>
                <w:lang w:eastAsia="en-US"/>
              </w:rPr>
              <w:t xml:space="preserve"> </w:t>
            </w:r>
            <w:proofErr w:type="spellStart"/>
            <w:r w:rsidRPr="007472DB">
              <w:rPr>
                <w:rFonts w:eastAsiaTheme="minorHAnsi"/>
                <w:sz w:val="18"/>
                <w:szCs w:val="18"/>
                <w:lang w:eastAsia="en-US"/>
              </w:rPr>
              <w:t>koguväärtus</w:t>
            </w:r>
            <w:proofErr w:type="spellEnd"/>
            <w:r w:rsidRPr="007472DB">
              <w:rPr>
                <w:rFonts w:eastAsiaTheme="minorHAnsi"/>
                <w:sz w:val="18"/>
                <w:szCs w:val="18"/>
                <w:lang w:eastAsia="en-US"/>
              </w:rPr>
              <w:t xml:space="preserve"> on </w:t>
            </w:r>
            <w:proofErr w:type="spellStart"/>
            <w:r w:rsidRPr="007472DB">
              <w:rPr>
                <w:rFonts w:eastAsiaTheme="minorHAnsi"/>
                <w:sz w:val="18"/>
                <w:szCs w:val="18"/>
                <w:lang w:eastAsia="en-US"/>
              </w:rPr>
              <w:t>alla</w:t>
            </w:r>
            <w:proofErr w:type="spellEnd"/>
            <w:r w:rsidRPr="007472DB">
              <w:rPr>
                <w:rFonts w:eastAsiaTheme="minorHAnsi"/>
                <w:sz w:val="18"/>
                <w:szCs w:val="18"/>
                <w:lang w:eastAsia="en-US"/>
              </w:rPr>
              <w:t xml:space="preserve"> 5 </w:t>
            </w:r>
            <w:proofErr w:type="spellStart"/>
            <w:r w:rsidRPr="007472DB">
              <w:rPr>
                <w:rFonts w:eastAsiaTheme="minorHAnsi"/>
                <w:sz w:val="18"/>
                <w:szCs w:val="18"/>
                <w:lang w:eastAsia="en-US"/>
              </w:rPr>
              <w:t>mln</w:t>
            </w:r>
            <w:proofErr w:type="spellEnd"/>
            <w:r w:rsidRPr="007472DB">
              <w:rPr>
                <w:rFonts w:eastAsiaTheme="minorHAnsi"/>
                <w:sz w:val="18"/>
                <w:szCs w:val="18"/>
                <w:lang w:eastAsia="en-US"/>
              </w:rPr>
              <w:t xml:space="preserve"> euro)</w:t>
            </w:r>
          </w:p>
        </w:tc>
        <w:tc>
          <w:tcPr>
            <w:tcW w:w="1560" w:type="dxa"/>
          </w:tcPr>
          <w:p w14:paraId="425FC6A4" w14:textId="77777777" w:rsidR="009D3E49" w:rsidRPr="00F54783" w:rsidRDefault="009D3E49" w:rsidP="00A476D1">
            <w:pPr>
              <w:spacing w:before="0"/>
              <w:jc w:val="center"/>
              <w:rPr>
                <w:rFonts w:eastAsiaTheme="minorHAnsi"/>
                <w:sz w:val="18"/>
                <w:szCs w:val="18"/>
                <w:lang w:eastAsia="en-US"/>
              </w:rPr>
            </w:pPr>
            <w:proofErr w:type="spellStart"/>
            <w:r w:rsidRPr="00F54783">
              <w:rPr>
                <w:rFonts w:eastAsiaTheme="minorHAnsi"/>
                <w:sz w:val="18"/>
                <w:szCs w:val="18"/>
                <w:lang w:eastAsia="en-US"/>
              </w:rPr>
              <w:t>Osaliselt</w:t>
            </w:r>
            <w:proofErr w:type="spellEnd"/>
            <w:r w:rsidRPr="00F54783">
              <w:rPr>
                <w:rFonts w:eastAsiaTheme="minorHAnsi"/>
                <w:sz w:val="18"/>
                <w:szCs w:val="18"/>
                <w:lang w:eastAsia="en-US"/>
              </w:rPr>
              <w:t xml:space="preserve"> (</w:t>
            </w:r>
            <w:proofErr w:type="spellStart"/>
            <w:r w:rsidRPr="00397561">
              <w:rPr>
                <w:rFonts w:eastAsiaTheme="minorHAnsi"/>
                <w:sz w:val="18"/>
                <w:szCs w:val="18"/>
                <w:lang w:eastAsia="en-US"/>
              </w:rPr>
              <w:t>järelevalve</w:t>
            </w:r>
            <w:proofErr w:type="spellEnd"/>
            <w:r>
              <w:rPr>
                <w:rFonts w:eastAsiaTheme="minorHAnsi"/>
                <w:sz w:val="18"/>
                <w:szCs w:val="18"/>
                <w:lang w:eastAsia="en-US"/>
              </w:rPr>
              <w:t xml:space="preserve">, </w:t>
            </w:r>
            <w:proofErr w:type="spellStart"/>
            <w:r>
              <w:rPr>
                <w:rFonts w:eastAsiaTheme="minorHAnsi"/>
                <w:sz w:val="18"/>
                <w:szCs w:val="18"/>
                <w:lang w:eastAsia="en-US"/>
              </w:rPr>
              <w:t>karistused</w:t>
            </w:r>
            <w:proofErr w:type="spellEnd"/>
            <w:r>
              <w:rPr>
                <w:rFonts w:eastAsiaTheme="minorHAnsi"/>
                <w:sz w:val="18"/>
                <w:szCs w:val="18"/>
                <w:lang w:eastAsia="en-US"/>
              </w:rPr>
              <w:t xml:space="preserve"> </w:t>
            </w:r>
            <w:proofErr w:type="spellStart"/>
            <w:r>
              <w:rPr>
                <w:rFonts w:eastAsiaTheme="minorHAnsi"/>
                <w:sz w:val="18"/>
                <w:szCs w:val="18"/>
                <w:lang w:eastAsia="en-US"/>
              </w:rPr>
              <w:t>jm</w:t>
            </w:r>
            <w:proofErr w:type="spellEnd"/>
            <w:r w:rsidRPr="00F54783">
              <w:rPr>
                <w:rFonts w:eastAsiaTheme="minorHAnsi"/>
                <w:sz w:val="18"/>
                <w:szCs w:val="18"/>
                <w:lang w:eastAsia="en-US"/>
              </w:rPr>
              <w:t>)</w:t>
            </w:r>
          </w:p>
        </w:tc>
        <w:tc>
          <w:tcPr>
            <w:tcW w:w="1842" w:type="dxa"/>
            <w:vMerge/>
          </w:tcPr>
          <w:p w14:paraId="6F54653B" w14:textId="77777777" w:rsidR="009D3E49" w:rsidRPr="00F54783" w:rsidRDefault="009D3E49" w:rsidP="00A476D1">
            <w:pPr>
              <w:spacing w:before="0"/>
              <w:jc w:val="center"/>
              <w:rPr>
                <w:rFonts w:eastAsiaTheme="minorHAnsi"/>
                <w:sz w:val="18"/>
                <w:szCs w:val="18"/>
                <w:lang w:eastAsia="en-US"/>
              </w:rPr>
            </w:pPr>
          </w:p>
        </w:tc>
      </w:tr>
      <w:tr w:rsidR="009D3E49" w:rsidRPr="00397561" w14:paraId="7C46BBC6" w14:textId="77777777" w:rsidTr="00A476D1">
        <w:trPr>
          <w:trHeight w:val="234"/>
        </w:trPr>
        <w:tc>
          <w:tcPr>
            <w:tcW w:w="1843" w:type="dxa"/>
            <w:vMerge/>
            <w:tcBorders>
              <w:bottom w:val="nil"/>
            </w:tcBorders>
          </w:tcPr>
          <w:p w14:paraId="406B82A3" w14:textId="77777777" w:rsidR="009D3E49" w:rsidRPr="00F54783" w:rsidRDefault="009D3E49" w:rsidP="00A476D1">
            <w:pPr>
              <w:spacing w:before="0"/>
              <w:jc w:val="left"/>
              <w:rPr>
                <w:rFonts w:eastAsiaTheme="minorHAnsi"/>
                <w:b/>
                <w:sz w:val="18"/>
                <w:szCs w:val="18"/>
                <w:lang w:eastAsia="en-US"/>
              </w:rPr>
            </w:pPr>
          </w:p>
        </w:tc>
        <w:tc>
          <w:tcPr>
            <w:tcW w:w="2269" w:type="dxa"/>
            <w:tcBorders>
              <w:bottom w:val="nil"/>
            </w:tcBorders>
          </w:tcPr>
          <w:p w14:paraId="777F871F" w14:textId="77777777" w:rsidR="009D3E49" w:rsidRPr="00F54783" w:rsidRDefault="009D3E49" w:rsidP="00A476D1">
            <w:pPr>
              <w:spacing w:before="0"/>
              <w:jc w:val="left"/>
              <w:rPr>
                <w:rFonts w:eastAsiaTheme="minorHAnsi"/>
                <w:sz w:val="18"/>
                <w:szCs w:val="18"/>
                <w:lang w:eastAsia="en-US"/>
              </w:rPr>
            </w:pPr>
            <w:proofErr w:type="spellStart"/>
            <w:r w:rsidRPr="00F54783">
              <w:rPr>
                <w:rFonts w:eastAsiaTheme="minorHAnsi"/>
                <w:sz w:val="18"/>
                <w:szCs w:val="18"/>
                <w:lang w:eastAsia="en-US"/>
              </w:rPr>
              <w:t>Tarbijakrediit</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läbi</w:t>
            </w:r>
            <w:proofErr w:type="spellEnd"/>
            <w:r w:rsidRPr="00F54783">
              <w:rPr>
                <w:rFonts w:eastAsiaTheme="minorHAnsi"/>
                <w:sz w:val="18"/>
                <w:szCs w:val="18"/>
                <w:lang w:eastAsia="en-US"/>
              </w:rPr>
              <w:t xml:space="preserve"> </w:t>
            </w:r>
            <w:proofErr w:type="spellStart"/>
            <w:r w:rsidRPr="00F54783">
              <w:rPr>
                <w:rFonts w:eastAsiaTheme="minorHAnsi"/>
                <w:sz w:val="18"/>
                <w:szCs w:val="18"/>
                <w:lang w:eastAsia="en-US"/>
              </w:rPr>
              <w:t>ühisrahastuse</w:t>
            </w:r>
            <w:proofErr w:type="spellEnd"/>
          </w:p>
        </w:tc>
        <w:tc>
          <w:tcPr>
            <w:tcW w:w="1701" w:type="dxa"/>
            <w:tcBorders>
              <w:bottom w:val="nil"/>
            </w:tcBorders>
          </w:tcPr>
          <w:p w14:paraId="726F9D48" w14:textId="77777777" w:rsidR="009D3E49" w:rsidRPr="00F54783" w:rsidRDefault="009D3E49" w:rsidP="00A476D1">
            <w:pPr>
              <w:spacing w:before="0"/>
              <w:jc w:val="center"/>
              <w:rPr>
                <w:rFonts w:eastAsiaTheme="minorHAnsi"/>
                <w:sz w:val="18"/>
                <w:szCs w:val="18"/>
                <w:lang w:eastAsia="en-US"/>
              </w:rPr>
            </w:pPr>
            <w:proofErr w:type="spellStart"/>
            <w:r w:rsidRPr="00F54783">
              <w:rPr>
                <w:rFonts w:eastAsiaTheme="minorHAnsi"/>
                <w:sz w:val="18"/>
                <w:szCs w:val="18"/>
                <w:lang w:eastAsia="en-US"/>
              </w:rPr>
              <w:t>Ei</w:t>
            </w:r>
            <w:proofErr w:type="spellEnd"/>
          </w:p>
        </w:tc>
        <w:tc>
          <w:tcPr>
            <w:tcW w:w="1560" w:type="dxa"/>
            <w:tcBorders>
              <w:bottom w:val="nil"/>
            </w:tcBorders>
          </w:tcPr>
          <w:p w14:paraId="3EF1B816" w14:textId="77777777" w:rsidR="009D3E49" w:rsidRPr="00F54783" w:rsidRDefault="009D3E49" w:rsidP="00A476D1">
            <w:pPr>
              <w:spacing w:before="0"/>
              <w:jc w:val="center"/>
              <w:rPr>
                <w:rFonts w:eastAsiaTheme="minorHAnsi"/>
                <w:sz w:val="18"/>
                <w:szCs w:val="18"/>
                <w:lang w:eastAsia="en-US"/>
              </w:rPr>
            </w:pPr>
            <w:r w:rsidRPr="00F54783">
              <w:rPr>
                <w:rFonts w:eastAsiaTheme="minorHAnsi"/>
                <w:sz w:val="18"/>
                <w:szCs w:val="18"/>
                <w:lang w:eastAsia="en-US"/>
              </w:rPr>
              <w:t>Jah</w:t>
            </w:r>
          </w:p>
        </w:tc>
        <w:tc>
          <w:tcPr>
            <w:tcW w:w="1842" w:type="dxa"/>
            <w:vMerge/>
          </w:tcPr>
          <w:p w14:paraId="5A2FF13E" w14:textId="77777777" w:rsidR="009D3E49" w:rsidRPr="00F54783" w:rsidRDefault="009D3E49" w:rsidP="00A476D1">
            <w:pPr>
              <w:spacing w:before="0"/>
              <w:jc w:val="center"/>
              <w:rPr>
                <w:rFonts w:eastAsiaTheme="minorHAnsi"/>
                <w:sz w:val="18"/>
                <w:szCs w:val="18"/>
                <w:lang w:eastAsia="en-US"/>
              </w:rPr>
            </w:pPr>
          </w:p>
        </w:tc>
      </w:tr>
      <w:tr w:rsidR="009D3E49" w:rsidRPr="00397561" w14:paraId="5B0C172A" w14:textId="77777777" w:rsidTr="00A476D1">
        <w:trPr>
          <w:trHeight w:val="249"/>
        </w:trPr>
        <w:tc>
          <w:tcPr>
            <w:tcW w:w="1843" w:type="dxa"/>
            <w:tcBorders>
              <w:top w:val="nil"/>
            </w:tcBorders>
          </w:tcPr>
          <w:p w14:paraId="409E9C7B" w14:textId="77777777" w:rsidR="009D3E49" w:rsidRPr="00397561" w:rsidRDefault="009D3E49" w:rsidP="00A476D1">
            <w:pPr>
              <w:spacing w:before="0"/>
              <w:jc w:val="left"/>
              <w:rPr>
                <w:rFonts w:eastAsiaTheme="minorHAnsi"/>
                <w:b/>
                <w:sz w:val="18"/>
                <w:szCs w:val="18"/>
                <w:lang w:eastAsia="en-US"/>
              </w:rPr>
            </w:pPr>
          </w:p>
        </w:tc>
        <w:tc>
          <w:tcPr>
            <w:tcW w:w="2269" w:type="dxa"/>
            <w:tcBorders>
              <w:top w:val="nil"/>
            </w:tcBorders>
          </w:tcPr>
          <w:p w14:paraId="1FE5F6C6" w14:textId="77777777" w:rsidR="009D3E49" w:rsidRPr="00397561" w:rsidRDefault="009D3E49" w:rsidP="00A476D1">
            <w:pPr>
              <w:spacing w:before="0"/>
              <w:jc w:val="left"/>
              <w:rPr>
                <w:rFonts w:eastAsiaTheme="minorHAnsi"/>
                <w:sz w:val="18"/>
                <w:szCs w:val="18"/>
                <w:lang w:eastAsia="en-US"/>
              </w:rPr>
            </w:pPr>
          </w:p>
        </w:tc>
        <w:tc>
          <w:tcPr>
            <w:tcW w:w="1701" w:type="dxa"/>
            <w:tcBorders>
              <w:top w:val="nil"/>
            </w:tcBorders>
          </w:tcPr>
          <w:p w14:paraId="5438C679" w14:textId="77777777" w:rsidR="009D3E49" w:rsidRPr="00397561" w:rsidRDefault="009D3E49" w:rsidP="00A476D1">
            <w:pPr>
              <w:spacing w:before="0"/>
              <w:jc w:val="center"/>
              <w:rPr>
                <w:rFonts w:eastAsiaTheme="minorHAnsi"/>
                <w:sz w:val="18"/>
                <w:szCs w:val="18"/>
                <w:lang w:eastAsia="en-US"/>
              </w:rPr>
            </w:pPr>
          </w:p>
        </w:tc>
        <w:tc>
          <w:tcPr>
            <w:tcW w:w="1560" w:type="dxa"/>
            <w:tcBorders>
              <w:top w:val="nil"/>
            </w:tcBorders>
          </w:tcPr>
          <w:p w14:paraId="2122E0CF" w14:textId="77777777" w:rsidR="009D3E49" w:rsidRPr="00397561" w:rsidRDefault="009D3E49" w:rsidP="00A476D1">
            <w:pPr>
              <w:spacing w:before="0"/>
              <w:jc w:val="center"/>
              <w:rPr>
                <w:rFonts w:eastAsiaTheme="minorHAnsi"/>
                <w:sz w:val="18"/>
                <w:szCs w:val="18"/>
                <w:lang w:eastAsia="en-US"/>
              </w:rPr>
            </w:pPr>
          </w:p>
        </w:tc>
        <w:tc>
          <w:tcPr>
            <w:tcW w:w="1842" w:type="dxa"/>
            <w:vMerge/>
          </w:tcPr>
          <w:p w14:paraId="5217184D" w14:textId="77777777" w:rsidR="009D3E49" w:rsidRPr="00397561" w:rsidRDefault="009D3E49" w:rsidP="00A476D1">
            <w:pPr>
              <w:spacing w:before="0"/>
              <w:jc w:val="center"/>
              <w:rPr>
                <w:rFonts w:eastAsiaTheme="minorHAnsi"/>
                <w:sz w:val="18"/>
                <w:szCs w:val="18"/>
                <w:lang w:eastAsia="en-US"/>
              </w:rPr>
            </w:pPr>
          </w:p>
        </w:tc>
      </w:tr>
      <w:tr w:rsidR="009D3E49" w:rsidRPr="00397561" w14:paraId="4DF645ED" w14:textId="77777777" w:rsidTr="00A476D1">
        <w:trPr>
          <w:trHeight w:val="249"/>
        </w:trPr>
        <w:tc>
          <w:tcPr>
            <w:tcW w:w="1843" w:type="dxa"/>
          </w:tcPr>
          <w:p w14:paraId="79E19440" w14:textId="77777777" w:rsidR="009D3E49" w:rsidRPr="00397561" w:rsidRDefault="009D3E49" w:rsidP="00A476D1">
            <w:pPr>
              <w:spacing w:before="0"/>
              <w:jc w:val="left"/>
              <w:rPr>
                <w:rFonts w:eastAsiaTheme="minorHAnsi"/>
                <w:b/>
                <w:sz w:val="18"/>
                <w:szCs w:val="18"/>
                <w:lang w:eastAsia="en-US"/>
              </w:rPr>
            </w:pPr>
            <w:r w:rsidRPr="00397561">
              <w:rPr>
                <w:rFonts w:eastAsiaTheme="minorHAnsi"/>
                <w:b/>
                <w:sz w:val="18"/>
                <w:szCs w:val="18"/>
                <w:lang w:eastAsia="en-US"/>
              </w:rPr>
              <w:t xml:space="preserve">KRÜPTOVARA </w:t>
            </w:r>
          </w:p>
        </w:tc>
        <w:tc>
          <w:tcPr>
            <w:tcW w:w="2269" w:type="dxa"/>
          </w:tcPr>
          <w:p w14:paraId="5E014DF7" w14:textId="77777777" w:rsidR="009D3E49" w:rsidRPr="00397561" w:rsidRDefault="009D3E49" w:rsidP="00A476D1">
            <w:pPr>
              <w:spacing w:before="0"/>
              <w:jc w:val="left"/>
              <w:rPr>
                <w:rFonts w:eastAsiaTheme="minorHAnsi"/>
                <w:sz w:val="18"/>
                <w:szCs w:val="18"/>
                <w:lang w:eastAsia="en-US"/>
              </w:rPr>
            </w:pPr>
            <w:proofErr w:type="spellStart"/>
            <w:r>
              <w:rPr>
                <w:rFonts w:eastAsiaTheme="minorHAnsi"/>
                <w:sz w:val="18"/>
                <w:szCs w:val="18"/>
                <w:lang w:eastAsia="en-US"/>
              </w:rPr>
              <w:t>Kõik</w:t>
            </w:r>
            <w:proofErr w:type="spellEnd"/>
            <w:r>
              <w:rPr>
                <w:rFonts w:eastAsiaTheme="minorHAnsi"/>
                <w:sz w:val="18"/>
                <w:szCs w:val="18"/>
                <w:lang w:eastAsia="en-US"/>
              </w:rPr>
              <w:t xml:space="preserve"> </w:t>
            </w:r>
            <w:proofErr w:type="spellStart"/>
            <w:r>
              <w:rPr>
                <w:rFonts w:eastAsiaTheme="minorHAnsi"/>
                <w:sz w:val="18"/>
                <w:szCs w:val="18"/>
                <w:lang w:eastAsia="en-US"/>
              </w:rPr>
              <w:t>krüptovarad</w:t>
            </w:r>
            <w:proofErr w:type="spellEnd"/>
            <w:r>
              <w:rPr>
                <w:rFonts w:eastAsiaTheme="minorHAnsi"/>
                <w:sz w:val="18"/>
                <w:szCs w:val="18"/>
                <w:lang w:eastAsia="en-US"/>
              </w:rPr>
              <w:t xml:space="preserve">, </w:t>
            </w:r>
            <w:proofErr w:type="spellStart"/>
            <w:r>
              <w:rPr>
                <w:rFonts w:eastAsiaTheme="minorHAnsi"/>
                <w:sz w:val="18"/>
                <w:szCs w:val="18"/>
                <w:lang w:eastAsia="en-US"/>
              </w:rPr>
              <w:t>sh</w:t>
            </w:r>
            <w:proofErr w:type="spellEnd"/>
            <w:r>
              <w:rPr>
                <w:rFonts w:eastAsiaTheme="minorHAnsi"/>
                <w:sz w:val="18"/>
                <w:szCs w:val="18"/>
                <w:lang w:eastAsia="en-US"/>
              </w:rPr>
              <w:t xml:space="preserve"> </w:t>
            </w:r>
            <w:proofErr w:type="spellStart"/>
            <w:r>
              <w:rPr>
                <w:rFonts w:eastAsiaTheme="minorHAnsi"/>
                <w:sz w:val="18"/>
                <w:szCs w:val="18"/>
                <w:lang w:eastAsia="en-US"/>
              </w:rPr>
              <w:t>v</w:t>
            </w:r>
            <w:r w:rsidRPr="00397561">
              <w:rPr>
                <w:rFonts w:eastAsiaTheme="minorHAnsi"/>
                <w:sz w:val="18"/>
                <w:szCs w:val="18"/>
                <w:lang w:eastAsia="en-US"/>
              </w:rPr>
              <w:t>irtuaalvääring</w:t>
            </w:r>
            <w:r>
              <w:rPr>
                <w:rFonts w:eastAsiaTheme="minorHAnsi"/>
                <w:sz w:val="18"/>
                <w:szCs w:val="18"/>
                <w:lang w:eastAsia="en-US"/>
              </w:rPr>
              <w:t>ud</w:t>
            </w:r>
            <w:proofErr w:type="spellEnd"/>
            <w:r>
              <w:rPr>
                <w:rFonts w:eastAsiaTheme="minorHAnsi"/>
                <w:sz w:val="18"/>
                <w:szCs w:val="18"/>
                <w:lang w:eastAsia="en-US"/>
              </w:rPr>
              <w:t xml:space="preserve"> (</w:t>
            </w:r>
            <w:proofErr w:type="spellStart"/>
            <w:r>
              <w:rPr>
                <w:rFonts w:eastAsiaTheme="minorHAnsi"/>
                <w:sz w:val="18"/>
                <w:szCs w:val="18"/>
                <w:lang w:eastAsia="en-US"/>
              </w:rPr>
              <w:t>v.a</w:t>
            </w:r>
            <w:proofErr w:type="spellEnd"/>
            <w:r>
              <w:rPr>
                <w:rFonts w:eastAsiaTheme="minorHAnsi"/>
                <w:sz w:val="18"/>
                <w:szCs w:val="18"/>
                <w:lang w:eastAsia="en-US"/>
              </w:rPr>
              <w:t xml:space="preserve"> </w:t>
            </w:r>
            <w:proofErr w:type="spellStart"/>
            <w:r>
              <w:rPr>
                <w:rFonts w:eastAsiaTheme="minorHAnsi"/>
                <w:sz w:val="18"/>
                <w:szCs w:val="18"/>
                <w:lang w:eastAsia="en-US"/>
              </w:rPr>
              <w:t>unikaalsed</w:t>
            </w:r>
            <w:proofErr w:type="spellEnd"/>
            <w:r>
              <w:rPr>
                <w:rFonts w:eastAsiaTheme="minorHAnsi"/>
                <w:sz w:val="18"/>
                <w:szCs w:val="18"/>
                <w:lang w:eastAsia="en-US"/>
              </w:rPr>
              <w:t xml:space="preserve"> </w:t>
            </w:r>
            <w:proofErr w:type="spellStart"/>
            <w:r>
              <w:rPr>
                <w:rFonts w:eastAsiaTheme="minorHAnsi"/>
                <w:sz w:val="18"/>
                <w:szCs w:val="18"/>
                <w:lang w:eastAsia="en-US"/>
              </w:rPr>
              <w:t>või</w:t>
            </w:r>
            <w:proofErr w:type="spellEnd"/>
            <w:r>
              <w:rPr>
                <w:rFonts w:eastAsiaTheme="minorHAnsi"/>
                <w:sz w:val="18"/>
                <w:szCs w:val="18"/>
                <w:lang w:eastAsia="en-US"/>
              </w:rPr>
              <w:t xml:space="preserve"> </w:t>
            </w:r>
            <w:proofErr w:type="spellStart"/>
            <w:r>
              <w:rPr>
                <w:rFonts w:eastAsiaTheme="minorHAnsi"/>
                <w:sz w:val="18"/>
                <w:szCs w:val="18"/>
                <w:lang w:eastAsia="en-US"/>
              </w:rPr>
              <w:t>mitte-asendatavad</w:t>
            </w:r>
            <w:proofErr w:type="spellEnd"/>
            <w:r>
              <w:rPr>
                <w:rFonts w:eastAsiaTheme="minorHAnsi"/>
                <w:sz w:val="18"/>
                <w:szCs w:val="18"/>
                <w:lang w:eastAsia="en-US"/>
              </w:rPr>
              <w:t xml:space="preserve"> </w:t>
            </w:r>
            <w:proofErr w:type="spellStart"/>
            <w:r>
              <w:rPr>
                <w:rFonts w:eastAsiaTheme="minorHAnsi"/>
                <w:sz w:val="18"/>
                <w:szCs w:val="18"/>
                <w:lang w:eastAsia="en-US"/>
              </w:rPr>
              <w:t>krüptovarad</w:t>
            </w:r>
            <w:proofErr w:type="spellEnd"/>
            <w:r>
              <w:rPr>
                <w:rFonts w:eastAsiaTheme="minorHAnsi"/>
                <w:sz w:val="18"/>
                <w:szCs w:val="18"/>
                <w:lang w:eastAsia="en-US"/>
              </w:rPr>
              <w:t>)</w:t>
            </w:r>
          </w:p>
        </w:tc>
        <w:tc>
          <w:tcPr>
            <w:tcW w:w="1701" w:type="dxa"/>
          </w:tcPr>
          <w:p w14:paraId="7318DA2A" w14:textId="28CED169" w:rsidR="009D3E49" w:rsidRPr="00397561" w:rsidRDefault="009D3E49" w:rsidP="00A476D1">
            <w:pPr>
              <w:spacing w:before="0"/>
              <w:jc w:val="center"/>
              <w:rPr>
                <w:rFonts w:eastAsiaTheme="minorHAnsi"/>
                <w:sz w:val="18"/>
                <w:szCs w:val="18"/>
                <w:lang w:eastAsia="en-US"/>
              </w:rPr>
            </w:pPr>
            <w:proofErr w:type="spellStart"/>
            <w:r w:rsidRPr="00397561">
              <w:rPr>
                <w:rFonts w:eastAsiaTheme="minorHAnsi"/>
                <w:sz w:val="18"/>
                <w:szCs w:val="18"/>
                <w:lang w:eastAsia="en-US"/>
              </w:rPr>
              <w:t>Ei</w:t>
            </w:r>
            <w:proofErr w:type="spellEnd"/>
            <w:r>
              <w:rPr>
                <w:rFonts w:eastAsiaTheme="minorHAnsi"/>
                <w:sz w:val="18"/>
                <w:szCs w:val="18"/>
                <w:lang w:eastAsia="en-US"/>
              </w:rPr>
              <w:t xml:space="preserve"> </w:t>
            </w:r>
            <w:r>
              <w:rPr>
                <w:rFonts w:eastAsiaTheme="minorHAnsi"/>
                <w:sz w:val="18"/>
                <w:szCs w:val="18"/>
                <w:lang w:eastAsia="en-US"/>
              </w:rPr>
              <w:br/>
              <w:t>(</w:t>
            </w:r>
            <w:proofErr w:type="spellStart"/>
            <w:r>
              <w:rPr>
                <w:rFonts w:eastAsiaTheme="minorHAnsi"/>
                <w:sz w:val="18"/>
                <w:szCs w:val="18"/>
                <w:lang w:eastAsia="en-US"/>
              </w:rPr>
              <w:t>reguleerib</w:t>
            </w:r>
            <w:proofErr w:type="spellEnd"/>
            <w:r>
              <w:rPr>
                <w:rFonts w:eastAsiaTheme="minorHAnsi"/>
                <w:sz w:val="18"/>
                <w:szCs w:val="18"/>
                <w:lang w:eastAsia="en-US"/>
              </w:rPr>
              <w:t xml:space="preserve"> EL </w:t>
            </w:r>
            <w:proofErr w:type="spellStart"/>
            <w:r>
              <w:rPr>
                <w:rFonts w:eastAsiaTheme="minorHAnsi"/>
                <w:sz w:val="18"/>
                <w:szCs w:val="18"/>
                <w:lang w:eastAsia="en-US"/>
              </w:rPr>
              <w:t>krüptovaraturgude</w:t>
            </w:r>
            <w:proofErr w:type="spellEnd"/>
            <w:r>
              <w:rPr>
                <w:rFonts w:eastAsiaTheme="minorHAnsi"/>
                <w:sz w:val="18"/>
                <w:szCs w:val="18"/>
                <w:lang w:eastAsia="en-US"/>
              </w:rPr>
              <w:t xml:space="preserve"> </w:t>
            </w:r>
            <w:proofErr w:type="spellStart"/>
            <w:r>
              <w:rPr>
                <w:rFonts w:eastAsiaTheme="minorHAnsi"/>
                <w:sz w:val="18"/>
                <w:szCs w:val="18"/>
                <w:lang w:eastAsia="en-US"/>
              </w:rPr>
              <w:t>määruse</w:t>
            </w:r>
            <w:proofErr w:type="spellEnd"/>
            <w:r>
              <w:rPr>
                <w:rFonts w:eastAsiaTheme="minorHAnsi"/>
                <w:sz w:val="18"/>
                <w:szCs w:val="18"/>
                <w:lang w:eastAsia="en-US"/>
              </w:rPr>
              <w:t xml:space="preserve"> </w:t>
            </w:r>
            <w:proofErr w:type="spellStart"/>
            <w:r>
              <w:rPr>
                <w:rFonts w:eastAsiaTheme="minorHAnsi"/>
                <w:sz w:val="18"/>
                <w:szCs w:val="18"/>
                <w:lang w:eastAsia="en-US"/>
              </w:rPr>
              <w:t>ettepanek</w:t>
            </w:r>
            <w:proofErr w:type="spellEnd"/>
            <w:r>
              <w:rPr>
                <w:rFonts w:eastAsiaTheme="minorHAnsi"/>
                <w:sz w:val="18"/>
                <w:szCs w:val="18"/>
                <w:lang w:eastAsia="en-US"/>
              </w:rPr>
              <w:t>)</w:t>
            </w:r>
          </w:p>
        </w:tc>
        <w:tc>
          <w:tcPr>
            <w:tcW w:w="1560" w:type="dxa"/>
          </w:tcPr>
          <w:p w14:paraId="1B766A81" w14:textId="77777777" w:rsidR="009D3E49" w:rsidRPr="00397561" w:rsidRDefault="009D3E49" w:rsidP="00A476D1">
            <w:pPr>
              <w:spacing w:before="0"/>
              <w:jc w:val="center"/>
              <w:rPr>
                <w:rFonts w:eastAsiaTheme="minorHAnsi"/>
                <w:sz w:val="18"/>
                <w:szCs w:val="18"/>
                <w:lang w:eastAsia="en-US"/>
              </w:rPr>
            </w:pPr>
            <w:r w:rsidRPr="00397561">
              <w:rPr>
                <w:rFonts w:eastAsiaTheme="minorHAnsi"/>
                <w:sz w:val="18"/>
                <w:szCs w:val="18"/>
                <w:lang w:eastAsia="en-US"/>
              </w:rPr>
              <w:t>Jah</w:t>
            </w:r>
          </w:p>
        </w:tc>
        <w:tc>
          <w:tcPr>
            <w:tcW w:w="1842" w:type="dxa"/>
          </w:tcPr>
          <w:p w14:paraId="28E0AA69" w14:textId="77777777" w:rsidR="009D3E49" w:rsidRPr="00397561" w:rsidRDefault="009D3E49" w:rsidP="00A476D1">
            <w:pPr>
              <w:spacing w:before="0"/>
              <w:jc w:val="center"/>
              <w:rPr>
                <w:rFonts w:eastAsiaTheme="minorHAnsi"/>
                <w:sz w:val="18"/>
                <w:szCs w:val="18"/>
                <w:lang w:eastAsia="en-US"/>
              </w:rPr>
            </w:pPr>
            <w:r>
              <w:rPr>
                <w:rFonts w:eastAsiaTheme="minorHAnsi"/>
                <w:sz w:val="18"/>
                <w:szCs w:val="18"/>
                <w:lang w:eastAsia="en-US"/>
              </w:rPr>
              <w:t xml:space="preserve">ÜMIVS </w:t>
            </w:r>
            <w:proofErr w:type="spellStart"/>
            <w:r>
              <w:rPr>
                <w:rFonts w:eastAsiaTheme="minorHAnsi"/>
                <w:sz w:val="18"/>
                <w:szCs w:val="18"/>
                <w:lang w:eastAsia="en-US"/>
              </w:rPr>
              <w:t>üldised</w:t>
            </w:r>
            <w:proofErr w:type="spellEnd"/>
            <w:r>
              <w:rPr>
                <w:rFonts w:eastAsiaTheme="minorHAnsi"/>
                <w:sz w:val="18"/>
                <w:szCs w:val="18"/>
                <w:lang w:eastAsia="en-US"/>
              </w:rPr>
              <w:t xml:space="preserve"> </w:t>
            </w:r>
            <w:proofErr w:type="spellStart"/>
            <w:r>
              <w:rPr>
                <w:rFonts w:eastAsiaTheme="minorHAnsi"/>
                <w:sz w:val="18"/>
                <w:szCs w:val="18"/>
                <w:lang w:eastAsia="en-US"/>
              </w:rPr>
              <w:t>teabe</w:t>
            </w:r>
            <w:proofErr w:type="spellEnd"/>
            <w:r>
              <w:rPr>
                <w:rFonts w:eastAsiaTheme="minorHAnsi"/>
                <w:sz w:val="18"/>
                <w:szCs w:val="18"/>
                <w:lang w:eastAsia="en-US"/>
              </w:rPr>
              <w:t xml:space="preserve"> </w:t>
            </w:r>
            <w:proofErr w:type="spellStart"/>
            <w:r>
              <w:rPr>
                <w:rFonts w:eastAsiaTheme="minorHAnsi"/>
                <w:sz w:val="18"/>
                <w:szCs w:val="18"/>
                <w:lang w:eastAsia="en-US"/>
              </w:rPr>
              <w:t>avalikustamise</w:t>
            </w:r>
            <w:proofErr w:type="spellEnd"/>
            <w:r>
              <w:rPr>
                <w:rFonts w:eastAsiaTheme="minorHAnsi"/>
                <w:sz w:val="18"/>
                <w:szCs w:val="18"/>
                <w:lang w:eastAsia="en-US"/>
              </w:rPr>
              <w:t xml:space="preserve"> </w:t>
            </w:r>
            <w:proofErr w:type="spellStart"/>
            <w:r>
              <w:rPr>
                <w:rFonts w:eastAsiaTheme="minorHAnsi"/>
                <w:sz w:val="18"/>
                <w:szCs w:val="18"/>
                <w:lang w:eastAsia="en-US"/>
              </w:rPr>
              <w:t>nõuded</w:t>
            </w:r>
            <w:proofErr w:type="spellEnd"/>
            <w:r>
              <w:rPr>
                <w:rFonts w:eastAsiaTheme="minorHAnsi"/>
                <w:sz w:val="18"/>
                <w:szCs w:val="18"/>
                <w:lang w:eastAsia="en-US"/>
              </w:rPr>
              <w:t xml:space="preserve"> (6. </w:t>
            </w:r>
            <w:proofErr w:type="spellStart"/>
            <w:r>
              <w:rPr>
                <w:rFonts w:eastAsiaTheme="minorHAnsi"/>
                <w:sz w:val="18"/>
                <w:szCs w:val="18"/>
                <w:lang w:eastAsia="en-US"/>
              </w:rPr>
              <w:t>ptk</w:t>
            </w:r>
            <w:proofErr w:type="spellEnd"/>
            <w:r>
              <w:rPr>
                <w:rFonts w:eastAsiaTheme="minorHAnsi"/>
                <w:sz w:val="18"/>
                <w:szCs w:val="18"/>
                <w:lang w:eastAsia="en-US"/>
              </w:rPr>
              <w:t>)</w:t>
            </w:r>
          </w:p>
        </w:tc>
      </w:tr>
    </w:tbl>
    <w:p w14:paraId="7BE56F62" w14:textId="77777777" w:rsidR="009D3E49" w:rsidRPr="005A55CA" w:rsidRDefault="009D3E49" w:rsidP="009D3E49">
      <w:pPr>
        <w:rPr>
          <w:sz w:val="22"/>
          <w:szCs w:val="22"/>
        </w:rPr>
      </w:pPr>
    </w:p>
    <w:p w14:paraId="2BEEFE16" w14:textId="77777777" w:rsidR="009D3E49" w:rsidRPr="005A55CA" w:rsidRDefault="009D3E49" w:rsidP="00B12BBF">
      <w:pPr>
        <w:spacing w:before="0"/>
        <w:rPr>
          <w:sz w:val="22"/>
          <w:szCs w:val="22"/>
        </w:rPr>
      </w:pPr>
      <w:r w:rsidRPr="005A55CA">
        <w:rPr>
          <w:b/>
          <w:sz w:val="22"/>
          <w:szCs w:val="22"/>
        </w:rPr>
        <w:t>Lõikes 1</w:t>
      </w:r>
      <w:r w:rsidRPr="005A55CA">
        <w:rPr>
          <w:sz w:val="22"/>
          <w:szCs w:val="22"/>
        </w:rPr>
        <w:t xml:space="preserve"> on s</w:t>
      </w:r>
      <w:r>
        <w:rPr>
          <w:sz w:val="22"/>
          <w:szCs w:val="22"/>
        </w:rPr>
        <w:t>ätestatud</w:t>
      </w:r>
      <w:r w:rsidRPr="005A55CA">
        <w:rPr>
          <w:sz w:val="22"/>
          <w:szCs w:val="22"/>
        </w:rPr>
        <w:t xml:space="preserve"> loetelu isikutest ja teenustest, mille</w:t>
      </w:r>
      <w:r>
        <w:rPr>
          <w:sz w:val="22"/>
          <w:szCs w:val="22"/>
        </w:rPr>
        <w:t xml:space="preserve"> osutajate</w:t>
      </w:r>
      <w:r w:rsidRPr="005A55CA">
        <w:rPr>
          <w:sz w:val="22"/>
          <w:szCs w:val="22"/>
        </w:rPr>
        <w:t xml:space="preserve">le seadust kohaldatakse. Nimetatud </w:t>
      </w:r>
      <w:r>
        <w:rPr>
          <w:sz w:val="22"/>
          <w:szCs w:val="22"/>
        </w:rPr>
        <w:t>isikud on toodud</w:t>
      </w:r>
      <w:r w:rsidRPr="005A55CA">
        <w:rPr>
          <w:sz w:val="22"/>
          <w:szCs w:val="22"/>
        </w:rPr>
        <w:t xml:space="preserve"> lõike </w:t>
      </w:r>
      <w:r>
        <w:rPr>
          <w:sz w:val="22"/>
          <w:szCs w:val="22"/>
        </w:rPr>
        <w:t>kolmes</w:t>
      </w:r>
      <w:r w:rsidRPr="005A55CA">
        <w:rPr>
          <w:sz w:val="22"/>
          <w:szCs w:val="22"/>
        </w:rPr>
        <w:t xml:space="preserve"> punktis.</w:t>
      </w:r>
    </w:p>
    <w:p w14:paraId="0A9652A9" w14:textId="77777777" w:rsidR="009D3E49" w:rsidRPr="005A55CA" w:rsidRDefault="009D3E49" w:rsidP="00B12BBF">
      <w:pPr>
        <w:spacing w:before="0"/>
        <w:rPr>
          <w:sz w:val="22"/>
          <w:szCs w:val="22"/>
        </w:rPr>
      </w:pPr>
    </w:p>
    <w:p w14:paraId="43EDC781" w14:textId="77777777" w:rsidR="009D3E49" w:rsidRPr="006626EA" w:rsidRDefault="009D3E49" w:rsidP="00B12BBF">
      <w:pPr>
        <w:spacing w:before="0"/>
        <w:rPr>
          <w:sz w:val="22"/>
          <w:szCs w:val="22"/>
        </w:rPr>
      </w:pPr>
      <w:r w:rsidRPr="000D19B4">
        <w:rPr>
          <w:b/>
          <w:sz w:val="22"/>
          <w:szCs w:val="22"/>
        </w:rPr>
        <w:t>Punkti 1</w:t>
      </w:r>
      <w:r w:rsidRPr="005A55CA">
        <w:rPr>
          <w:sz w:val="22"/>
          <w:szCs w:val="22"/>
        </w:rPr>
        <w:t xml:space="preserve"> </w:t>
      </w:r>
      <w:r>
        <w:rPr>
          <w:sz w:val="22"/>
          <w:szCs w:val="22"/>
        </w:rPr>
        <w:t xml:space="preserve">järgi kohaldatakse seadust </w:t>
      </w:r>
      <w:proofErr w:type="spellStart"/>
      <w:r>
        <w:rPr>
          <w:sz w:val="22"/>
          <w:szCs w:val="22"/>
        </w:rPr>
        <w:t>ühisrahastusteenuse</w:t>
      </w:r>
      <w:proofErr w:type="spellEnd"/>
      <w:r>
        <w:rPr>
          <w:sz w:val="22"/>
          <w:szCs w:val="22"/>
        </w:rPr>
        <w:t xml:space="preserve"> ja </w:t>
      </w:r>
      <w:proofErr w:type="spellStart"/>
      <w:r>
        <w:rPr>
          <w:sz w:val="22"/>
          <w:szCs w:val="22"/>
        </w:rPr>
        <w:t>krüptovarateenuse</w:t>
      </w:r>
      <w:proofErr w:type="spellEnd"/>
      <w:r>
        <w:rPr>
          <w:sz w:val="22"/>
          <w:szCs w:val="22"/>
        </w:rPr>
        <w:t xml:space="preserve"> osutajale</w:t>
      </w:r>
      <w:r w:rsidRPr="002674F7">
        <w:rPr>
          <w:sz w:val="22"/>
          <w:szCs w:val="22"/>
        </w:rPr>
        <w:t xml:space="preserve"> </w:t>
      </w:r>
      <w:r w:rsidRPr="005A55CA">
        <w:rPr>
          <w:sz w:val="22"/>
          <w:szCs w:val="22"/>
        </w:rPr>
        <w:t>(nimetatud teenuseosutaja</w:t>
      </w:r>
      <w:r>
        <w:rPr>
          <w:sz w:val="22"/>
          <w:szCs w:val="22"/>
        </w:rPr>
        <w:t>id</w:t>
      </w:r>
      <w:r w:rsidRPr="005A55CA">
        <w:rPr>
          <w:sz w:val="22"/>
          <w:szCs w:val="22"/>
        </w:rPr>
        <w:t xml:space="preserve"> nimetatakse seaduses ja käesolevas seletuskirjas edaspidi </w:t>
      </w:r>
      <w:r>
        <w:rPr>
          <w:sz w:val="22"/>
          <w:szCs w:val="22"/>
        </w:rPr>
        <w:t>koos ka</w:t>
      </w:r>
      <w:r w:rsidRPr="005A55CA">
        <w:rPr>
          <w:sz w:val="22"/>
          <w:szCs w:val="22"/>
        </w:rPr>
        <w:t xml:space="preserve"> </w:t>
      </w:r>
      <w:r w:rsidRPr="005A55CA">
        <w:rPr>
          <w:b/>
          <w:i/>
          <w:sz w:val="22"/>
          <w:szCs w:val="22"/>
        </w:rPr>
        <w:t>teenuseosutajateks</w:t>
      </w:r>
      <w:r w:rsidRPr="005A55CA">
        <w:rPr>
          <w:sz w:val="22"/>
          <w:szCs w:val="22"/>
        </w:rPr>
        <w:t xml:space="preserve">). </w:t>
      </w:r>
      <w:r w:rsidRPr="006626EA">
        <w:rPr>
          <w:sz w:val="22"/>
          <w:szCs w:val="22"/>
        </w:rPr>
        <w:t xml:space="preserve">Teisisõnu kohaldatakse seadust kõikidele teenuseosutajatele, kes on Eestis asutatud ja osutavad Eesti füüsilistele ja juriidilistele isikutele </w:t>
      </w:r>
      <w:proofErr w:type="spellStart"/>
      <w:r>
        <w:rPr>
          <w:sz w:val="22"/>
          <w:szCs w:val="22"/>
        </w:rPr>
        <w:t>ühisrahastusteenuseid</w:t>
      </w:r>
      <w:proofErr w:type="spellEnd"/>
      <w:r>
        <w:rPr>
          <w:sz w:val="22"/>
          <w:szCs w:val="22"/>
        </w:rPr>
        <w:t xml:space="preserve"> ja </w:t>
      </w:r>
      <w:proofErr w:type="spellStart"/>
      <w:r>
        <w:rPr>
          <w:sz w:val="22"/>
          <w:szCs w:val="22"/>
        </w:rPr>
        <w:t>krüptovarateenuseid</w:t>
      </w:r>
      <w:proofErr w:type="spellEnd"/>
      <w:r w:rsidRPr="006626EA">
        <w:rPr>
          <w:sz w:val="22"/>
          <w:szCs w:val="22"/>
        </w:rPr>
        <w:t xml:space="preserve">. Kuna </w:t>
      </w:r>
      <w:proofErr w:type="spellStart"/>
      <w:r>
        <w:rPr>
          <w:sz w:val="22"/>
          <w:szCs w:val="22"/>
        </w:rPr>
        <w:t>ühisrahastusteenus</w:t>
      </w:r>
      <w:proofErr w:type="spellEnd"/>
      <w:r w:rsidRPr="006626EA">
        <w:rPr>
          <w:sz w:val="22"/>
          <w:szCs w:val="22"/>
        </w:rPr>
        <w:t xml:space="preserve"> hõlmab </w:t>
      </w:r>
      <w:r>
        <w:rPr>
          <w:sz w:val="22"/>
          <w:szCs w:val="22"/>
        </w:rPr>
        <w:t xml:space="preserve">enda mõistega </w:t>
      </w:r>
      <w:r w:rsidRPr="006626EA">
        <w:rPr>
          <w:sz w:val="22"/>
          <w:szCs w:val="22"/>
        </w:rPr>
        <w:t xml:space="preserve">ka </w:t>
      </w:r>
      <w:proofErr w:type="spellStart"/>
      <w:r w:rsidRPr="006626EA">
        <w:rPr>
          <w:sz w:val="22"/>
          <w:szCs w:val="22"/>
        </w:rPr>
        <w:t>ühisrahastusteenust</w:t>
      </w:r>
      <w:proofErr w:type="spellEnd"/>
      <w:r w:rsidRPr="006626EA">
        <w:rPr>
          <w:sz w:val="22"/>
          <w:szCs w:val="22"/>
        </w:rPr>
        <w:t xml:space="preserve"> EL </w:t>
      </w:r>
      <w:proofErr w:type="spellStart"/>
      <w:r w:rsidRPr="006626EA">
        <w:rPr>
          <w:sz w:val="22"/>
          <w:szCs w:val="22"/>
        </w:rPr>
        <w:t>ühisrahastu</w:t>
      </w:r>
      <w:r>
        <w:rPr>
          <w:sz w:val="22"/>
          <w:szCs w:val="22"/>
        </w:rPr>
        <w:t>s</w:t>
      </w:r>
      <w:r w:rsidRPr="006626EA">
        <w:rPr>
          <w:sz w:val="22"/>
          <w:szCs w:val="22"/>
        </w:rPr>
        <w:t>määruse</w:t>
      </w:r>
      <w:proofErr w:type="spellEnd"/>
      <w:r w:rsidRPr="006626EA">
        <w:rPr>
          <w:sz w:val="22"/>
          <w:szCs w:val="22"/>
        </w:rPr>
        <w:t xml:space="preserve"> järgi, tuleb viimase osas arvestada ka </w:t>
      </w:r>
      <w:r>
        <w:rPr>
          <w:sz w:val="22"/>
          <w:szCs w:val="22"/>
        </w:rPr>
        <w:t xml:space="preserve">§ 1 lõike 1 </w:t>
      </w:r>
      <w:r w:rsidRPr="006626EA">
        <w:rPr>
          <w:sz w:val="22"/>
          <w:szCs w:val="22"/>
        </w:rPr>
        <w:t>punktis 1 toodud piirangut</w:t>
      </w:r>
      <w:r>
        <w:rPr>
          <w:sz w:val="22"/>
          <w:szCs w:val="22"/>
        </w:rPr>
        <w:t xml:space="preserve"> ja selles osas kohaldatakse seadust niivõrd kuivõrd see on lubatud EL </w:t>
      </w:r>
      <w:proofErr w:type="spellStart"/>
      <w:r>
        <w:rPr>
          <w:sz w:val="22"/>
          <w:szCs w:val="22"/>
        </w:rPr>
        <w:t>ühisrahastusmäärusega</w:t>
      </w:r>
      <w:proofErr w:type="spellEnd"/>
      <w:r w:rsidRPr="006626EA">
        <w:rPr>
          <w:sz w:val="22"/>
          <w:szCs w:val="22"/>
        </w:rPr>
        <w:t xml:space="preserve">. Eestis asutatud </w:t>
      </w:r>
      <w:proofErr w:type="spellStart"/>
      <w:r>
        <w:rPr>
          <w:sz w:val="22"/>
          <w:szCs w:val="22"/>
        </w:rPr>
        <w:t>ühisrahastusteenuse</w:t>
      </w:r>
      <w:proofErr w:type="spellEnd"/>
      <w:r w:rsidRPr="006626EA">
        <w:rPr>
          <w:sz w:val="22"/>
          <w:szCs w:val="22"/>
        </w:rPr>
        <w:t xml:space="preserve"> osutaja mõiste on avatud eelnõu § </w:t>
      </w:r>
      <w:r>
        <w:rPr>
          <w:sz w:val="22"/>
          <w:szCs w:val="22"/>
        </w:rPr>
        <w:t>4</w:t>
      </w:r>
      <w:r w:rsidRPr="006626EA">
        <w:rPr>
          <w:sz w:val="22"/>
          <w:szCs w:val="22"/>
        </w:rPr>
        <w:t xml:space="preserve"> lõikes </w:t>
      </w:r>
      <w:r>
        <w:rPr>
          <w:sz w:val="22"/>
          <w:szCs w:val="22"/>
        </w:rPr>
        <w:t>5</w:t>
      </w:r>
      <w:r w:rsidRPr="006626EA">
        <w:rPr>
          <w:sz w:val="22"/>
          <w:szCs w:val="22"/>
        </w:rPr>
        <w:t xml:space="preserve"> ning </w:t>
      </w:r>
      <w:proofErr w:type="spellStart"/>
      <w:r>
        <w:rPr>
          <w:sz w:val="22"/>
          <w:szCs w:val="22"/>
        </w:rPr>
        <w:t>krüptovara</w:t>
      </w:r>
      <w:r w:rsidRPr="006626EA">
        <w:rPr>
          <w:sz w:val="22"/>
          <w:szCs w:val="22"/>
        </w:rPr>
        <w:t>teenuse</w:t>
      </w:r>
      <w:proofErr w:type="spellEnd"/>
      <w:r w:rsidRPr="006626EA">
        <w:rPr>
          <w:sz w:val="22"/>
          <w:szCs w:val="22"/>
        </w:rPr>
        <w:t xml:space="preserve"> osutaja mõiste eelnõu § </w:t>
      </w:r>
      <w:r>
        <w:rPr>
          <w:sz w:val="22"/>
          <w:szCs w:val="22"/>
        </w:rPr>
        <w:t>3</w:t>
      </w:r>
      <w:r w:rsidRPr="006626EA">
        <w:rPr>
          <w:sz w:val="22"/>
          <w:szCs w:val="22"/>
        </w:rPr>
        <w:t xml:space="preserve"> lõikes </w:t>
      </w:r>
      <w:r>
        <w:rPr>
          <w:sz w:val="22"/>
          <w:szCs w:val="22"/>
        </w:rPr>
        <w:t>3</w:t>
      </w:r>
      <w:r w:rsidRPr="006626EA">
        <w:rPr>
          <w:sz w:val="22"/>
          <w:szCs w:val="22"/>
        </w:rPr>
        <w:t>.</w:t>
      </w:r>
    </w:p>
    <w:p w14:paraId="140B7CDA" w14:textId="77777777" w:rsidR="009D3E49" w:rsidRPr="006626EA" w:rsidRDefault="009D3E49" w:rsidP="00B12BBF">
      <w:pPr>
        <w:spacing w:before="0"/>
        <w:rPr>
          <w:b/>
          <w:sz w:val="22"/>
          <w:szCs w:val="22"/>
        </w:rPr>
      </w:pPr>
    </w:p>
    <w:p w14:paraId="17C17AA2" w14:textId="77777777" w:rsidR="009D3E49" w:rsidRDefault="009D3E49" w:rsidP="00B12BBF">
      <w:pPr>
        <w:spacing w:before="0"/>
        <w:rPr>
          <w:sz w:val="22"/>
          <w:szCs w:val="22"/>
        </w:rPr>
      </w:pPr>
      <w:r w:rsidRPr="006626EA">
        <w:rPr>
          <w:b/>
          <w:sz w:val="22"/>
          <w:szCs w:val="22"/>
        </w:rPr>
        <w:t>Punkti 2</w:t>
      </w:r>
      <w:r w:rsidRPr="006626EA">
        <w:rPr>
          <w:sz w:val="22"/>
          <w:szCs w:val="22"/>
        </w:rPr>
        <w:t xml:space="preserve"> järgi kohaldatakse seadust ka käesoleva </w:t>
      </w:r>
      <w:r>
        <w:rPr>
          <w:sz w:val="22"/>
          <w:szCs w:val="22"/>
        </w:rPr>
        <w:t>seaduse § 5 lõikes 6 nimetatud rahastuse taotlejale</w:t>
      </w:r>
      <w:r w:rsidRPr="006626EA">
        <w:rPr>
          <w:sz w:val="22"/>
          <w:szCs w:val="22"/>
        </w:rPr>
        <w:t xml:space="preserve"> (edaspidi </w:t>
      </w:r>
      <w:r w:rsidRPr="006626EA">
        <w:rPr>
          <w:b/>
          <w:i/>
          <w:sz w:val="22"/>
          <w:szCs w:val="22"/>
        </w:rPr>
        <w:t>rahastuse taotleja</w:t>
      </w:r>
      <w:r w:rsidRPr="006626EA">
        <w:rPr>
          <w:sz w:val="22"/>
          <w:szCs w:val="22"/>
        </w:rPr>
        <w:t xml:space="preserve">). Käesoleva punkti alla kuuluvad need isikud, kes </w:t>
      </w:r>
      <w:r>
        <w:rPr>
          <w:sz w:val="22"/>
          <w:szCs w:val="22"/>
        </w:rPr>
        <w:t xml:space="preserve">taotlevad ise või </w:t>
      </w:r>
      <w:proofErr w:type="spellStart"/>
      <w:r>
        <w:rPr>
          <w:sz w:val="22"/>
          <w:szCs w:val="22"/>
        </w:rPr>
        <w:t>ühisrahastusteenuse</w:t>
      </w:r>
      <w:proofErr w:type="spellEnd"/>
      <w:r>
        <w:rPr>
          <w:sz w:val="22"/>
          <w:szCs w:val="22"/>
        </w:rPr>
        <w:t xml:space="preserve"> osutaja abil rahalisi vahendeid, sealhulgas emitent ja EL </w:t>
      </w:r>
      <w:proofErr w:type="spellStart"/>
      <w:r>
        <w:rPr>
          <w:sz w:val="22"/>
          <w:szCs w:val="22"/>
        </w:rPr>
        <w:t>ühisrahastusmääruses</w:t>
      </w:r>
      <w:proofErr w:type="spellEnd"/>
      <w:r>
        <w:rPr>
          <w:sz w:val="22"/>
          <w:szCs w:val="22"/>
        </w:rPr>
        <w:t xml:space="preserve"> nimetatud projektiomanik. </w:t>
      </w:r>
      <w:r w:rsidRPr="006626EA">
        <w:rPr>
          <w:sz w:val="22"/>
          <w:szCs w:val="22"/>
        </w:rPr>
        <w:t>Nimetatud isikuid ei käsit</w:t>
      </w:r>
      <w:r>
        <w:rPr>
          <w:sz w:val="22"/>
          <w:szCs w:val="22"/>
        </w:rPr>
        <w:t>a</w:t>
      </w:r>
      <w:r w:rsidRPr="006626EA">
        <w:rPr>
          <w:sz w:val="22"/>
          <w:szCs w:val="22"/>
        </w:rPr>
        <w:t xml:space="preserve">ta eelnõu tähenduses teenuseosutajatena, st nad ei pea endaga seotud </w:t>
      </w:r>
      <w:proofErr w:type="spellStart"/>
      <w:r>
        <w:rPr>
          <w:sz w:val="22"/>
          <w:szCs w:val="22"/>
        </w:rPr>
        <w:t>ühisrahastusprojekti</w:t>
      </w:r>
      <w:proofErr w:type="spellEnd"/>
      <w:r w:rsidRPr="006626EA">
        <w:rPr>
          <w:sz w:val="22"/>
          <w:szCs w:val="22"/>
        </w:rPr>
        <w:t xml:space="preserve"> pakkumiseks taotlema tegevusluba vastavalt eelnõu </w:t>
      </w:r>
      <w:r>
        <w:rPr>
          <w:sz w:val="22"/>
          <w:szCs w:val="22"/>
        </w:rPr>
        <w:t>§</w:t>
      </w:r>
      <w:r w:rsidRPr="006626EA">
        <w:rPr>
          <w:sz w:val="22"/>
          <w:szCs w:val="22"/>
        </w:rPr>
        <w:t xml:space="preserve"> 7 lõikele 1, </w:t>
      </w:r>
      <w:bookmarkStart w:id="2" w:name="_Hlk106635712"/>
      <w:r w:rsidRPr="006626EA">
        <w:rPr>
          <w:sz w:val="22"/>
          <w:szCs w:val="22"/>
        </w:rPr>
        <w:t xml:space="preserve">kuid endaga seotud </w:t>
      </w:r>
      <w:proofErr w:type="spellStart"/>
      <w:r>
        <w:rPr>
          <w:sz w:val="22"/>
          <w:szCs w:val="22"/>
        </w:rPr>
        <w:t>ühisrahastusprojekti</w:t>
      </w:r>
      <w:r w:rsidRPr="006626EA">
        <w:rPr>
          <w:sz w:val="22"/>
          <w:szCs w:val="22"/>
        </w:rPr>
        <w:t>de</w:t>
      </w:r>
      <w:proofErr w:type="spellEnd"/>
      <w:r w:rsidRPr="006626EA">
        <w:rPr>
          <w:sz w:val="22"/>
          <w:szCs w:val="22"/>
        </w:rPr>
        <w:t xml:space="preserve"> pakkumisel kohaldub analoogselt VPTS-</w:t>
      </w:r>
      <w:proofErr w:type="spellStart"/>
      <w:r w:rsidRPr="006626EA">
        <w:rPr>
          <w:sz w:val="22"/>
          <w:szCs w:val="22"/>
        </w:rPr>
        <w:t>is</w:t>
      </w:r>
      <w:proofErr w:type="spellEnd"/>
      <w:r w:rsidRPr="006626EA">
        <w:rPr>
          <w:sz w:val="22"/>
          <w:szCs w:val="22"/>
        </w:rPr>
        <w:t xml:space="preserve"> sätestatud väärtpaberite avaliku pakkumise</w:t>
      </w:r>
      <w:r>
        <w:rPr>
          <w:sz w:val="22"/>
          <w:szCs w:val="22"/>
        </w:rPr>
        <w:t>ga</w:t>
      </w:r>
      <w:r w:rsidRPr="006626EA">
        <w:rPr>
          <w:sz w:val="22"/>
          <w:szCs w:val="22"/>
        </w:rPr>
        <w:t xml:space="preserve"> siiski eeskätt teabe andmise, st põhiteabedokumendi avalikustamise või Finantsinspektsioonis registreerimise kohustus (vt eelnõu </w:t>
      </w:r>
      <w:r>
        <w:rPr>
          <w:sz w:val="22"/>
          <w:szCs w:val="22"/>
        </w:rPr>
        <w:t>§ 65 lõiget 2</w:t>
      </w:r>
      <w:r w:rsidRPr="006626EA">
        <w:rPr>
          <w:sz w:val="22"/>
          <w:szCs w:val="22"/>
        </w:rPr>
        <w:t>).</w:t>
      </w:r>
      <w:bookmarkEnd w:id="2"/>
    </w:p>
    <w:p w14:paraId="748A5E9B" w14:textId="77777777" w:rsidR="009D3E49" w:rsidRDefault="009D3E49" w:rsidP="00B12BBF">
      <w:pPr>
        <w:spacing w:before="0"/>
        <w:rPr>
          <w:sz w:val="22"/>
          <w:szCs w:val="22"/>
        </w:rPr>
      </w:pPr>
    </w:p>
    <w:p w14:paraId="7B5C64A1" w14:textId="77777777" w:rsidR="009D3E49" w:rsidRPr="0002370C" w:rsidRDefault="009D3E49" w:rsidP="009B28C0">
      <w:pPr>
        <w:spacing w:before="0"/>
        <w:rPr>
          <w:sz w:val="22"/>
          <w:szCs w:val="22"/>
        </w:rPr>
      </w:pPr>
      <w:r>
        <w:rPr>
          <w:b/>
          <w:sz w:val="22"/>
          <w:szCs w:val="22"/>
        </w:rPr>
        <w:t xml:space="preserve">Punkti 3 </w:t>
      </w:r>
      <w:r>
        <w:rPr>
          <w:sz w:val="22"/>
          <w:szCs w:val="22"/>
        </w:rPr>
        <w:t>järgi kohaldatakse seadust ka välisriigi juriidilisele isikule, kes osutab käesoleva seaduse § 1 lõike 1 punktis 1, 2 või 4 nimetatud teenuseid Eestis piiriüleselt või filiaali kaudu. Selle kohta vt täpsemalt eelnõu § 17 selgitusi.</w:t>
      </w:r>
    </w:p>
    <w:bookmarkEnd w:id="1"/>
    <w:p w14:paraId="240AA535" w14:textId="77777777" w:rsidR="003757F2" w:rsidRDefault="003757F2" w:rsidP="009B28C0">
      <w:pPr>
        <w:spacing w:before="0"/>
        <w:rPr>
          <w:sz w:val="22"/>
          <w:szCs w:val="22"/>
        </w:rPr>
      </w:pPr>
    </w:p>
    <w:p w14:paraId="20E0281B" w14:textId="34213740" w:rsidR="009A36A2" w:rsidRPr="007472DB" w:rsidRDefault="001E4DF3" w:rsidP="009B28C0">
      <w:pPr>
        <w:spacing w:before="0"/>
        <w:rPr>
          <w:b/>
          <w:sz w:val="22"/>
          <w:szCs w:val="22"/>
        </w:rPr>
      </w:pPr>
      <w:r w:rsidRPr="009F1CBB">
        <w:rPr>
          <w:b/>
          <w:sz w:val="22"/>
          <w:szCs w:val="22"/>
        </w:rPr>
        <w:t>Lõige 2</w:t>
      </w:r>
      <w:r>
        <w:rPr>
          <w:sz w:val="22"/>
          <w:szCs w:val="22"/>
        </w:rPr>
        <w:t xml:space="preserve"> täpsustab,</w:t>
      </w:r>
      <w:r w:rsidR="00527EFB">
        <w:rPr>
          <w:sz w:val="22"/>
          <w:szCs w:val="22"/>
        </w:rPr>
        <w:t xml:space="preserve"> </w:t>
      </w:r>
      <w:r>
        <w:rPr>
          <w:sz w:val="22"/>
          <w:szCs w:val="22"/>
        </w:rPr>
        <w:t>et k</w:t>
      </w:r>
      <w:r w:rsidR="002674F7" w:rsidRPr="002674F7">
        <w:rPr>
          <w:sz w:val="22"/>
          <w:szCs w:val="22"/>
        </w:rPr>
        <w:t xml:space="preserve">äesoleva seaduse </w:t>
      </w:r>
      <w:r w:rsidR="00764C27">
        <w:rPr>
          <w:sz w:val="22"/>
          <w:szCs w:val="22"/>
        </w:rPr>
        <w:t>6</w:t>
      </w:r>
      <w:r w:rsidR="002674F7" w:rsidRPr="002674F7">
        <w:rPr>
          <w:sz w:val="22"/>
          <w:szCs w:val="22"/>
        </w:rPr>
        <w:t xml:space="preserve">. ja </w:t>
      </w:r>
      <w:r w:rsidR="00764C27">
        <w:rPr>
          <w:sz w:val="22"/>
          <w:szCs w:val="22"/>
        </w:rPr>
        <w:t>7</w:t>
      </w:r>
      <w:r w:rsidR="002674F7" w:rsidRPr="002674F7">
        <w:rPr>
          <w:sz w:val="22"/>
          <w:szCs w:val="22"/>
        </w:rPr>
        <w:t>. peatükis sätestatut kohaldata</w:t>
      </w:r>
      <w:r w:rsidR="000C4E99">
        <w:rPr>
          <w:sz w:val="22"/>
          <w:szCs w:val="22"/>
        </w:rPr>
        <w:t>kse</w:t>
      </w:r>
      <w:r w:rsidR="002674F7" w:rsidRPr="002674F7">
        <w:rPr>
          <w:sz w:val="22"/>
          <w:szCs w:val="22"/>
        </w:rPr>
        <w:t xml:space="preserve"> </w:t>
      </w:r>
      <w:r w:rsidR="00FC3912" w:rsidRPr="002674F7">
        <w:rPr>
          <w:sz w:val="22"/>
          <w:szCs w:val="22"/>
        </w:rPr>
        <w:t>E</w:t>
      </w:r>
      <w:r w:rsidR="00FC3912">
        <w:rPr>
          <w:sz w:val="22"/>
          <w:szCs w:val="22"/>
        </w:rPr>
        <w:t xml:space="preserve">L </w:t>
      </w:r>
      <w:proofErr w:type="spellStart"/>
      <w:r w:rsidR="00FC3912">
        <w:rPr>
          <w:sz w:val="22"/>
          <w:szCs w:val="22"/>
        </w:rPr>
        <w:t>ühisrahastus</w:t>
      </w:r>
      <w:r w:rsidR="00FC3912" w:rsidRPr="002674F7">
        <w:rPr>
          <w:sz w:val="22"/>
          <w:szCs w:val="22"/>
        </w:rPr>
        <w:t>määruse</w:t>
      </w:r>
      <w:proofErr w:type="spellEnd"/>
      <w:r w:rsidR="00FC3912" w:rsidRPr="002674F7">
        <w:rPr>
          <w:sz w:val="22"/>
          <w:szCs w:val="22"/>
        </w:rPr>
        <w:t xml:space="preserve"> </w:t>
      </w:r>
      <w:r w:rsidR="00FC3912" w:rsidRPr="002674F7">
        <w:rPr>
          <w:bCs/>
          <w:sz w:val="22"/>
          <w:szCs w:val="22"/>
        </w:rPr>
        <w:t xml:space="preserve">artikli 2 lõike 1 punktis </w:t>
      </w:r>
      <w:r w:rsidR="00FC3912" w:rsidRPr="002674F7">
        <w:rPr>
          <w:sz w:val="22"/>
          <w:szCs w:val="22"/>
        </w:rPr>
        <w:t>b</w:t>
      </w:r>
      <w:r w:rsidR="00E137DF">
        <w:rPr>
          <w:rStyle w:val="FootnoteReference"/>
          <w:sz w:val="22"/>
          <w:szCs w:val="22"/>
        </w:rPr>
        <w:footnoteReference w:id="43"/>
      </w:r>
      <w:r w:rsidR="00FC3912" w:rsidRPr="002674F7">
        <w:rPr>
          <w:sz w:val="22"/>
          <w:szCs w:val="22"/>
        </w:rPr>
        <w:t xml:space="preserve"> </w:t>
      </w:r>
      <w:r w:rsidR="00FC3912" w:rsidRPr="001E4DF3">
        <w:rPr>
          <w:sz w:val="22"/>
          <w:szCs w:val="22"/>
        </w:rPr>
        <w:t>nimetatud lepingust tuleneva nõude</w:t>
      </w:r>
      <w:r w:rsidR="00FC3912" w:rsidRPr="001E4DF3">
        <w:rPr>
          <w:bCs/>
          <w:sz w:val="22"/>
          <w:szCs w:val="22"/>
        </w:rPr>
        <w:t xml:space="preserve"> ja punktis n nimetatud instrumendi </w:t>
      </w:r>
      <w:r w:rsidR="00FC3912" w:rsidRPr="001E4DF3">
        <w:rPr>
          <w:sz w:val="22"/>
          <w:szCs w:val="22"/>
        </w:rPr>
        <w:t>pakkumisele või vahendamisele</w:t>
      </w:r>
      <w:r w:rsidR="000C4E99">
        <w:rPr>
          <w:sz w:val="22"/>
          <w:szCs w:val="22"/>
        </w:rPr>
        <w:t xml:space="preserve"> üksnes</w:t>
      </w:r>
      <w:r w:rsidR="00FC3912" w:rsidRPr="001E4DF3">
        <w:rPr>
          <w:sz w:val="22"/>
          <w:szCs w:val="22"/>
        </w:rPr>
        <w:t xml:space="preserve"> juhul</w:t>
      </w:r>
      <w:r w:rsidR="00987B62">
        <w:rPr>
          <w:sz w:val="22"/>
          <w:szCs w:val="22"/>
        </w:rPr>
        <w:t>,</w:t>
      </w:r>
      <w:r w:rsidR="00FC3912" w:rsidRPr="001E4DF3">
        <w:rPr>
          <w:sz w:val="22"/>
          <w:szCs w:val="22"/>
        </w:rPr>
        <w:t xml:space="preserve"> kui nende instrumentide pakkumise koguväärtus kõikide Euroopa Majanduspiirkonna lepinguriikide kohta kokku selle pakkumise üheaastase ajavahemiku jooksul ületab 5 000 000 eurot.</w:t>
      </w:r>
      <w:r w:rsidR="00527EFB">
        <w:rPr>
          <w:sz w:val="22"/>
          <w:szCs w:val="22"/>
        </w:rPr>
        <w:t xml:space="preserve"> </w:t>
      </w:r>
      <w:r w:rsidR="00FC3912" w:rsidRPr="007472DB">
        <w:rPr>
          <w:sz w:val="22"/>
          <w:szCs w:val="22"/>
        </w:rPr>
        <w:t xml:space="preserve">EL </w:t>
      </w:r>
      <w:proofErr w:type="spellStart"/>
      <w:r w:rsidR="00FC3912" w:rsidRPr="007472DB">
        <w:rPr>
          <w:sz w:val="22"/>
          <w:szCs w:val="22"/>
        </w:rPr>
        <w:t>ühisrahastus</w:t>
      </w:r>
      <w:r w:rsidR="00FC3912">
        <w:rPr>
          <w:sz w:val="22"/>
          <w:szCs w:val="22"/>
        </w:rPr>
        <w:t>määruse</w:t>
      </w:r>
      <w:proofErr w:type="spellEnd"/>
      <w:r w:rsidR="00FC3912" w:rsidRPr="002674F7">
        <w:rPr>
          <w:sz w:val="22"/>
          <w:szCs w:val="22"/>
        </w:rPr>
        <w:t xml:space="preserve"> </w:t>
      </w:r>
      <w:r w:rsidR="009D3E49">
        <w:rPr>
          <w:sz w:val="22"/>
          <w:szCs w:val="22"/>
        </w:rPr>
        <w:t xml:space="preserve">kohaldamisalasse </w:t>
      </w:r>
      <w:proofErr w:type="spellStart"/>
      <w:r w:rsidR="009D3E49">
        <w:rPr>
          <w:sz w:val="22"/>
          <w:szCs w:val="22"/>
        </w:rPr>
        <w:t>kuuluvated</w:t>
      </w:r>
      <w:proofErr w:type="spellEnd"/>
      <w:r w:rsidR="009D3E49">
        <w:rPr>
          <w:sz w:val="22"/>
          <w:szCs w:val="22"/>
        </w:rPr>
        <w:t xml:space="preserve"> </w:t>
      </w:r>
      <w:r w:rsidR="00FC3912" w:rsidRPr="007472DB">
        <w:rPr>
          <w:sz w:val="22"/>
          <w:szCs w:val="22"/>
        </w:rPr>
        <w:t>mitte-</w:t>
      </w:r>
      <w:proofErr w:type="spellStart"/>
      <w:r w:rsidR="00FC3912" w:rsidRPr="007472DB">
        <w:rPr>
          <w:sz w:val="22"/>
          <w:szCs w:val="22"/>
        </w:rPr>
        <w:t>MiFID</w:t>
      </w:r>
      <w:proofErr w:type="spellEnd"/>
      <w:r w:rsidR="00FC3912" w:rsidRPr="007472DB">
        <w:rPr>
          <w:sz w:val="22"/>
          <w:szCs w:val="22"/>
        </w:rPr>
        <w:t xml:space="preserve"> väärtpaberi</w:t>
      </w:r>
      <w:r w:rsidR="009D3E49">
        <w:rPr>
          <w:sz w:val="22"/>
          <w:szCs w:val="22"/>
        </w:rPr>
        <w:t xml:space="preserve">te ja </w:t>
      </w:r>
      <w:r w:rsidR="00FC3912" w:rsidRPr="007472DB">
        <w:rPr>
          <w:sz w:val="22"/>
          <w:szCs w:val="22"/>
        </w:rPr>
        <w:t>ettevõtluslaenud</w:t>
      </w:r>
      <w:r w:rsidR="009D3E49">
        <w:rPr>
          <w:sz w:val="22"/>
          <w:szCs w:val="22"/>
        </w:rPr>
        <w:t xml:space="preserve">e pakkumisele ei kohaldata </w:t>
      </w:r>
      <w:r w:rsidR="00FC3912" w:rsidRPr="007472DB">
        <w:rPr>
          <w:sz w:val="22"/>
          <w:szCs w:val="22"/>
        </w:rPr>
        <w:t>eelnõu</w:t>
      </w:r>
      <w:r w:rsidR="009D3E49">
        <w:rPr>
          <w:sz w:val="22"/>
          <w:szCs w:val="22"/>
        </w:rPr>
        <w:t>s sätestatud</w:t>
      </w:r>
      <w:r w:rsidR="00FC3912" w:rsidRPr="007472DB">
        <w:rPr>
          <w:sz w:val="22"/>
          <w:szCs w:val="22"/>
        </w:rPr>
        <w:t xml:space="preserve"> teenuse osutamise nõudeid</w:t>
      </w:r>
      <w:r w:rsidR="00C42B01" w:rsidRPr="007472DB">
        <w:rPr>
          <w:sz w:val="22"/>
          <w:szCs w:val="22"/>
        </w:rPr>
        <w:t xml:space="preserve">, vaid sellisel juhul kohaldatakse EL </w:t>
      </w:r>
      <w:proofErr w:type="spellStart"/>
      <w:r w:rsidR="00C42B01" w:rsidRPr="007472DB">
        <w:rPr>
          <w:sz w:val="22"/>
          <w:szCs w:val="22"/>
        </w:rPr>
        <w:t>ühisrahastu</w:t>
      </w:r>
      <w:r w:rsidR="00BA6C0A" w:rsidRPr="007472DB">
        <w:rPr>
          <w:sz w:val="22"/>
          <w:szCs w:val="22"/>
        </w:rPr>
        <w:t>s</w:t>
      </w:r>
      <w:r w:rsidR="00C42B01" w:rsidRPr="007472DB">
        <w:rPr>
          <w:sz w:val="22"/>
          <w:szCs w:val="22"/>
        </w:rPr>
        <w:t>määrust</w:t>
      </w:r>
      <w:proofErr w:type="spellEnd"/>
      <w:r w:rsidR="00C42B01" w:rsidRPr="007472DB">
        <w:rPr>
          <w:sz w:val="22"/>
          <w:szCs w:val="22"/>
        </w:rPr>
        <w:t>.</w:t>
      </w:r>
      <w:r w:rsidR="00FC3912" w:rsidRPr="007472DB">
        <w:rPr>
          <w:sz w:val="22"/>
          <w:szCs w:val="22"/>
        </w:rPr>
        <w:t xml:space="preserve"> Samas, kui nimetatud instrumendi </w:t>
      </w:r>
      <w:r w:rsidR="00FC3912" w:rsidRPr="001E4DF3">
        <w:rPr>
          <w:sz w:val="22"/>
          <w:szCs w:val="22"/>
        </w:rPr>
        <w:t>pakkumise koguväärtus kõikide Euroopa Majanduspiirkonna lepinguriikide kohta kokku pakkumise üheaastase ajavahemiku jooksul ületab 5 000 000 eurot</w:t>
      </w:r>
      <w:r w:rsidR="00FC3912">
        <w:rPr>
          <w:sz w:val="22"/>
          <w:szCs w:val="22"/>
        </w:rPr>
        <w:t xml:space="preserve">, siis kohaldatakse sellisele teenuseosutajale käesoleva seaduse </w:t>
      </w:r>
      <w:r w:rsidR="00764C27">
        <w:rPr>
          <w:sz w:val="22"/>
          <w:szCs w:val="22"/>
        </w:rPr>
        <w:t>6</w:t>
      </w:r>
      <w:r w:rsidR="00FC3912">
        <w:rPr>
          <w:sz w:val="22"/>
          <w:szCs w:val="22"/>
        </w:rPr>
        <w:t xml:space="preserve">. ja </w:t>
      </w:r>
      <w:r w:rsidR="00764C27">
        <w:rPr>
          <w:sz w:val="22"/>
          <w:szCs w:val="22"/>
        </w:rPr>
        <w:t>7</w:t>
      </w:r>
      <w:r w:rsidR="00FC3912">
        <w:rPr>
          <w:sz w:val="22"/>
          <w:szCs w:val="22"/>
        </w:rPr>
        <w:t>. peatükke</w:t>
      </w:r>
      <w:r w:rsidR="00954384">
        <w:rPr>
          <w:sz w:val="22"/>
          <w:szCs w:val="22"/>
        </w:rPr>
        <w:t xml:space="preserve"> (teenuse osutamise ja rahastuse taotlemise nõuded)</w:t>
      </w:r>
      <w:r w:rsidR="00FC3912">
        <w:rPr>
          <w:sz w:val="22"/>
          <w:szCs w:val="22"/>
        </w:rPr>
        <w:t>.</w:t>
      </w:r>
    </w:p>
    <w:p w14:paraId="5C2C8AC7" w14:textId="4741D519" w:rsidR="00FB7F0A" w:rsidRDefault="00FB7F0A" w:rsidP="009B28C0">
      <w:pPr>
        <w:spacing w:before="0"/>
        <w:rPr>
          <w:sz w:val="22"/>
          <w:szCs w:val="22"/>
        </w:rPr>
      </w:pPr>
    </w:p>
    <w:p w14:paraId="541384E3" w14:textId="1228EC98" w:rsidR="00AE16B3" w:rsidRDefault="00AE16B3" w:rsidP="009B28C0">
      <w:pPr>
        <w:spacing w:before="0"/>
        <w:rPr>
          <w:sz w:val="22"/>
          <w:szCs w:val="22"/>
        </w:rPr>
      </w:pPr>
      <w:r w:rsidRPr="00AE16B3">
        <w:rPr>
          <w:b/>
          <w:sz w:val="22"/>
          <w:szCs w:val="22"/>
        </w:rPr>
        <w:t>Lõike 3</w:t>
      </w:r>
      <w:r>
        <w:rPr>
          <w:sz w:val="22"/>
          <w:szCs w:val="22"/>
        </w:rPr>
        <w:t xml:space="preserve"> järgi kohaldatakse isikule, kes on saanud tegevusloa EL </w:t>
      </w:r>
      <w:proofErr w:type="spellStart"/>
      <w:r>
        <w:rPr>
          <w:sz w:val="22"/>
          <w:szCs w:val="22"/>
        </w:rPr>
        <w:t>ühisrahastusmääruse</w:t>
      </w:r>
      <w:proofErr w:type="spellEnd"/>
      <w:r>
        <w:rPr>
          <w:sz w:val="22"/>
          <w:szCs w:val="22"/>
        </w:rPr>
        <w:t xml:space="preserve"> alusel, üksnes seaduse 11. ja 12. peatükis sätestatut. Teisisõnu ei reguleeri seadus nende teenuseosutajate tegevust, mis kuulub EL </w:t>
      </w:r>
      <w:proofErr w:type="spellStart"/>
      <w:r>
        <w:rPr>
          <w:sz w:val="22"/>
          <w:szCs w:val="22"/>
        </w:rPr>
        <w:t>ühisrahastusmääruse</w:t>
      </w:r>
      <w:proofErr w:type="spellEnd"/>
      <w:r>
        <w:rPr>
          <w:sz w:val="22"/>
          <w:szCs w:val="22"/>
        </w:rPr>
        <w:t xml:space="preserve"> reguleerimisalasse, välja arvatud peatükkides 11. ja 12. sisalduv, mis </w:t>
      </w:r>
      <w:r w:rsidR="00CF58F5">
        <w:rPr>
          <w:sz w:val="22"/>
          <w:szCs w:val="22"/>
        </w:rPr>
        <w:t xml:space="preserve">käsitleb järelevalvet sh ka </w:t>
      </w:r>
      <w:r>
        <w:rPr>
          <w:sz w:val="22"/>
          <w:szCs w:val="22"/>
        </w:rPr>
        <w:t xml:space="preserve">EL </w:t>
      </w:r>
      <w:proofErr w:type="spellStart"/>
      <w:r>
        <w:rPr>
          <w:sz w:val="22"/>
          <w:szCs w:val="22"/>
        </w:rPr>
        <w:t>ühisrahastusmäärus</w:t>
      </w:r>
      <w:r w:rsidR="00CF58F5">
        <w:rPr>
          <w:sz w:val="22"/>
          <w:szCs w:val="22"/>
        </w:rPr>
        <w:t>e</w:t>
      </w:r>
      <w:proofErr w:type="spellEnd"/>
      <w:r w:rsidR="00CF58F5">
        <w:rPr>
          <w:sz w:val="22"/>
          <w:szCs w:val="22"/>
        </w:rPr>
        <w:t xml:space="preserve"> alusel tegevusloa saanud ettevõtjate üle, ning vastutust seaduses toodud nõuete rikkumise eest</w:t>
      </w:r>
      <w:r>
        <w:rPr>
          <w:sz w:val="22"/>
          <w:szCs w:val="22"/>
        </w:rPr>
        <w:t>.</w:t>
      </w:r>
      <w:r w:rsidR="0055411E">
        <w:rPr>
          <w:sz w:val="22"/>
          <w:szCs w:val="22"/>
        </w:rPr>
        <w:t xml:space="preserve"> Õiguslik alus järelevalvet ja vastutust siseriiklikus õiguses reguleerimiseks tuleneb EL </w:t>
      </w:r>
      <w:proofErr w:type="spellStart"/>
      <w:r w:rsidR="0055411E">
        <w:rPr>
          <w:sz w:val="22"/>
          <w:szCs w:val="22"/>
        </w:rPr>
        <w:t>ühisrahastusmääruse</w:t>
      </w:r>
      <w:proofErr w:type="spellEnd"/>
      <w:r w:rsidR="0055411E">
        <w:rPr>
          <w:sz w:val="22"/>
          <w:szCs w:val="22"/>
        </w:rPr>
        <w:t xml:space="preserve"> artiklist 39 lõigetest 1 ja 2 ning artiklist 40. </w:t>
      </w:r>
    </w:p>
    <w:p w14:paraId="2A3C8984" w14:textId="77777777" w:rsidR="00AE16B3" w:rsidRPr="005A55CA" w:rsidRDefault="00AE16B3" w:rsidP="009B28C0">
      <w:pPr>
        <w:spacing w:before="0"/>
        <w:rPr>
          <w:sz w:val="22"/>
          <w:szCs w:val="22"/>
        </w:rPr>
      </w:pPr>
    </w:p>
    <w:p w14:paraId="33131E54" w14:textId="06F2F1F3" w:rsidR="00FB7F0A" w:rsidRPr="005A55CA" w:rsidRDefault="00FB7F0A" w:rsidP="009B28C0">
      <w:pPr>
        <w:spacing w:before="0"/>
        <w:rPr>
          <w:sz w:val="22"/>
          <w:szCs w:val="22"/>
        </w:rPr>
      </w:pPr>
      <w:r w:rsidRPr="00AE16B3">
        <w:rPr>
          <w:b/>
          <w:sz w:val="22"/>
          <w:szCs w:val="22"/>
        </w:rPr>
        <w:t>Lõi</w:t>
      </w:r>
      <w:r w:rsidR="0015000C" w:rsidRPr="00AE16B3">
        <w:rPr>
          <w:b/>
          <w:sz w:val="22"/>
          <w:szCs w:val="22"/>
        </w:rPr>
        <w:t>k</w:t>
      </w:r>
      <w:r w:rsidRPr="00AE16B3">
        <w:rPr>
          <w:b/>
          <w:sz w:val="22"/>
          <w:szCs w:val="22"/>
        </w:rPr>
        <w:t xml:space="preserve">e </w:t>
      </w:r>
      <w:r w:rsidR="00AE16B3" w:rsidRPr="00AE16B3">
        <w:rPr>
          <w:b/>
          <w:sz w:val="22"/>
          <w:szCs w:val="22"/>
        </w:rPr>
        <w:t>4</w:t>
      </w:r>
      <w:r w:rsidRPr="00AE16B3">
        <w:rPr>
          <w:sz w:val="22"/>
          <w:szCs w:val="22"/>
        </w:rPr>
        <w:t xml:space="preserve"> järgi </w:t>
      </w:r>
      <w:r w:rsidR="00FC3912" w:rsidRPr="00AE16B3">
        <w:rPr>
          <w:sz w:val="22"/>
          <w:szCs w:val="22"/>
        </w:rPr>
        <w:t>kohaldatakse</w:t>
      </w:r>
      <w:r w:rsidR="00FC3912" w:rsidRPr="005A55CA">
        <w:rPr>
          <w:sz w:val="22"/>
          <w:szCs w:val="22"/>
        </w:rPr>
        <w:t xml:space="preserve"> </w:t>
      </w:r>
      <w:r w:rsidR="00AE16B3">
        <w:rPr>
          <w:sz w:val="22"/>
          <w:szCs w:val="22"/>
        </w:rPr>
        <w:t xml:space="preserve">Euroopa Majanduspiirkonna lepinguriigis (sh Eesti) </w:t>
      </w:r>
      <w:r w:rsidR="00FC3912" w:rsidRPr="005A55CA">
        <w:rPr>
          <w:sz w:val="22"/>
          <w:szCs w:val="22"/>
        </w:rPr>
        <w:t xml:space="preserve">teenuseosutajale, kes on saanud tegevusloa vastavalt </w:t>
      </w:r>
      <w:r w:rsidR="00FC3912">
        <w:rPr>
          <w:sz w:val="22"/>
          <w:szCs w:val="22"/>
        </w:rPr>
        <w:t xml:space="preserve">EL </w:t>
      </w:r>
      <w:proofErr w:type="spellStart"/>
      <w:r w:rsidR="00FC3912" w:rsidRPr="005A55CA">
        <w:rPr>
          <w:sz w:val="22"/>
          <w:szCs w:val="22"/>
        </w:rPr>
        <w:t>ühisrahastusmäärusele</w:t>
      </w:r>
      <w:proofErr w:type="spellEnd"/>
      <w:r w:rsidR="00FC3912" w:rsidRPr="005A55CA">
        <w:rPr>
          <w:sz w:val="22"/>
          <w:szCs w:val="22"/>
        </w:rPr>
        <w:t xml:space="preserve"> </w:t>
      </w:r>
      <w:r w:rsidR="0043066B">
        <w:rPr>
          <w:sz w:val="22"/>
          <w:szCs w:val="22"/>
        </w:rPr>
        <w:t>või</w:t>
      </w:r>
      <w:r w:rsidR="00FC3912" w:rsidRPr="005A55CA">
        <w:rPr>
          <w:sz w:val="22"/>
          <w:szCs w:val="22"/>
        </w:rPr>
        <w:t xml:space="preserve"> lepinguriigis asutatud krediidiasutusele, investeerimisühingule, makseasutusele ja e-raha asutusele üksnes käesoleva seaduse </w:t>
      </w:r>
      <w:r w:rsidR="00AE16B3">
        <w:rPr>
          <w:sz w:val="22"/>
          <w:szCs w:val="22"/>
        </w:rPr>
        <w:t>3</w:t>
      </w:r>
      <w:r w:rsidR="00FC3912">
        <w:rPr>
          <w:sz w:val="22"/>
          <w:szCs w:val="22"/>
        </w:rPr>
        <w:t xml:space="preserve">., </w:t>
      </w:r>
      <w:r w:rsidR="00AE16B3">
        <w:rPr>
          <w:sz w:val="22"/>
          <w:szCs w:val="22"/>
        </w:rPr>
        <w:t xml:space="preserve">5. (välja arvatud §-s 38), </w:t>
      </w:r>
      <w:r w:rsidR="00764C27">
        <w:rPr>
          <w:sz w:val="22"/>
          <w:szCs w:val="22"/>
        </w:rPr>
        <w:t>6</w:t>
      </w:r>
      <w:r w:rsidR="00FC3912" w:rsidRPr="005A55CA">
        <w:rPr>
          <w:sz w:val="22"/>
          <w:szCs w:val="22"/>
        </w:rPr>
        <w:t>.,</w:t>
      </w:r>
      <w:r w:rsidR="00FC3912">
        <w:rPr>
          <w:sz w:val="22"/>
          <w:szCs w:val="22"/>
        </w:rPr>
        <w:t xml:space="preserve"> </w:t>
      </w:r>
      <w:r w:rsidR="00764C27">
        <w:rPr>
          <w:sz w:val="22"/>
          <w:szCs w:val="22"/>
        </w:rPr>
        <w:t>7</w:t>
      </w:r>
      <w:r w:rsidR="00FC3912">
        <w:rPr>
          <w:sz w:val="22"/>
          <w:szCs w:val="22"/>
        </w:rPr>
        <w:t>.,</w:t>
      </w:r>
      <w:r w:rsidR="00FC3912" w:rsidRPr="005A55CA">
        <w:rPr>
          <w:sz w:val="22"/>
          <w:szCs w:val="22"/>
        </w:rPr>
        <w:t xml:space="preserve"> </w:t>
      </w:r>
      <w:r w:rsidR="00CF58F5">
        <w:rPr>
          <w:sz w:val="22"/>
          <w:szCs w:val="22"/>
        </w:rPr>
        <w:t xml:space="preserve">9. peatüki §-s 76 ning </w:t>
      </w:r>
      <w:r w:rsidR="00FC3912" w:rsidRPr="005A55CA">
        <w:rPr>
          <w:sz w:val="22"/>
          <w:szCs w:val="22"/>
        </w:rPr>
        <w:t>11. ja 12. peatükis sätestatut.</w:t>
      </w:r>
      <w:r w:rsidR="00527EFB">
        <w:rPr>
          <w:sz w:val="22"/>
          <w:szCs w:val="22"/>
        </w:rPr>
        <w:t xml:space="preserve"> </w:t>
      </w:r>
      <w:r w:rsidR="00FC3912" w:rsidRPr="005A55CA">
        <w:rPr>
          <w:sz w:val="22"/>
          <w:szCs w:val="22"/>
        </w:rPr>
        <w:t xml:space="preserve">Käesoleva lõike eesmärk on tagada, et nende ettevõtjate, kellele on väljastatud tegevusluba muu õigusakti kui käesoleva seaduse alusel (st </w:t>
      </w:r>
      <w:r w:rsidR="00FC3912">
        <w:rPr>
          <w:sz w:val="22"/>
          <w:szCs w:val="22"/>
        </w:rPr>
        <w:t xml:space="preserve">EL </w:t>
      </w:r>
      <w:proofErr w:type="spellStart"/>
      <w:r w:rsidR="00FC3912" w:rsidRPr="005A55CA">
        <w:rPr>
          <w:sz w:val="22"/>
          <w:szCs w:val="22"/>
        </w:rPr>
        <w:t>ühisrahastusmääruse</w:t>
      </w:r>
      <w:proofErr w:type="spellEnd"/>
      <w:r w:rsidR="00FC3912" w:rsidRPr="005A55CA">
        <w:rPr>
          <w:sz w:val="22"/>
          <w:szCs w:val="22"/>
        </w:rPr>
        <w:t xml:space="preserve">, </w:t>
      </w:r>
      <w:r w:rsidR="00FC3912">
        <w:rPr>
          <w:sz w:val="22"/>
          <w:szCs w:val="22"/>
        </w:rPr>
        <w:t>KAS</w:t>
      </w:r>
      <w:r w:rsidR="00FC3912" w:rsidRPr="005A55CA">
        <w:rPr>
          <w:sz w:val="22"/>
          <w:szCs w:val="22"/>
        </w:rPr>
        <w:t xml:space="preserve">, </w:t>
      </w:r>
      <w:r w:rsidR="00FC3912">
        <w:rPr>
          <w:sz w:val="22"/>
          <w:szCs w:val="22"/>
        </w:rPr>
        <w:t>VPTS</w:t>
      </w:r>
      <w:r w:rsidR="00FC3912" w:rsidRPr="005A55CA">
        <w:rPr>
          <w:sz w:val="22"/>
          <w:szCs w:val="22"/>
        </w:rPr>
        <w:t xml:space="preserve">, </w:t>
      </w:r>
      <w:r w:rsidR="00FC3912">
        <w:rPr>
          <w:sz w:val="22"/>
          <w:szCs w:val="22"/>
        </w:rPr>
        <w:t>MERAS</w:t>
      </w:r>
      <w:r w:rsidR="00FC3912" w:rsidRPr="005A55CA">
        <w:rPr>
          <w:sz w:val="22"/>
          <w:szCs w:val="22"/>
        </w:rPr>
        <w:t>), tegevus oleks kooskõlas käesoleva seaduse nõuetega (</w:t>
      </w:r>
      <w:r w:rsidR="0055411E">
        <w:rPr>
          <w:sz w:val="22"/>
          <w:szCs w:val="22"/>
        </w:rPr>
        <w:t>eriti</w:t>
      </w:r>
      <w:r w:rsidR="00FC3912" w:rsidRPr="005A55CA">
        <w:rPr>
          <w:sz w:val="22"/>
          <w:szCs w:val="22"/>
        </w:rPr>
        <w:t xml:space="preserve"> </w:t>
      </w:r>
      <w:r w:rsidR="00FC3912">
        <w:rPr>
          <w:sz w:val="22"/>
          <w:szCs w:val="22"/>
        </w:rPr>
        <w:t>eelnõu</w:t>
      </w:r>
      <w:r w:rsidR="00FC3912" w:rsidRPr="005A55CA">
        <w:rPr>
          <w:sz w:val="22"/>
          <w:szCs w:val="22"/>
        </w:rPr>
        <w:t xml:space="preserve"> </w:t>
      </w:r>
      <w:r w:rsidR="003754B8">
        <w:rPr>
          <w:sz w:val="22"/>
          <w:szCs w:val="22"/>
        </w:rPr>
        <w:t>6</w:t>
      </w:r>
      <w:r w:rsidR="00FC3912" w:rsidRPr="005A55CA">
        <w:rPr>
          <w:sz w:val="22"/>
          <w:szCs w:val="22"/>
        </w:rPr>
        <w:t xml:space="preserve">. peatüki nõuetega), ning teisalt, et käesolevas seaduses sätestatud nõuete rikkumisel kohaldataks nimetatud ettevõtjate suhtes ka sarnast järelevalvet ja vastutuse sätteid nõuete rikkumise eest (vastavalt </w:t>
      </w:r>
      <w:r w:rsidR="00FC3912">
        <w:rPr>
          <w:sz w:val="22"/>
          <w:szCs w:val="22"/>
        </w:rPr>
        <w:t>eelnõu</w:t>
      </w:r>
      <w:r w:rsidR="00FC3912" w:rsidRPr="005A55CA">
        <w:rPr>
          <w:sz w:val="22"/>
          <w:szCs w:val="22"/>
        </w:rPr>
        <w:t xml:space="preserve"> 11. ja 12. peatükid). </w:t>
      </w:r>
      <w:r w:rsidR="00FC3912">
        <w:rPr>
          <w:sz w:val="22"/>
          <w:szCs w:val="22"/>
        </w:rPr>
        <w:t xml:space="preserve">Ühtlasi vähendatakse sellise konstruktsiooniga ka ettevõtjate halduskoormust, kuna finantssektori järelevalvesubjektide tegevusnõuded on suures ulatuses sarnased, siis eelnõus reguleeritud teenuste pakkumisel peab eelpool viidatud ja juba olemasoleva finantstegevuse </w:t>
      </w:r>
      <w:r w:rsidR="00FC3912">
        <w:rPr>
          <w:sz w:val="22"/>
          <w:szCs w:val="22"/>
        </w:rPr>
        <w:lastRenderedPageBreak/>
        <w:t xml:space="preserve">loaga isik täitma üksnes konkreetseid spetsiifilisi nõudeid, mis tagavad teenuseosutajate võrdse kohtlemise </w:t>
      </w:r>
      <w:r w:rsidR="006626EA">
        <w:rPr>
          <w:sz w:val="22"/>
          <w:szCs w:val="22"/>
        </w:rPr>
        <w:t xml:space="preserve">ja </w:t>
      </w:r>
      <w:r w:rsidR="00BD5E7F">
        <w:rPr>
          <w:sz w:val="22"/>
          <w:szCs w:val="22"/>
        </w:rPr>
        <w:t>klientide</w:t>
      </w:r>
      <w:r w:rsidR="00FC3912">
        <w:rPr>
          <w:sz w:val="22"/>
          <w:szCs w:val="22"/>
        </w:rPr>
        <w:t xml:space="preserve"> ühetaolise kaitse.</w:t>
      </w:r>
      <w:r w:rsidR="00A63822">
        <w:rPr>
          <w:sz w:val="22"/>
          <w:szCs w:val="22"/>
        </w:rPr>
        <w:t xml:space="preserve"> Viimaks, sättes ei ole viidatud seaduse 2. peatükile, mis tähendab, et samas paragrahvis nimetatud isikutel ei ole </w:t>
      </w:r>
      <w:r w:rsidR="00F54307">
        <w:rPr>
          <w:sz w:val="22"/>
          <w:szCs w:val="22"/>
        </w:rPr>
        <w:t xml:space="preserve">vajalik taotleda täiendavat tegevusluba Finantsinspektsioonilt. Põhjus on selles, et nimetatud isikute tegevusele ning vastava tegevusloa andmisele kohalduvad vähemalt samaväärsed, kuid enamasti rangemad nõuded. Sättes nimetatud </w:t>
      </w:r>
      <w:r w:rsidR="00F54307" w:rsidRPr="002C64B8">
        <w:rPr>
          <w:color w:val="000000" w:themeColor="text1"/>
          <w:sz w:val="22"/>
          <w:szCs w:val="22"/>
        </w:rPr>
        <w:t>välisriigi</w:t>
      </w:r>
      <w:r w:rsidR="00F54307">
        <w:rPr>
          <w:color w:val="000000" w:themeColor="text1"/>
          <w:sz w:val="22"/>
          <w:szCs w:val="22"/>
        </w:rPr>
        <w:t>s asutatud</w:t>
      </w:r>
      <w:r w:rsidR="00F54307" w:rsidRPr="002C64B8">
        <w:rPr>
          <w:color w:val="000000" w:themeColor="text1"/>
          <w:sz w:val="22"/>
          <w:szCs w:val="22"/>
        </w:rPr>
        <w:t xml:space="preserve"> turuosalistele kehtib seaduse §-s 1</w:t>
      </w:r>
      <w:r w:rsidR="009511E4">
        <w:rPr>
          <w:color w:val="000000" w:themeColor="text1"/>
          <w:sz w:val="22"/>
          <w:szCs w:val="22"/>
        </w:rPr>
        <w:t>7</w:t>
      </w:r>
      <w:r w:rsidR="00F54307" w:rsidRPr="002C64B8">
        <w:rPr>
          <w:color w:val="000000" w:themeColor="text1"/>
          <w:sz w:val="22"/>
          <w:szCs w:val="22"/>
        </w:rPr>
        <w:t xml:space="preserve"> sätestatud erikord.</w:t>
      </w:r>
    </w:p>
    <w:p w14:paraId="7D41F95E" w14:textId="26521BBC" w:rsidR="00C817E1" w:rsidRPr="005A55CA" w:rsidRDefault="00C817E1" w:rsidP="009B28C0">
      <w:pPr>
        <w:spacing w:before="0"/>
        <w:rPr>
          <w:b/>
          <w:sz w:val="22"/>
          <w:szCs w:val="22"/>
        </w:rPr>
      </w:pPr>
    </w:p>
    <w:p w14:paraId="6F42ED33" w14:textId="0B641217" w:rsidR="00B131A8" w:rsidRPr="005A55CA" w:rsidRDefault="00A3394F" w:rsidP="009B28C0">
      <w:pPr>
        <w:spacing w:before="0"/>
        <w:rPr>
          <w:sz w:val="22"/>
          <w:szCs w:val="22"/>
        </w:rPr>
      </w:pPr>
      <w:r w:rsidRPr="005A55CA">
        <w:rPr>
          <w:b/>
          <w:sz w:val="22"/>
          <w:szCs w:val="22"/>
        </w:rPr>
        <w:t xml:space="preserve">Lõike </w:t>
      </w:r>
      <w:r w:rsidR="00C750C4">
        <w:rPr>
          <w:b/>
          <w:sz w:val="22"/>
          <w:szCs w:val="22"/>
        </w:rPr>
        <w:t>5</w:t>
      </w:r>
      <w:r w:rsidR="00BB2326" w:rsidRPr="005A55CA">
        <w:rPr>
          <w:sz w:val="22"/>
          <w:szCs w:val="22"/>
        </w:rPr>
        <w:t xml:space="preserve"> kohaselt kohaldatakse </w:t>
      </w:r>
      <w:r w:rsidR="00C817E1" w:rsidRPr="005A55CA">
        <w:rPr>
          <w:sz w:val="22"/>
          <w:szCs w:val="22"/>
        </w:rPr>
        <w:t>rahastuse taotlejale</w:t>
      </w:r>
      <w:r w:rsidR="00EB781E">
        <w:rPr>
          <w:sz w:val="22"/>
          <w:szCs w:val="22"/>
        </w:rPr>
        <w:t>, kes ei tegutse teenuseosutajana,</w:t>
      </w:r>
      <w:r w:rsidR="00C817E1" w:rsidRPr="005A55CA">
        <w:rPr>
          <w:sz w:val="22"/>
          <w:szCs w:val="22"/>
        </w:rPr>
        <w:t xml:space="preserve"> </w:t>
      </w:r>
      <w:r w:rsidR="00FC3912" w:rsidRPr="005A55CA">
        <w:rPr>
          <w:sz w:val="22"/>
          <w:szCs w:val="22"/>
        </w:rPr>
        <w:t xml:space="preserve">üksnes </w:t>
      </w:r>
      <w:r w:rsidR="00FC3912">
        <w:rPr>
          <w:sz w:val="22"/>
          <w:szCs w:val="22"/>
        </w:rPr>
        <w:t>eelnõu</w:t>
      </w:r>
      <w:r w:rsidR="00FC3912" w:rsidRPr="005A55CA">
        <w:rPr>
          <w:sz w:val="22"/>
          <w:szCs w:val="22"/>
        </w:rPr>
        <w:t xml:space="preserve"> </w:t>
      </w:r>
      <w:r w:rsidR="00764C27">
        <w:rPr>
          <w:sz w:val="22"/>
          <w:szCs w:val="22"/>
        </w:rPr>
        <w:t>6</w:t>
      </w:r>
      <w:r w:rsidR="00FC3912" w:rsidRPr="005A55CA">
        <w:rPr>
          <w:sz w:val="22"/>
          <w:szCs w:val="22"/>
        </w:rPr>
        <w:t xml:space="preserve">., 11. ja 12. peatükis sätestatut. Eeltoodu kehtib juhul, kui rahastuse taotleja ei ole samaaegselt </w:t>
      </w:r>
      <w:proofErr w:type="spellStart"/>
      <w:r w:rsidR="00A43BE0">
        <w:rPr>
          <w:sz w:val="22"/>
          <w:szCs w:val="22"/>
        </w:rPr>
        <w:t>ühisrahastus</w:t>
      </w:r>
      <w:r w:rsidR="00FC3912" w:rsidRPr="005A55CA">
        <w:rPr>
          <w:sz w:val="22"/>
          <w:szCs w:val="22"/>
        </w:rPr>
        <w:t>teenuse</w:t>
      </w:r>
      <w:proofErr w:type="spellEnd"/>
      <w:r w:rsidR="00FC3912" w:rsidRPr="005A55CA">
        <w:rPr>
          <w:sz w:val="22"/>
          <w:szCs w:val="22"/>
        </w:rPr>
        <w:t xml:space="preserve"> osutaja (vt ka § </w:t>
      </w:r>
      <w:r w:rsidR="003B0F70">
        <w:rPr>
          <w:sz w:val="22"/>
          <w:szCs w:val="22"/>
        </w:rPr>
        <w:t>4</w:t>
      </w:r>
      <w:r w:rsidR="00FC3912" w:rsidRPr="005A55CA">
        <w:rPr>
          <w:sz w:val="22"/>
          <w:szCs w:val="22"/>
        </w:rPr>
        <w:t xml:space="preserve"> lõiked </w:t>
      </w:r>
      <w:r w:rsidR="00B96BFC">
        <w:rPr>
          <w:sz w:val="22"/>
          <w:szCs w:val="22"/>
        </w:rPr>
        <w:t>5</w:t>
      </w:r>
      <w:r w:rsidR="00FC3912" w:rsidRPr="005A55CA">
        <w:rPr>
          <w:sz w:val="22"/>
          <w:szCs w:val="22"/>
        </w:rPr>
        <w:t xml:space="preserve"> ja </w:t>
      </w:r>
      <w:r w:rsidR="00B96BFC">
        <w:rPr>
          <w:sz w:val="22"/>
          <w:szCs w:val="22"/>
        </w:rPr>
        <w:t>7</w:t>
      </w:r>
      <w:r w:rsidR="00FC3912" w:rsidRPr="005A55CA">
        <w:rPr>
          <w:sz w:val="22"/>
          <w:szCs w:val="22"/>
        </w:rPr>
        <w:t xml:space="preserve">). Sätte eesmärk on tagada, et isikule, kes </w:t>
      </w:r>
      <w:r w:rsidR="00FC3912">
        <w:rPr>
          <w:sz w:val="22"/>
          <w:szCs w:val="22"/>
        </w:rPr>
        <w:t>pakub</w:t>
      </w:r>
      <w:r w:rsidR="00FC3912" w:rsidRPr="005A55CA">
        <w:rPr>
          <w:sz w:val="22"/>
          <w:szCs w:val="22"/>
        </w:rPr>
        <w:t xml:space="preserve"> endaga seotud </w:t>
      </w:r>
      <w:proofErr w:type="spellStart"/>
      <w:r w:rsidR="00B2716C">
        <w:rPr>
          <w:sz w:val="22"/>
          <w:szCs w:val="22"/>
        </w:rPr>
        <w:t>ühisrahastusprojekti</w:t>
      </w:r>
      <w:proofErr w:type="spellEnd"/>
      <w:r w:rsidR="00FC3912" w:rsidRPr="005A55CA">
        <w:rPr>
          <w:sz w:val="22"/>
          <w:szCs w:val="22"/>
        </w:rPr>
        <w:t xml:space="preserve">, peaks rakendama oma tegevuses vähemalt samaväärseid nõudeid kui tegevusloaga teenuseosutaja, vähemalt selles osas, mis puudutab teabe andmist, järelevalvet ja vastutust. Nimetatud kohustus on analoogne </w:t>
      </w:r>
      <w:r w:rsidR="00FC3912">
        <w:rPr>
          <w:sz w:val="22"/>
          <w:szCs w:val="22"/>
        </w:rPr>
        <w:t>VPTS-</w:t>
      </w:r>
      <w:proofErr w:type="spellStart"/>
      <w:r w:rsidR="00FC3912">
        <w:rPr>
          <w:sz w:val="22"/>
          <w:szCs w:val="22"/>
        </w:rPr>
        <w:t>is</w:t>
      </w:r>
      <w:proofErr w:type="spellEnd"/>
      <w:r w:rsidR="00FC3912" w:rsidRPr="005A55CA">
        <w:rPr>
          <w:sz w:val="22"/>
          <w:szCs w:val="22"/>
        </w:rPr>
        <w:t xml:space="preserve"> sätestatud väärtpaberi (avaliku) pakkumisega, st enda äriühinguga seotud väärtpaberite emiteerimise puhul tuleb avaldada teabedokument (väärtpaberite puhul prospekt), kuid teise äriühingu väärtpaberite pakkumist käsitletakse investeerimisteenusena, mille jaoks tuleb pakkumise korraldajal taotleda investeerimisühingu tegevusluba.</w:t>
      </w:r>
    </w:p>
    <w:p w14:paraId="12DF518E" w14:textId="77777777" w:rsidR="00B2716C" w:rsidRDefault="00B2716C" w:rsidP="009B28C0">
      <w:pPr>
        <w:spacing w:before="0"/>
        <w:rPr>
          <w:b/>
          <w:color w:val="000000" w:themeColor="text1"/>
          <w:sz w:val="22"/>
          <w:szCs w:val="22"/>
        </w:rPr>
      </w:pPr>
    </w:p>
    <w:p w14:paraId="6A5A9B61" w14:textId="1916B395" w:rsidR="00B2716C" w:rsidRPr="005A55CA" w:rsidRDefault="00B2716C" w:rsidP="009B28C0">
      <w:pPr>
        <w:spacing w:before="0"/>
        <w:rPr>
          <w:color w:val="202020"/>
          <w:sz w:val="22"/>
          <w:szCs w:val="22"/>
          <w:shd w:val="clear" w:color="auto" w:fill="FFFFFF"/>
        </w:rPr>
      </w:pPr>
      <w:r w:rsidRPr="005A55CA">
        <w:rPr>
          <w:b/>
          <w:color w:val="000000" w:themeColor="text1"/>
          <w:sz w:val="22"/>
          <w:szCs w:val="22"/>
        </w:rPr>
        <w:t xml:space="preserve">Lõike </w:t>
      </w:r>
      <w:r>
        <w:rPr>
          <w:b/>
          <w:color w:val="000000" w:themeColor="text1"/>
          <w:sz w:val="22"/>
          <w:szCs w:val="22"/>
        </w:rPr>
        <w:t>6</w:t>
      </w:r>
      <w:r w:rsidRPr="005A55CA">
        <w:rPr>
          <w:color w:val="000000" w:themeColor="text1"/>
          <w:sz w:val="22"/>
          <w:szCs w:val="22"/>
        </w:rPr>
        <w:t xml:space="preserve"> järgi peab k</w:t>
      </w:r>
      <w:r w:rsidRPr="005A55CA">
        <w:rPr>
          <w:color w:val="202020"/>
          <w:sz w:val="22"/>
          <w:szCs w:val="22"/>
          <w:shd w:val="clear" w:color="auto" w:fill="FFFFFF"/>
        </w:rPr>
        <w:t xml:space="preserve">rediidipõhise </w:t>
      </w:r>
      <w:proofErr w:type="spellStart"/>
      <w:r w:rsidRPr="005A55CA">
        <w:rPr>
          <w:color w:val="202020"/>
          <w:sz w:val="22"/>
          <w:szCs w:val="22"/>
          <w:shd w:val="clear" w:color="auto" w:fill="FFFFFF"/>
        </w:rPr>
        <w:t>ühisrahastusteenuse</w:t>
      </w:r>
      <w:proofErr w:type="spellEnd"/>
      <w:r w:rsidRPr="005A55CA">
        <w:rPr>
          <w:color w:val="202020"/>
          <w:sz w:val="22"/>
          <w:szCs w:val="22"/>
          <w:shd w:val="clear" w:color="auto" w:fill="FFFFFF"/>
        </w:rPr>
        <w:t xml:space="preserve"> osutaja tarbijale krediidi vahendamisel</w:t>
      </w:r>
      <w:r>
        <w:rPr>
          <w:color w:val="202020"/>
          <w:sz w:val="22"/>
          <w:szCs w:val="22"/>
          <w:shd w:val="clear" w:color="auto" w:fill="FFFFFF"/>
        </w:rPr>
        <w:t xml:space="preserve"> (vt KAVS § 4)</w:t>
      </w:r>
      <w:r w:rsidRPr="005A55CA">
        <w:rPr>
          <w:color w:val="202020"/>
          <w:sz w:val="22"/>
          <w:szCs w:val="22"/>
          <w:shd w:val="clear" w:color="auto" w:fill="FFFFFF"/>
        </w:rPr>
        <w:t xml:space="preserve"> või tarbija</w:t>
      </w:r>
      <w:r>
        <w:rPr>
          <w:color w:val="202020"/>
          <w:sz w:val="22"/>
          <w:szCs w:val="22"/>
          <w:shd w:val="clear" w:color="auto" w:fill="FFFFFF"/>
        </w:rPr>
        <w:t>krediidi</w:t>
      </w:r>
      <w:r w:rsidRPr="005A55CA">
        <w:rPr>
          <w:color w:val="202020"/>
          <w:sz w:val="22"/>
          <w:szCs w:val="22"/>
          <w:shd w:val="clear" w:color="auto" w:fill="FFFFFF"/>
        </w:rPr>
        <w:t>le</w:t>
      </w:r>
      <w:r>
        <w:rPr>
          <w:color w:val="202020"/>
          <w:sz w:val="22"/>
          <w:szCs w:val="22"/>
          <w:shd w:val="clear" w:color="auto" w:fill="FFFFFF"/>
        </w:rPr>
        <w:t>pinguga seotud</w:t>
      </w:r>
      <w:r w:rsidRPr="005A55CA">
        <w:rPr>
          <w:color w:val="202020"/>
          <w:sz w:val="22"/>
          <w:szCs w:val="22"/>
          <w:shd w:val="clear" w:color="auto" w:fill="FFFFFF"/>
        </w:rPr>
        <w:t xml:space="preserve"> nõustamisteenuse</w:t>
      </w:r>
      <w:r>
        <w:rPr>
          <w:color w:val="202020"/>
          <w:sz w:val="22"/>
          <w:szCs w:val="22"/>
          <w:shd w:val="clear" w:color="auto" w:fill="FFFFFF"/>
        </w:rPr>
        <w:t xml:space="preserve"> (vt KAVS §-id 7 ja 51)</w:t>
      </w:r>
      <w:r w:rsidRPr="005A55CA">
        <w:rPr>
          <w:color w:val="202020"/>
          <w:sz w:val="22"/>
          <w:szCs w:val="22"/>
          <w:shd w:val="clear" w:color="auto" w:fill="FFFFFF"/>
        </w:rPr>
        <w:t xml:space="preserve"> osutamisel järgima </w:t>
      </w:r>
      <w:r>
        <w:rPr>
          <w:color w:val="202020"/>
          <w:sz w:val="22"/>
          <w:szCs w:val="22"/>
          <w:shd w:val="clear" w:color="auto" w:fill="FFFFFF"/>
        </w:rPr>
        <w:t>KAVS</w:t>
      </w:r>
      <w:r w:rsidRPr="005A55CA">
        <w:rPr>
          <w:color w:val="202020"/>
          <w:sz w:val="22"/>
          <w:szCs w:val="22"/>
          <w:shd w:val="clear" w:color="auto" w:fill="FFFFFF"/>
        </w:rPr>
        <w:t xml:space="preserve"> §-des 47–53</w:t>
      </w:r>
      <w:r w:rsidRPr="005A55CA">
        <w:rPr>
          <w:color w:val="202020"/>
          <w:sz w:val="22"/>
          <w:szCs w:val="22"/>
          <w:bdr w:val="none" w:sz="0" w:space="0" w:color="auto" w:frame="1"/>
          <w:shd w:val="clear" w:color="auto" w:fill="FFFFFF"/>
          <w:vertAlign w:val="superscript"/>
        </w:rPr>
        <w:t>1</w:t>
      </w:r>
      <w:r w:rsidRPr="005A55CA">
        <w:rPr>
          <w:color w:val="202020"/>
          <w:sz w:val="22"/>
          <w:szCs w:val="22"/>
          <w:shd w:val="clear" w:color="auto" w:fill="FFFFFF"/>
        </w:rPr>
        <w:t xml:space="preserve"> sätestatut. Nimetatud säte põhineb suuresti samasisulisel </w:t>
      </w:r>
      <w:r>
        <w:rPr>
          <w:color w:val="202020"/>
          <w:sz w:val="22"/>
          <w:szCs w:val="22"/>
          <w:shd w:val="clear" w:color="auto" w:fill="FFFFFF"/>
        </w:rPr>
        <w:t>KAS</w:t>
      </w:r>
      <w:r w:rsidRPr="005A55CA">
        <w:rPr>
          <w:color w:val="202020"/>
          <w:sz w:val="22"/>
          <w:szCs w:val="22"/>
          <w:shd w:val="clear" w:color="auto" w:fill="FFFFFF"/>
        </w:rPr>
        <w:t xml:space="preserve"> § 83 lõikel 3</w:t>
      </w:r>
      <w:r w:rsidRPr="005A55CA">
        <w:rPr>
          <w:color w:val="202020"/>
          <w:sz w:val="22"/>
          <w:szCs w:val="22"/>
          <w:shd w:val="clear" w:color="auto" w:fill="FFFFFF"/>
          <w:vertAlign w:val="superscript"/>
        </w:rPr>
        <w:t>1</w:t>
      </w:r>
      <w:r w:rsidRPr="005A55CA">
        <w:rPr>
          <w:color w:val="202020"/>
          <w:sz w:val="22"/>
          <w:szCs w:val="22"/>
          <w:shd w:val="clear" w:color="auto" w:fill="FFFFFF"/>
        </w:rPr>
        <w:t xml:space="preserve"> ning sätte idee on tagada tarbijakrediidi vahendamise puhul samasuguste nõuete järgimine hoolimata sellest, kas teenust osutab krediidiandja, -vahendaja, krediidiasutus või </w:t>
      </w:r>
      <w:proofErr w:type="spellStart"/>
      <w:r w:rsidRPr="005A55CA">
        <w:rPr>
          <w:color w:val="202020"/>
          <w:sz w:val="22"/>
          <w:szCs w:val="22"/>
          <w:shd w:val="clear" w:color="auto" w:fill="FFFFFF"/>
        </w:rPr>
        <w:t>ühisrahastusteenuse</w:t>
      </w:r>
      <w:proofErr w:type="spellEnd"/>
      <w:r w:rsidRPr="005A55CA">
        <w:rPr>
          <w:color w:val="202020"/>
          <w:sz w:val="22"/>
          <w:szCs w:val="22"/>
          <w:shd w:val="clear" w:color="auto" w:fill="FFFFFF"/>
        </w:rPr>
        <w:t xml:space="preserve"> osutaja.</w:t>
      </w:r>
    </w:p>
    <w:p w14:paraId="4FB976A3" w14:textId="42DB05B2" w:rsidR="00B131A8" w:rsidRDefault="00B131A8" w:rsidP="009B28C0">
      <w:pPr>
        <w:spacing w:before="0"/>
        <w:rPr>
          <w:sz w:val="22"/>
          <w:szCs w:val="22"/>
        </w:rPr>
      </w:pPr>
    </w:p>
    <w:p w14:paraId="214EEF57" w14:textId="16F42095" w:rsidR="00B131A8" w:rsidRPr="005A55CA" w:rsidRDefault="002D7A90" w:rsidP="009B28C0">
      <w:pPr>
        <w:spacing w:before="0"/>
        <w:rPr>
          <w:sz w:val="22"/>
          <w:szCs w:val="22"/>
        </w:rPr>
      </w:pPr>
      <w:r w:rsidRPr="002D7A90">
        <w:rPr>
          <w:b/>
          <w:color w:val="000000" w:themeColor="text1"/>
          <w:sz w:val="22"/>
          <w:szCs w:val="22"/>
        </w:rPr>
        <w:t xml:space="preserve">Lõike </w:t>
      </w:r>
      <w:r w:rsidR="00B2716C">
        <w:rPr>
          <w:b/>
          <w:color w:val="000000" w:themeColor="text1"/>
          <w:sz w:val="22"/>
          <w:szCs w:val="22"/>
        </w:rPr>
        <w:t>7</w:t>
      </w:r>
      <w:r>
        <w:rPr>
          <w:color w:val="000000" w:themeColor="text1"/>
          <w:sz w:val="22"/>
          <w:szCs w:val="22"/>
        </w:rPr>
        <w:t xml:space="preserve"> kohaselt </w:t>
      </w:r>
      <w:r w:rsidR="00B131A8" w:rsidRPr="005A55CA">
        <w:rPr>
          <w:sz w:val="22"/>
          <w:szCs w:val="22"/>
        </w:rPr>
        <w:t>ei kohaldata käesolevas seaduses sätestatut</w:t>
      </w:r>
      <w:r w:rsidR="0043066B">
        <w:rPr>
          <w:sz w:val="22"/>
          <w:szCs w:val="22"/>
        </w:rPr>
        <w:t xml:space="preserve"> </w:t>
      </w:r>
      <w:r w:rsidR="0043066B" w:rsidRPr="005A55CA">
        <w:rPr>
          <w:sz w:val="22"/>
          <w:szCs w:val="22"/>
        </w:rPr>
        <w:t>füüsilisest isikust rahastuse taotleja suhtes</w:t>
      </w:r>
      <w:r w:rsidR="0043066B">
        <w:rPr>
          <w:sz w:val="22"/>
          <w:szCs w:val="22"/>
        </w:rPr>
        <w:t>, kes taotleb</w:t>
      </w:r>
      <w:r w:rsidR="0043066B" w:rsidRPr="005A55CA">
        <w:rPr>
          <w:sz w:val="22"/>
          <w:szCs w:val="22"/>
        </w:rPr>
        <w:t xml:space="preserve"> </w:t>
      </w:r>
      <w:proofErr w:type="spellStart"/>
      <w:r w:rsidR="0043066B" w:rsidRPr="005A55CA">
        <w:rPr>
          <w:sz w:val="22"/>
          <w:szCs w:val="22"/>
        </w:rPr>
        <w:t>tarbijakrediidi</w:t>
      </w:r>
      <w:r w:rsidR="0043066B">
        <w:rPr>
          <w:sz w:val="22"/>
          <w:szCs w:val="22"/>
        </w:rPr>
        <w:t>ti</w:t>
      </w:r>
      <w:proofErr w:type="spellEnd"/>
      <w:r w:rsidR="00B131A8" w:rsidRPr="005A55CA">
        <w:rPr>
          <w:sz w:val="22"/>
          <w:szCs w:val="22"/>
        </w:rPr>
        <w:t xml:space="preserve">. Välistuse eesmärk on mitte kohustada füüsilist isikut, kes tarbijakrediidi näol taotleb eelduslikult rahastust väikses mahus </w:t>
      </w:r>
      <w:r w:rsidR="00C750C4">
        <w:rPr>
          <w:sz w:val="22"/>
          <w:szCs w:val="22"/>
        </w:rPr>
        <w:t>ja</w:t>
      </w:r>
      <w:r w:rsidR="00B131A8" w:rsidRPr="005A55CA">
        <w:rPr>
          <w:sz w:val="22"/>
          <w:szCs w:val="22"/>
        </w:rPr>
        <w:t xml:space="preserve"> enda tarbeks, järgima käesolevas seaduses sätestatud nõudeid, mis tavapäraselt rahastuse taotlemisega kaasnevad (sh põhiteabedokumendi avalikustamine). Samas tasub märkida, et juhul, kui füüsiline isik taotleb tarbijakrediiti, siis kohaldatakse sellisele rahastuse taotlemisele siiski asjakohaseid tsiviilõigussuhteid reguleerivaid õigusakte</w:t>
      </w:r>
      <w:r w:rsidR="00E977AB">
        <w:rPr>
          <w:sz w:val="22"/>
          <w:szCs w:val="22"/>
        </w:rPr>
        <w:t xml:space="preserve">, sh ka </w:t>
      </w:r>
      <w:proofErr w:type="spellStart"/>
      <w:r w:rsidR="00E977AB">
        <w:rPr>
          <w:sz w:val="22"/>
          <w:szCs w:val="22"/>
        </w:rPr>
        <w:t>KAVSi</w:t>
      </w:r>
      <w:proofErr w:type="spellEnd"/>
      <w:r w:rsidR="00E977AB">
        <w:rPr>
          <w:sz w:val="22"/>
          <w:szCs w:val="22"/>
        </w:rPr>
        <w:t xml:space="preserve"> ajaomaseid sätteid</w:t>
      </w:r>
      <w:r w:rsidR="00B131A8" w:rsidRPr="005A55CA">
        <w:rPr>
          <w:sz w:val="22"/>
          <w:szCs w:val="22"/>
        </w:rPr>
        <w:t>.</w:t>
      </w:r>
      <w:r w:rsidR="00527EFB">
        <w:rPr>
          <w:sz w:val="22"/>
          <w:szCs w:val="22"/>
        </w:rPr>
        <w:t xml:space="preserve"> </w:t>
      </w:r>
    </w:p>
    <w:p w14:paraId="2E198E1C" w14:textId="77777777" w:rsidR="00BB2326" w:rsidRPr="005A55CA" w:rsidRDefault="00BB2326" w:rsidP="009B28C0">
      <w:pPr>
        <w:spacing w:before="0"/>
        <w:rPr>
          <w:b/>
          <w:sz w:val="22"/>
          <w:szCs w:val="22"/>
        </w:rPr>
      </w:pPr>
    </w:p>
    <w:p w14:paraId="0D1D3C9F" w14:textId="4B1C4814" w:rsidR="00FB7F0A" w:rsidRPr="005A55CA" w:rsidRDefault="00FC3912" w:rsidP="009B28C0">
      <w:pPr>
        <w:spacing w:before="0"/>
        <w:rPr>
          <w:sz w:val="22"/>
          <w:szCs w:val="22"/>
        </w:rPr>
      </w:pPr>
      <w:r w:rsidRPr="005A55CA">
        <w:rPr>
          <w:b/>
          <w:sz w:val="22"/>
          <w:szCs w:val="22"/>
        </w:rPr>
        <w:t xml:space="preserve">Lõike </w:t>
      </w:r>
      <w:r w:rsidR="00B2716C">
        <w:rPr>
          <w:b/>
          <w:sz w:val="22"/>
          <w:szCs w:val="22"/>
        </w:rPr>
        <w:t>8</w:t>
      </w:r>
      <w:r w:rsidRPr="005A55CA">
        <w:rPr>
          <w:sz w:val="22"/>
          <w:szCs w:val="22"/>
        </w:rPr>
        <w:t xml:space="preserve"> kohaselt </w:t>
      </w:r>
      <w:r w:rsidRPr="00E977AB">
        <w:rPr>
          <w:sz w:val="22"/>
          <w:szCs w:val="22"/>
        </w:rPr>
        <w:t xml:space="preserve">on seaduse kohaldamisalast välistatud </w:t>
      </w:r>
      <w:r w:rsidR="00D939A0">
        <w:rPr>
          <w:sz w:val="22"/>
          <w:szCs w:val="22"/>
        </w:rPr>
        <w:t xml:space="preserve">sellised </w:t>
      </w:r>
      <w:r w:rsidR="009B63E1" w:rsidRPr="00D939A0">
        <w:rPr>
          <w:sz w:val="22"/>
          <w:szCs w:val="22"/>
        </w:rPr>
        <w:t>rahastuse taotlemised</w:t>
      </w:r>
      <w:r w:rsidR="00D939A0" w:rsidRPr="00D939A0">
        <w:rPr>
          <w:sz w:val="22"/>
          <w:szCs w:val="22"/>
        </w:rPr>
        <w:t xml:space="preserve">, millega </w:t>
      </w:r>
      <w:r w:rsidRPr="00E977AB">
        <w:rPr>
          <w:sz w:val="22"/>
          <w:szCs w:val="22"/>
        </w:rPr>
        <w:t>ei kaasne ega pidanudki kaasnema rahastuse taotleja poolset vastusooritust</w:t>
      </w:r>
      <w:r w:rsidR="00686F05">
        <w:rPr>
          <w:sz w:val="22"/>
          <w:szCs w:val="22"/>
        </w:rPr>
        <w:t xml:space="preserve"> või muud varaliselt hinnatavat hüve</w:t>
      </w:r>
      <w:r w:rsidRPr="00E977AB">
        <w:rPr>
          <w:sz w:val="22"/>
          <w:szCs w:val="22"/>
        </w:rPr>
        <w:t xml:space="preserve">, </w:t>
      </w:r>
      <w:r w:rsidR="00D939A0">
        <w:rPr>
          <w:sz w:val="22"/>
          <w:szCs w:val="22"/>
        </w:rPr>
        <w:t xml:space="preserve">või kus isik saab vastu üksnes mitterahalist hüvitist, </w:t>
      </w:r>
      <w:r w:rsidRPr="00E977AB">
        <w:rPr>
          <w:sz w:val="22"/>
          <w:szCs w:val="22"/>
        </w:rPr>
        <w:t xml:space="preserve">kui seaduses ei ole sätestatud teisiti. </w:t>
      </w:r>
      <w:r w:rsidR="00FB7F0A" w:rsidRPr="00E977AB">
        <w:rPr>
          <w:sz w:val="22"/>
          <w:szCs w:val="22"/>
        </w:rPr>
        <w:t>Nimetatud lõike eesmärk on välis</w:t>
      </w:r>
      <w:r w:rsidR="0069311E" w:rsidRPr="00E977AB">
        <w:rPr>
          <w:sz w:val="22"/>
          <w:szCs w:val="22"/>
        </w:rPr>
        <w:t>tada</w:t>
      </w:r>
      <w:r w:rsidR="0069311E" w:rsidRPr="005A55CA">
        <w:rPr>
          <w:sz w:val="22"/>
          <w:szCs w:val="22"/>
        </w:rPr>
        <w:t xml:space="preserve"> seaduse kohaldumisalast</w:t>
      </w:r>
      <w:r w:rsidR="00FB7F0A" w:rsidRPr="005A55CA">
        <w:rPr>
          <w:sz w:val="22"/>
          <w:szCs w:val="22"/>
        </w:rPr>
        <w:t xml:space="preserve"> mittetulunduslikud ja heategevusliku eesmärgiga </w:t>
      </w:r>
      <w:r w:rsidR="009B63E1">
        <w:rPr>
          <w:sz w:val="22"/>
          <w:szCs w:val="22"/>
        </w:rPr>
        <w:t xml:space="preserve"> </w:t>
      </w:r>
      <w:r w:rsidR="00FB7F0A" w:rsidRPr="005A55CA">
        <w:rPr>
          <w:sz w:val="22"/>
          <w:szCs w:val="22"/>
        </w:rPr>
        <w:t>rahastus</w:t>
      </w:r>
      <w:r w:rsidR="009B63E1">
        <w:rPr>
          <w:sz w:val="22"/>
          <w:szCs w:val="22"/>
        </w:rPr>
        <w:t xml:space="preserve">e taotlemise </w:t>
      </w:r>
      <w:r w:rsidR="00FB7F0A" w:rsidRPr="005A55CA">
        <w:rPr>
          <w:sz w:val="22"/>
          <w:szCs w:val="22"/>
        </w:rPr>
        <w:t xml:space="preserve">projektid; samuti sellised ettevõtmised, mille puhul on selgelt </w:t>
      </w:r>
      <w:r w:rsidR="003E7188" w:rsidRPr="005A55CA">
        <w:rPr>
          <w:sz w:val="22"/>
          <w:szCs w:val="22"/>
        </w:rPr>
        <w:t xml:space="preserve">enne </w:t>
      </w:r>
      <w:r w:rsidR="0069311E" w:rsidRPr="005A55CA">
        <w:rPr>
          <w:sz w:val="22"/>
          <w:szCs w:val="22"/>
        </w:rPr>
        <w:t xml:space="preserve">kliendi poolset </w:t>
      </w:r>
      <w:r w:rsidR="003E7188" w:rsidRPr="005A55CA">
        <w:rPr>
          <w:sz w:val="22"/>
          <w:szCs w:val="22"/>
        </w:rPr>
        <w:t xml:space="preserve">kapitali panustamist </w:t>
      </w:r>
      <w:r w:rsidR="0069311E" w:rsidRPr="005A55CA">
        <w:rPr>
          <w:sz w:val="22"/>
          <w:szCs w:val="22"/>
        </w:rPr>
        <w:t xml:space="preserve">temale </w:t>
      </w:r>
      <w:r w:rsidR="00FB7F0A" w:rsidRPr="005A55CA">
        <w:rPr>
          <w:sz w:val="22"/>
          <w:szCs w:val="22"/>
        </w:rPr>
        <w:t xml:space="preserve">kommunikeeritud, et </w:t>
      </w:r>
      <w:r w:rsidR="0069311E" w:rsidRPr="005A55CA">
        <w:rPr>
          <w:sz w:val="22"/>
          <w:szCs w:val="22"/>
        </w:rPr>
        <w:t>üleantud</w:t>
      </w:r>
      <w:r w:rsidR="00FB7F0A" w:rsidRPr="005A55CA">
        <w:rPr>
          <w:sz w:val="22"/>
          <w:szCs w:val="22"/>
        </w:rPr>
        <w:t xml:space="preserve"> kapitali ei tagastata</w:t>
      </w:r>
      <w:r w:rsidR="0069311E" w:rsidRPr="005A55CA">
        <w:rPr>
          <w:sz w:val="22"/>
          <w:szCs w:val="22"/>
        </w:rPr>
        <w:t xml:space="preserve"> või </w:t>
      </w:r>
      <w:r w:rsidR="00FB7F0A" w:rsidRPr="005A55CA">
        <w:rPr>
          <w:sz w:val="22"/>
          <w:szCs w:val="22"/>
        </w:rPr>
        <w:t xml:space="preserve">oma panustatud kapitali eest </w:t>
      </w:r>
      <w:r w:rsidR="0069311E" w:rsidRPr="005A55CA">
        <w:rPr>
          <w:sz w:val="22"/>
          <w:szCs w:val="22"/>
        </w:rPr>
        <w:t xml:space="preserve">ei pakuta </w:t>
      </w:r>
      <w:r w:rsidR="003E7188" w:rsidRPr="005A55CA">
        <w:rPr>
          <w:sz w:val="22"/>
          <w:szCs w:val="22"/>
        </w:rPr>
        <w:t xml:space="preserve">vastutasuks </w:t>
      </w:r>
      <w:r w:rsidR="00FB7F0A" w:rsidRPr="005A55CA">
        <w:rPr>
          <w:sz w:val="22"/>
          <w:szCs w:val="22"/>
        </w:rPr>
        <w:t xml:space="preserve">asju, õiguseid või muid hüvesid. </w:t>
      </w:r>
    </w:p>
    <w:p w14:paraId="3FDE8CB6" w14:textId="77777777" w:rsidR="004466B0" w:rsidRDefault="004466B0" w:rsidP="009B28C0">
      <w:pPr>
        <w:spacing w:before="0"/>
        <w:rPr>
          <w:b/>
          <w:sz w:val="22"/>
          <w:szCs w:val="22"/>
        </w:rPr>
      </w:pPr>
    </w:p>
    <w:p w14:paraId="1B76C523" w14:textId="17061081" w:rsidR="003E7188" w:rsidRPr="005A55CA" w:rsidRDefault="003E7188" w:rsidP="009B28C0">
      <w:pPr>
        <w:spacing w:before="0"/>
        <w:rPr>
          <w:sz w:val="22"/>
          <w:szCs w:val="22"/>
        </w:rPr>
      </w:pPr>
      <w:r w:rsidRPr="005A55CA">
        <w:rPr>
          <w:b/>
          <w:sz w:val="22"/>
          <w:szCs w:val="22"/>
        </w:rPr>
        <w:t xml:space="preserve">Lõike </w:t>
      </w:r>
      <w:r w:rsidR="00B2716C">
        <w:rPr>
          <w:b/>
          <w:sz w:val="22"/>
          <w:szCs w:val="22"/>
        </w:rPr>
        <w:t>9</w:t>
      </w:r>
      <w:r w:rsidRPr="005A55CA">
        <w:rPr>
          <w:sz w:val="22"/>
          <w:szCs w:val="22"/>
        </w:rPr>
        <w:t xml:space="preserve"> järgi ei kohald</w:t>
      </w:r>
      <w:r w:rsidR="00E7610F" w:rsidRPr="005A55CA">
        <w:rPr>
          <w:sz w:val="22"/>
          <w:szCs w:val="22"/>
        </w:rPr>
        <w:t>ata</w:t>
      </w:r>
      <w:r w:rsidRPr="005A55CA">
        <w:rPr>
          <w:sz w:val="22"/>
          <w:szCs w:val="22"/>
        </w:rPr>
        <w:t xml:space="preserve"> </w:t>
      </w:r>
      <w:r w:rsidR="001A38AF" w:rsidRPr="005A55CA">
        <w:rPr>
          <w:sz w:val="22"/>
          <w:szCs w:val="22"/>
        </w:rPr>
        <w:t>seadust</w:t>
      </w:r>
      <w:r w:rsidRPr="005A55CA">
        <w:rPr>
          <w:sz w:val="22"/>
          <w:szCs w:val="22"/>
        </w:rPr>
        <w:t xml:space="preserve"> finantsinstrumentidele ja –teenustele, mille kohta käiv on reguleeritud teistes finantsjärelevalvesubjektide kohta käivates eriseadustes, sealhulgas</w:t>
      </w:r>
      <w:r w:rsidR="00E7610F" w:rsidRPr="005A55CA">
        <w:rPr>
          <w:sz w:val="22"/>
          <w:szCs w:val="22"/>
        </w:rPr>
        <w:t xml:space="preserve"> ei kohaldata seadust järgmistele teenustele ja finantsinstrumentidele</w:t>
      </w:r>
      <w:r w:rsidRPr="005A55CA">
        <w:rPr>
          <w:sz w:val="22"/>
          <w:szCs w:val="22"/>
        </w:rPr>
        <w:t xml:space="preserve">: </w:t>
      </w:r>
    </w:p>
    <w:p w14:paraId="5EFCB7B4" w14:textId="4B4FCB96" w:rsidR="003E7188" w:rsidRPr="005A55CA" w:rsidRDefault="003E7188" w:rsidP="00892BC1">
      <w:pPr>
        <w:numPr>
          <w:ilvl w:val="0"/>
          <w:numId w:val="10"/>
        </w:numPr>
        <w:spacing w:before="0"/>
        <w:ind w:left="425" w:hanging="425"/>
        <w:rPr>
          <w:sz w:val="22"/>
          <w:szCs w:val="22"/>
        </w:rPr>
      </w:pPr>
      <w:r w:rsidRPr="005A55CA">
        <w:rPr>
          <w:sz w:val="22"/>
          <w:szCs w:val="22"/>
        </w:rPr>
        <w:t>väärtpaberitele, mille emiteerimine, registreerimine ja tehingute tegemine on reguleeritud väärtpaberituru seaduse</w:t>
      </w:r>
      <w:r w:rsidR="005E598E">
        <w:rPr>
          <w:sz w:val="22"/>
          <w:szCs w:val="22"/>
        </w:rPr>
        <w:t>s</w:t>
      </w:r>
      <w:r w:rsidR="00933B06">
        <w:rPr>
          <w:sz w:val="22"/>
          <w:szCs w:val="22"/>
        </w:rPr>
        <w:t xml:space="preserve"> (</w:t>
      </w:r>
      <w:r w:rsidR="004C1EFB">
        <w:rPr>
          <w:sz w:val="22"/>
          <w:szCs w:val="22"/>
        </w:rPr>
        <w:t xml:space="preserve">vt ka EL </w:t>
      </w:r>
      <w:proofErr w:type="spellStart"/>
      <w:r w:rsidR="004C1EFB">
        <w:rPr>
          <w:sz w:val="22"/>
          <w:szCs w:val="22"/>
        </w:rPr>
        <w:t>ühisrahastusmääruse</w:t>
      </w:r>
      <w:proofErr w:type="spellEnd"/>
      <w:r w:rsidR="004C1EFB">
        <w:rPr>
          <w:sz w:val="22"/>
          <w:szCs w:val="22"/>
        </w:rPr>
        <w:t xml:space="preserve"> artikkel 1 lõike 2 punkt b</w:t>
      </w:r>
      <w:r w:rsidR="00933B06">
        <w:rPr>
          <w:sz w:val="22"/>
          <w:szCs w:val="22"/>
        </w:rPr>
        <w:t>)</w:t>
      </w:r>
      <w:r w:rsidRPr="005A55CA">
        <w:rPr>
          <w:sz w:val="22"/>
          <w:szCs w:val="22"/>
        </w:rPr>
        <w:t>;</w:t>
      </w:r>
    </w:p>
    <w:p w14:paraId="0E56981E" w14:textId="7F63F48D" w:rsidR="00782B4C" w:rsidRPr="005A55CA" w:rsidRDefault="00782B4C" w:rsidP="00892BC1">
      <w:pPr>
        <w:numPr>
          <w:ilvl w:val="0"/>
          <w:numId w:val="10"/>
        </w:numPr>
        <w:spacing w:before="0"/>
        <w:ind w:left="425" w:hanging="425"/>
        <w:rPr>
          <w:sz w:val="22"/>
          <w:szCs w:val="22"/>
        </w:rPr>
      </w:pPr>
      <w:r w:rsidRPr="005A55CA">
        <w:rPr>
          <w:sz w:val="22"/>
          <w:szCs w:val="22"/>
        </w:rPr>
        <w:t>investeerimisteenuste</w:t>
      </w:r>
      <w:r w:rsidR="005E598E">
        <w:rPr>
          <w:sz w:val="22"/>
          <w:szCs w:val="22"/>
        </w:rPr>
        <w:t xml:space="preserve"> osutamise</w:t>
      </w:r>
      <w:r w:rsidRPr="005A55CA">
        <w:rPr>
          <w:sz w:val="22"/>
          <w:szCs w:val="22"/>
        </w:rPr>
        <w:t>le väärtpaberituru seaduse § 43 ja § 44 mõistes;</w:t>
      </w:r>
    </w:p>
    <w:p w14:paraId="7882DFDB" w14:textId="1BA2D602" w:rsidR="003E7188" w:rsidRPr="005A55CA" w:rsidRDefault="003E7188" w:rsidP="00892BC1">
      <w:pPr>
        <w:numPr>
          <w:ilvl w:val="0"/>
          <w:numId w:val="10"/>
        </w:numPr>
        <w:spacing w:before="0"/>
        <w:ind w:left="425" w:hanging="425"/>
        <w:rPr>
          <w:sz w:val="22"/>
          <w:szCs w:val="22"/>
        </w:rPr>
      </w:pPr>
      <w:r w:rsidRPr="005A55CA">
        <w:rPr>
          <w:sz w:val="22"/>
          <w:szCs w:val="22"/>
        </w:rPr>
        <w:t xml:space="preserve">investeerimisriskiga elukindlustuslepingutele kindlustustegevuse seaduse § 222 </w:t>
      </w:r>
      <w:r w:rsidR="005E598E">
        <w:rPr>
          <w:sz w:val="22"/>
          <w:szCs w:val="22"/>
        </w:rPr>
        <w:t xml:space="preserve">lõike 1 </w:t>
      </w:r>
      <w:r w:rsidRPr="005A55CA">
        <w:rPr>
          <w:sz w:val="22"/>
          <w:szCs w:val="22"/>
        </w:rPr>
        <w:t>mõistes;</w:t>
      </w:r>
    </w:p>
    <w:p w14:paraId="3011AEF9" w14:textId="2B1584E9" w:rsidR="003E7188" w:rsidRPr="005A55CA" w:rsidRDefault="00E977AB" w:rsidP="00892BC1">
      <w:pPr>
        <w:numPr>
          <w:ilvl w:val="0"/>
          <w:numId w:val="10"/>
        </w:numPr>
        <w:spacing w:before="0"/>
        <w:ind w:left="425" w:hanging="425"/>
        <w:rPr>
          <w:sz w:val="22"/>
          <w:szCs w:val="22"/>
        </w:rPr>
      </w:pPr>
      <w:r>
        <w:rPr>
          <w:sz w:val="22"/>
          <w:szCs w:val="22"/>
        </w:rPr>
        <w:t xml:space="preserve">investeerimisriskiga </w:t>
      </w:r>
      <w:r w:rsidR="003E7188" w:rsidRPr="005A55CA">
        <w:rPr>
          <w:sz w:val="22"/>
          <w:szCs w:val="22"/>
        </w:rPr>
        <w:t>pensionileping</w:t>
      </w:r>
      <w:r>
        <w:rPr>
          <w:sz w:val="22"/>
          <w:szCs w:val="22"/>
        </w:rPr>
        <w:t>utele</w:t>
      </w:r>
      <w:r w:rsidR="003E7188" w:rsidRPr="005A55CA">
        <w:rPr>
          <w:sz w:val="22"/>
          <w:szCs w:val="22"/>
        </w:rPr>
        <w:t xml:space="preserve"> kogumispensionide seaduse § </w:t>
      </w:r>
      <w:r w:rsidR="009F4953" w:rsidRPr="005A55CA">
        <w:rPr>
          <w:sz w:val="22"/>
          <w:szCs w:val="22"/>
        </w:rPr>
        <w:t>4</w:t>
      </w:r>
      <w:r w:rsidR="005E598E">
        <w:rPr>
          <w:sz w:val="22"/>
          <w:szCs w:val="22"/>
        </w:rPr>
        <w:t>6</w:t>
      </w:r>
      <w:r w:rsidR="005E598E">
        <w:rPr>
          <w:sz w:val="22"/>
          <w:szCs w:val="22"/>
          <w:vertAlign w:val="superscript"/>
        </w:rPr>
        <w:t>1</w:t>
      </w:r>
      <w:r w:rsidR="003E7188" w:rsidRPr="005A55CA">
        <w:rPr>
          <w:sz w:val="22"/>
          <w:szCs w:val="22"/>
        </w:rPr>
        <w:t xml:space="preserve"> mõistes;</w:t>
      </w:r>
    </w:p>
    <w:p w14:paraId="466D2074" w14:textId="3808CA8A" w:rsidR="003E7188" w:rsidRPr="005A55CA" w:rsidRDefault="009F4953" w:rsidP="00892BC1">
      <w:pPr>
        <w:numPr>
          <w:ilvl w:val="0"/>
          <w:numId w:val="10"/>
        </w:numPr>
        <w:spacing w:before="0"/>
        <w:ind w:left="425" w:hanging="425"/>
        <w:rPr>
          <w:sz w:val="22"/>
          <w:szCs w:val="22"/>
        </w:rPr>
      </w:pPr>
      <w:r w:rsidRPr="005A55CA">
        <w:rPr>
          <w:sz w:val="22"/>
          <w:szCs w:val="22"/>
        </w:rPr>
        <w:t xml:space="preserve">investeerimisriski sisaldavate </w:t>
      </w:r>
      <w:r w:rsidR="003E7188" w:rsidRPr="005A55CA">
        <w:rPr>
          <w:sz w:val="22"/>
          <w:szCs w:val="22"/>
        </w:rPr>
        <w:t>krediidiasutuste hoiustele krediid</w:t>
      </w:r>
      <w:r w:rsidR="00782B4C" w:rsidRPr="005A55CA">
        <w:rPr>
          <w:sz w:val="22"/>
          <w:szCs w:val="22"/>
        </w:rPr>
        <w:t xml:space="preserve">iasutuste seaduse § </w:t>
      </w:r>
      <w:r w:rsidRPr="005A55CA">
        <w:rPr>
          <w:sz w:val="22"/>
          <w:szCs w:val="22"/>
        </w:rPr>
        <w:t>89</w:t>
      </w:r>
      <w:r w:rsidRPr="005A55CA">
        <w:rPr>
          <w:sz w:val="22"/>
          <w:szCs w:val="22"/>
          <w:vertAlign w:val="superscript"/>
        </w:rPr>
        <w:t>1</w:t>
      </w:r>
      <w:r w:rsidR="00782B4C" w:rsidRPr="005A55CA">
        <w:rPr>
          <w:sz w:val="22"/>
          <w:szCs w:val="22"/>
        </w:rPr>
        <w:t xml:space="preserve"> </w:t>
      </w:r>
      <w:r w:rsidR="00B2716C">
        <w:rPr>
          <w:sz w:val="22"/>
          <w:szCs w:val="22"/>
        </w:rPr>
        <w:t>lõike 2 tähenduses</w:t>
      </w:r>
      <w:r w:rsidR="00782B4C" w:rsidRPr="005A55CA">
        <w:rPr>
          <w:sz w:val="22"/>
          <w:szCs w:val="22"/>
        </w:rPr>
        <w:t>.</w:t>
      </w:r>
    </w:p>
    <w:p w14:paraId="4D68864A" w14:textId="2C373BAE" w:rsidR="00782B4C" w:rsidRPr="005A55CA" w:rsidRDefault="001A38AF" w:rsidP="00892BC1">
      <w:pPr>
        <w:spacing w:before="0"/>
        <w:rPr>
          <w:sz w:val="22"/>
          <w:szCs w:val="22"/>
        </w:rPr>
      </w:pPr>
      <w:r w:rsidRPr="005A55CA">
        <w:rPr>
          <w:sz w:val="22"/>
          <w:szCs w:val="22"/>
        </w:rPr>
        <w:t xml:space="preserve">Eeltoodud erandite eesmärk on välistada olukorrad, kus võib tekkida normide konkurents </w:t>
      </w:r>
      <w:r w:rsidR="00E977AB">
        <w:rPr>
          <w:sz w:val="22"/>
          <w:szCs w:val="22"/>
        </w:rPr>
        <w:t xml:space="preserve">ning anda õiguskindlus </w:t>
      </w:r>
      <w:r w:rsidRPr="005A55CA">
        <w:rPr>
          <w:sz w:val="22"/>
          <w:szCs w:val="22"/>
        </w:rPr>
        <w:t xml:space="preserve">instrumentide ja teenuste puhul, mille kohta on olemas kehtivad eriseadused ja –normid. </w:t>
      </w:r>
      <w:r w:rsidR="00B2716C">
        <w:rPr>
          <w:sz w:val="22"/>
          <w:szCs w:val="22"/>
        </w:rPr>
        <w:t>Loetelu punktide järjestus tuleneb sellest, et käesoleva seaduse kohaldamisalasse kuuluvaid teenuseid arvestades on mujal seadustes reguleeritud kõige sarnasemad teenused järjestatud esimeses järjekorras.</w:t>
      </w:r>
    </w:p>
    <w:p w14:paraId="47ACB7E0" w14:textId="565020C1" w:rsidR="00321EE6" w:rsidRPr="005A55CA" w:rsidRDefault="00321EE6" w:rsidP="00892BC1">
      <w:pPr>
        <w:spacing w:before="0"/>
        <w:rPr>
          <w:sz w:val="22"/>
          <w:szCs w:val="22"/>
        </w:rPr>
      </w:pPr>
    </w:p>
    <w:p w14:paraId="5B057623" w14:textId="54B17513" w:rsidR="00321EE6" w:rsidRPr="005A55CA" w:rsidRDefault="00321EE6" w:rsidP="00892BC1">
      <w:pPr>
        <w:spacing w:before="0"/>
        <w:rPr>
          <w:sz w:val="22"/>
          <w:szCs w:val="22"/>
        </w:rPr>
      </w:pPr>
      <w:r w:rsidRPr="005A55CA">
        <w:rPr>
          <w:b/>
          <w:sz w:val="22"/>
          <w:szCs w:val="22"/>
        </w:rPr>
        <w:t xml:space="preserve">Lõike </w:t>
      </w:r>
      <w:r w:rsidR="00B2716C">
        <w:rPr>
          <w:b/>
          <w:sz w:val="22"/>
          <w:szCs w:val="22"/>
        </w:rPr>
        <w:t>10</w:t>
      </w:r>
      <w:r w:rsidRPr="005A55CA">
        <w:rPr>
          <w:sz w:val="22"/>
          <w:szCs w:val="22"/>
        </w:rPr>
        <w:t xml:space="preserve"> järgi ei </w:t>
      </w:r>
      <w:r w:rsidR="001A38AF" w:rsidRPr="005A55CA">
        <w:rPr>
          <w:sz w:val="22"/>
          <w:szCs w:val="22"/>
        </w:rPr>
        <w:t xml:space="preserve">käsitata hoiuse ega muu tagasimakstava vahendina </w:t>
      </w:r>
      <w:r w:rsidR="00FC3912">
        <w:rPr>
          <w:sz w:val="22"/>
          <w:szCs w:val="22"/>
        </w:rPr>
        <w:t>KAS</w:t>
      </w:r>
      <w:r w:rsidR="001A38AF" w:rsidRPr="005A55CA">
        <w:rPr>
          <w:sz w:val="22"/>
          <w:szCs w:val="22"/>
        </w:rPr>
        <w:t xml:space="preserve"> § 4 tähenduses selliseid rahalisi või muid vahendeid, mille teenuseosutaja on saanud oma klientidelt investeeringute tegemise, edasilaenamise või tagasimaksmise eesmärgil. </w:t>
      </w:r>
      <w:r w:rsidR="0089310F" w:rsidRPr="005A55CA">
        <w:rPr>
          <w:sz w:val="22"/>
          <w:szCs w:val="22"/>
        </w:rPr>
        <w:t xml:space="preserve">Sellega seoses on oluline märkida, et teenuseosutajal, </w:t>
      </w:r>
      <w:r w:rsidR="0089310F" w:rsidRPr="005A55CA">
        <w:rPr>
          <w:sz w:val="22"/>
          <w:szCs w:val="22"/>
        </w:rPr>
        <w:lastRenderedPageBreak/>
        <w:t xml:space="preserve">sarnaselt teiste finantseerimisasutustega ning ettevõtjatega, kes ei ole krediidiasutused, ei ole lubatud avalikkuselt vastu võtta hoiuseid ja muid taolisi tagasimakstavaid rahalisi vahendeid (vt ka KAS § 4 lg 1). Teenuseosutaja võib enda </w:t>
      </w:r>
      <w:r w:rsidR="003B55F2" w:rsidRPr="005A55CA">
        <w:rPr>
          <w:sz w:val="22"/>
          <w:szCs w:val="22"/>
        </w:rPr>
        <w:t xml:space="preserve">makse- või muule kontole kogutavat </w:t>
      </w:r>
      <w:r w:rsidR="00BD5E7F">
        <w:rPr>
          <w:sz w:val="22"/>
          <w:szCs w:val="22"/>
        </w:rPr>
        <w:t>kliendi</w:t>
      </w:r>
      <w:r w:rsidR="003B55F2" w:rsidRPr="005A55CA">
        <w:rPr>
          <w:sz w:val="22"/>
          <w:szCs w:val="22"/>
        </w:rPr>
        <w:t xml:space="preserve"> raha või rahalisi vahendeid k</w:t>
      </w:r>
      <w:r w:rsidR="0089310F" w:rsidRPr="005A55CA">
        <w:rPr>
          <w:sz w:val="22"/>
          <w:szCs w:val="22"/>
        </w:rPr>
        <w:t xml:space="preserve">asutada üksnes </w:t>
      </w:r>
      <w:r w:rsidR="00BD5E7F">
        <w:rPr>
          <w:sz w:val="22"/>
          <w:szCs w:val="22"/>
        </w:rPr>
        <w:t>kliendi</w:t>
      </w:r>
      <w:r w:rsidR="003B55F2" w:rsidRPr="005A55CA">
        <w:rPr>
          <w:sz w:val="22"/>
          <w:szCs w:val="22"/>
        </w:rPr>
        <w:t xml:space="preserve"> korralduse</w:t>
      </w:r>
      <w:r w:rsidR="0089310F" w:rsidRPr="005A55CA">
        <w:rPr>
          <w:sz w:val="22"/>
          <w:szCs w:val="22"/>
        </w:rPr>
        <w:t xml:space="preserve"> täitmiseks</w:t>
      </w:r>
      <w:r w:rsidR="003B55F2" w:rsidRPr="005A55CA">
        <w:rPr>
          <w:sz w:val="22"/>
          <w:szCs w:val="22"/>
        </w:rPr>
        <w:t xml:space="preserve"> (vara lahususe kohta vt ka </w:t>
      </w:r>
      <w:r w:rsidR="00FC3912">
        <w:rPr>
          <w:sz w:val="22"/>
          <w:szCs w:val="22"/>
        </w:rPr>
        <w:t>eelnõu</w:t>
      </w:r>
      <w:r w:rsidR="003B55F2" w:rsidRPr="005A55CA">
        <w:rPr>
          <w:sz w:val="22"/>
          <w:szCs w:val="22"/>
        </w:rPr>
        <w:t xml:space="preserve"> </w:t>
      </w:r>
      <w:r w:rsidR="003B55F2" w:rsidRPr="00EB5AEA">
        <w:rPr>
          <w:sz w:val="22"/>
          <w:szCs w:val="22"/>
        </w:rPr>
        <w:t xml:space="preserve">§ </w:t>
      </w:r>
      <w:r w:rsidR="00EB5AEA" w:rsidRPr="00EB5AEA">
        <w:rPr>
          <w:sz w:val="22"/>
          <w:szCs w:val="22"/>
        </w:rPr>
        <w:t>74</w:t>
      </w:r>
      <w:r w:rsidR="003B55F2" w:rsidRPr="005A55CA">
        <w:rPr>
          <w:sz w:val="22"/>
          <w:szCs w:val="22"/>
        </w:rPr>
        <w:t xml:space="preserve"> selgitusi)</w:t>
      </w:r>
      <w:r w:rsidR="0089310F" w:rsidRPr="005A55CA">
        <w:rPr>
          <w:sz w:val="22"/>
          <w:szCs w:val="22"/>
        </w:rPr>
        <w:t>.</w:t>
      </w:r>
    </w:p>
    <w:p w14:paraId="6D4D58F3" w14:textId="77777777" w:rsidR="00510614" w:rsidRPr="005A55CA" w:rsidRDefault="00510614" w:rsidP="00892BC1">
      <w:pPr>
        <w:spacing w:before="0"/>
        <w:rPr>
          <w:sz w:val="22"/>
          <w:szCs w:val="22"/>
        </w:rPr>
      </w:pPr>
    </w:p>
    <w:p w14:paraId="729A5B73" w14:textId="1B82A335" w:rsidR="00673173" w:rsidRDefault="00673173" w:rsidP="00892BC1">
      <w:pPr>
        <w:autoSpaceDE w:val="0"/>
        <w:autoSpaceDN w:val="0"/>
        <w:adjustRightInd w:val="0"/>
        <w:spacing w:before="0"/>
        <w:rPr>
          <w:sz w:val="22"/>
          <w:szCs w:val="22"/>
        </w:rPr>
      </w:pPr>
      <w:r w:rsidRPr="005A55CA">
        <w:rPr>
          <w:b/>
          <w:sz w:val="22"/>
          <w:szCs w:val="22"/>
        </w:rPr>
        <w:t xml:space="preserve">Paragrahv </w:t>
      </w:r>
      <w:r>
        <w:rPr>
          <w:b/>
          <w:sz w:val="22"/>
          <w:szCs w:val="22"/>
        </w:rPr>
        <w:t>3</w:t>
      </w:r>
      <w:r w:rsidRPr="005A55CA">
        <w:rPr>
          <w:b/>
          <w:sz w:val="22"/>
          <w:szCs w:val="22"/>
        </w:rPr>
        <w:t xml:space="preserve"> </w:t>
      </w:r>
      <w:r>
        <w:rPr>
          <w:sz w:val="22"/>
          <w:szCs w:val="22"/>
        </w:rPr>
        <w:t>sätestab</w:t>
      </w:r>
      <w:r w:rsidRPr="005A55CA">
        <w:rPr>
          <w:sz w:val="22"/>
          <w:szCs w:val="22"/>
        </w:rPr>
        <w:t xml:space="preserve"> </w:t>
      </w:r>
      <w:proofErr w:type="spellStart"/>
      <w:r>
        <w:rPr>
          <w:sz w:val="22"/>
          <w:szCs w:val="22"/>
        </w:rPr>
        <w:t>krüptovara</w:t>
      </w:r>
      <w:proofErr w:type="spellEnd"/>
      <w:r w:rsidRPr="005A55CA">
        <w:rPr>
          <w:sz w:val="22"/>
          <w:szCs w:val="22"/>
        </w:rPr>
        <w:t xml:space="preserve"> mõiste ning seaduse kohaldamisalasse kuuluvad </w:t>
      </w:r>
      <w:proofErr w:type="spellStart"/>
      <w:r>
        <w:rPr>
          <w:sz w:val="22"/>
          <w:szCs w:val="22"/>
        </w:rPr>
        <w:t>krüptovara</w:t>
      </w:r>
      <w:r w:rsidRPr="005A55CA">
        <w:rPr>
          <w:sz w:val="22"/>
          <w:szCs w:val="22"/>
        </w:rPr>
        <w:t>teenused</w:t>
      </w:r>
      <w:proofErr w:type="spellEnd"/>
      <w:r w:rsidRPr="005A55CA">
        <w:rPr>
          <w:sz w:val="22"/>
          <w:szCs w:val="22"/>
        </w:rPr>
        <w:t xml:space="preserve">. </w:t>
      </w:r>
      <w:r>
        <w:rPr>
          <w:sz w:val="22"/>
          <w:szCs w:val="22"/>
        </w:rPr>
        <w:t>Sätte</w:t>
      </w:r>
      <w:r w:rsidRPr="00966283">
        <w:rPr>
          <w:sz w:val="22"/>
          <w:szCs w:val="22"/>
        </w:rPr>
        <w:t xml:space="preserve"> näol </w:t>
      </w:r>
      <w:r>
        <w:rPr>
          <w:sz w:val="22"/>
          <w:szCs w:val="22"/>
        </w:rPr>
        <w:t xml:space="preserve">on </w:t>
      </w:r>
      <w:r w:rsidRPr="00966283">
        <w:rPr>
          <w:sz w:val="22"/>
          <w:szCs w:val="22"/>
        </w:rPr>
        <w:t xml:space="preserve">tegemist </w:t>
      </w:r>
      <w:r>
        <w:rPr>
          <w:sz w:val="22"/>
          <w:szCs w:val="22"/>
        </w:rPr>
        <w:t xml:space="preserve">ühelt poolt </w:t>
      </w:r>
      <w:r w:rsidRPr="00966283">
        <w:rPr>
          <w:sz w:val="22"/>
          <w:szCs w:val="22"/>
        </w:rPr>
        <w:t xml:space="preserve">kehtiva </w:t>
      </w:r>
      <w:proofErr w:type="spellStart"/>
      <w:r w:rsidRPr="00966283">
        <w:rPr>
          <w:sz w:val="22"/>
          <w:szCs w:val="22"/>
        </w:rPr>
        <w:t>RahaPTS</w:t>
      </w:r>
      <w:proofErr w:type="spellEnd"/>
      <w:r>
        <w:rPr>
          <w:sz w:val="22"/>
          <w:szCs w:val="22"/>
        </w:rPr>
        <w:t xml:space="preserve"> </w:t>
      </w:r>
      <w:r w:rsidRPr="00966283">
        <w:rPr>
          <w:sz w:val="22"/>
          <w:szCs w:val="22"/>
        </w:rPr>
        <w:t>vastavate sätete koondamisega käesolevasse eriseadusesse</w:t>
      </w:r>
      <w:r w:rsidR="00B30F18">
        <w:rPr>
          <w:sz w:val="22"/>
          <w:szCs w:val="22"/>
        </w:rPr>
        <w:t xml:space="preserve"> ning teiselt poolt </w:t>
      </w:r>
      <w:proofErr w:type="spellStart"/>
      <w:r w:rsidR="00B30F18">
        <w:rPr>
          <w:sz w:val="22"/>
          <w:szCs w:val="22"/>
        </w:rPr>
        <w:t>MiCA</w:t>
      </w:r>
      <w:proofErr w:type="spellEnd"/>
      <w:r w:rsidR="00B30F18">
        <w:rPr>
          <w:sz w:val="22"/>
          <w:szCs w:val="22"/>
        </w:rPr>
        <w:t xml:space="preserve">-sarnase režiimi loomisega Eestis, hõlmates sealjuures reguleerimisalasse samad teenused, mis on sätestatud </w:t>
      </w:r>
      <w:proofErr w:type="spellStart"/>
      <w:r w:rsidR="00B30F18">
        <w:rPr>
          <w:sz w:val="22"/>
          <w:szCs w:val="22"/>
        </w:rPr>
        <w:t>MiCA</w:t>
      </w:r>
      <w:proofErr w:type="spellEnd"/>
      <w:r w:rsidR="00B30F18">
        <w:rPr>
          <w:sz w:val="22"/>
          <w:szCs w:val="22"/>
        </w:rPr>
        <w:t xml:space="preserve"> määruse ettepanekus</w:t>
      </w:r>
      <w:r>
        <w:rPr>
          <w:sz w:val="22"/>
          <w:szCs w:val="22"/>
        </w:rPr>
        <w:t xml:space="preserve">. </w:t>
      </w:r>
    </w:p>
    <w:p w14:paraId="26B34729" w14:textId="0123AF9E" w:rsidR="00673173" w:rsidRDefault="00673173" w:rsidP="00673173">
      <w:pPr>
        <w:autoSpaceDE w:val="0"/>
        <w:autoSpaceDN w:val="0"/>
        <w:adjustRightInd w:val="0"/>
        <w:spacing w:before="0"/>
        <w:rPr>
          <w:sz w:val="22"/>
          <w:szCs w:val="22"/>
        </w:rPr>
      </w:pPr>
    </w:p>
    <w:p w14:paraId="5114F479" w14:textId="1740DDE2" w:rsidR="0055411E" w:rsidRPr="0055411E" w:rsidRDefault="0055411E" w:rsidP="00673173">
      <w:pPr>
        <w:autoSpaceDE w:val="0"/>
        <w:autoSpaceDN w:val="0"/>
        <w:adjustRightInd w:val="0"/>
        <w:spacing w:before="0"/>
        <w:rPr>
          <w:sz w:val="22"/>
          <w:szCs w:val="22"/>
        </w:rPr>
      </w:pPr>
      <w:r>
        <w:rPr>
          <w:b/>
          <w:bCs/>
          <w:sz w:val="22"/>
          <w:szCs w:val="22"/>
        </w:rPr>
        <w:t xml:space="preserve">Lõikes 1 </w:t>
      </w:r>
      <w:r>
        <w:rPr>
          <w:sz w:val="22"/>
          <w:szCs w:val="22"/>
        </w:rPr>
        <w:t xml:space="preserve">on sätestatud </w:t>
      </w:r>
      <w:proofErr w:type="spellStart"/>
      <w:r>
        <w:rPr>
          <w:sz w:val="22"/>
          <w:szCs w:val="22"/>
        </w:rPr>
        <w:t>krüptovara</w:t>
      </w:r>
      <w:proofErr w:type="spellEnd"/>
      <w:r>
        <w:rPr>
          <w:sz w:val="22"/>
          <w:szCs w:val="22"/>
        </w:rPr>
        <w:t xml:space="preserve"> (sealhulgas virtuaalvääringu) mõiste</w:t>
      </w:r>
      <w:r w:rsidR="00315042">
        <w:rPr>
          <w:sz w:val="22"/>
          <w:szCs w:val="22"/>
        </w:rPr>
        <w:t xml:space="preserve">, mis põhineb </w:t>
      </w:r>
      <w:proofErr w:type="spellStart"/>
      <w:r w:rsidR="00315042">
        <w:rPr>
          <w:sz w:val="22"/>
          <w:szCs w:val="22"/>
        </w:rPr>
        <w:t>MiCA</w:t>
      </w:r>
      <w:proofErr w:type="spellEnd"/>
      <w:r w:rsidR="00315042">
        <w:rPr>
          <w:sz w:val="22"/>
          <w:szCs w:val="22"/>
        </w:rPr>
        <w:t xml:space="preserve"> ettepanekul</w:t>
      </w:r>
      <w:r>
        <w:rPr>
          <w:sz w:val="22"/>
          <w:szCs w:val="22"/>
        </w:rPr>
        <w:t xml:space="preserve">. </w:t>
      </w:r>
      <w:proofErr w:type="spellStart"/>
      <w:r>
        <w:rPr>
          <w:sz w:val="22"/>
          <w:szCs w:val="22"/>
        </w:rPr>
        <w:t>Krüptovara</w:t>
      </w:r>
      <w:proofErr w:type="spellEnd"/>
      <w:r>
        <w:rPr>
          <w:sz w:val="22"/>
          <w:szCs w:val="22"/>
        </w:rPr>
        <w:t xml:space="preserve"> käesoleva seaduse tähenduses on digitaalsel kujul esitatud väärtus või õiguste kogum, mida võib üle kanda ja salvestada elektrooniliselt, kasutades hajusraamatu tehnoloogiat või muud sarnast tehnoloogiat. </w:t>
      </w:r>
      <w:r w:rsidR="00315042">
        <w:rPr>
          <w:sz w:val="22"/>
          <w:szCs w:val="22"/>
        </w:rPr>
        <w:t xml:space="preserve">Väärtuse all tuleb mõista nö välist ja rahaliselt hinnatavat väärtust, mille tehingupooled või turuosalised on vastavale </w:t>
      </w:r>
      <w:proofErr w:type="spellStart"/>
      <w:r w:rsidR="00315042">
        <w:rPr>
          <w:sz w:val="22"/>
          <w:szCs w:val="22"/>
        </w:rPr>
        <w:t>krüptovarale</w:t>
      </w:r>
      <w:proofErr w:type="spellEnd"/>
      <w:r w:rsidR="00315042">
        <w:rPr>
          <w:sz w:val="22"/>
          <w:szCs w:val="22"/>
        </w:rPr>
        <w:t xml:space="preserve"> omistanud. </w:t>
      </w:r>
      <w:proofErr w:type="spellStart"/>
      <w:r w:rsidR="00EB5AEA">
        <w:rPr>
          <w:sz w:val="22"/>
          <w:szCs w:val="22"/>
        </w:rPr>
        <w:t>Krüptovara</w:t>
      </w:r>
      <w:proofErr w:type="spellEnd"/>
      <w:r w:rsidR="00EB5AEA">
        <w:rPr>
          <w:sz w:val="22"/>
          <w:szCs w:val="22"/>
        </w:rPr>
        <w:t xml:space="preserve"> mõiste alla ei ole hõlmatud sellised </w:t>
      </w:r>
      <w:proofErr w:type="spellStart"/>
      <w:r w:rsidR="00EB5AEA">
        <w:rPr>
          <w:sz w:val="22"/>
          <w:szCs w:val="22"/>
        </w:rPr>
        <w:t>krüptovarad</w:t>
      </w:r>
      <w:proofErr w:type="spellEnd"/>
      <w:r w:rsidR="00EB5AEA">
        <w:rPr>
          <w:sz w:val="22"/>
          <w:szCs w:val="22"/>
        </w:rPr>
        <w:t xml:space="preserve">, mis on unikaalsed või mis ei ole asendatavad teise </w:t>
      </w:r>
      <w:proofErr w:type="spellStart"/>
      <w:r w:rsidR="00EB5AEA">
        <w:rPr>
          <w:sz w:val="22"/>
          <w:szCs w:val="22"/>
        </w:rPr>
        <w:t>krüptovaraga</w:t>
      </w:r>
      <w:proofErr w:type="spellEnd"/>
      <w:r w:rsidR="00EB5AEA">
        <w:rPr>
          <w:sz w:val="22"/>
          <w:szCs w:val="22"/>
        </w:rPr>
        <w:t xml:space="preserve"> (vt ka lg </w:t>
      </w:r>
      <w:r w:rsidR="00355BEE">
        <w:rPr>
          <w:sz w:val="22"/>
          <w:szCs w:val="22"/>
        </w:rPr>
        <w:t>13).</w:t>
      </w:r>
    </w:p>
    <w:p w14:paraId="3DA7C257" w14:textId="77777777" w:rsidR="0055411E" w:rsidRDefault="0055411E" w:rsidP="00673173">
      <w:pPr>
        <w:autoSpaceDE w:val="0"/>
        <w:autoSpaceDN w:val="0"/>
        <w:adjustRightInd w:val="0"/>
        <w:spacing w:before="0"/>
        <w:rPr>
          <w:sz w:val="22"/>
          <w:szCs w:val="22"/>
        </w:rPr>
      </w:pPr>
    </w:p>
    <w:p w14:paraId="23086DFD" w14:textId="740183E1" w:rsidR="00C41382" w:rsidRDefault="00C41382" w:rsidP="00673173">
      <w:pPr>
        <w:autoSpaceDE w:val="0"/>
        <w:autoSpaceDN w:val="0"/>
        <w:adjustRightInd w:val="0"/>
        <w:spacing w:before="0"/>
        <w:rPr>
          <w:sz w:val="22"/>
          <w:szCs w:val="22"/>
        </w:rPr>
      </w:pPr>
      <w:r>
        <w:rPr>
          <w:b/>
          <w:bCs/>
          <w:sz w:val="22"/>
          <w:szCs w:val="22"/>
        </w:rPr>
        <w:t xml:space="preserve">Lõige 2 </w:t>
      </w:r>
      <w:r>
        <w:rPr>
          <w:sz w:val="22"/>
          <w:szCs w:val="22"/>
        </w:rPr>
        <w:t xml:space="preserve">sätestab virtuaalvääringu mõiste, mis on jäetud suuresti muutmata võrreldes </w:t>
      </w:r>
      <w:proofErr w:type="spellStart"/>
      <w:r>
        <w:rPr>
          <w:sz w:val="22"/>
          <w:szCs w:val="22"/>
        </w:rPr>
        <w:t>RahaPTS-is</w:t>
      </w:r>
      <w:proofErr w:type="spellEnd"/>
      <w:r>
        <w:rPr>
          <w:sz w:val="22"/>
          <w:szCs w:val="22"/>
        </w:rPr>
        <w:t xml:space="preserve"> toodud sõnastusega – välja arvatud selle erisusega, et „seaduslik maksevahend“ on asendatud „ametliku valuutaga“. Eelnõu koostajate arvates annab „ametlik valuuta“ paremini edasi rahapesu direktiivis sätestatud virtuaalvääringu mõistet. Lisaks, üldise </w:t>
      </w:r>
      <w:proofErr w:type="spellStart"/>
      <w:r>
        <w:rPr>
          <w:sz w:val="22"/>
          <w:szCs w:val="22"/>
        </w:rPr>
        <w:t>krüptovara</w:t>
      </w:r>
      <w:proofErr w:type="spellEnd"/>
      <w:r>
        <w:rPr>
          <w:sz w:val="22"/>
          <w:szCs w:val="22"/>
        </w:rPr>
        <w:t xml:space="preserve"> definitsiooni kõrval on vajalik virtuaalvääringu mõiste eraldi Eesti õigusesse alles jätta, et Eesti õigus oleks eelviidatud direktiiviga kooskõlas.</w:t>
      </w:r>
    </w:p>
    <w:p w14:paraId="0DCEFB09" w14:textId="77777777" w:rsidR="00C41382" w:rsidRDefault="00C41382" w:rsidP="00673173">
      <w:pPr>
        <w:autoSpaceDE w:val="0"/>
        <w:autoSpaceDN w:val="0"/>
        <w:adjustRightInd w:val="0"/>
        <w:spacing w:before="0"/>
        <w:rPr>
          <w:sz w:val="22"/>
          <w:szCs w:val="22"/>
        </w:rPr>
      </w:pPr>
    </w:p>
    <w:p w14:paraId="46BDB773" w14:textId="15703C88" w:rsidR="00673173" w:rsidRPr="005A55CA" w:rsidRDefault="00673173" w:rsidP="00673173">
      <w:pPr>
        <w:autoSpaceDE w:val="0"/>
        <w:autoSpaceDN w:val="0"/>
        <w:adjustRightInd w:val="0"/>
        <w:spacing w:before="0"/>
        <w:rPr>
          <w:rFonts w:eastAsiaTheme="minorHAnsi"/>
          <w:sz w:val="22"/>
          <w:szCs w:val="22"/>
        </w:rPr>
      </w:pPr>
      <w:r>
        <w:rPr>
          <w:sz w:val="22"/>
          <w:szCs w:val="22"/>
        </w:rPr>
        <w:t>Virtuaalvääringu mõiste</w:t>
      </w:r>
      <w:r w:rsidRPr="005A55CA">
        <w:rPr>
          <w:sz w:val="22"/>
          <w:szCs w:val="22"/>
        </w:rPr>
        <w:t xml:space="preserve"> tuleneb </w:t>
      </w:r>
      <w:r>
        <w:rPr>
          <w:sz w:val="22"/>
          <w:szCs w:val="22"/>
        </w:rPr>
        <w:t xml:space="preserve">Euroopa Parlamendi ja Nõukogu direktiivist 2018/843, </w:t>
      </w:r>
      <w:r w:rsidRPr="00AA6A94">
        <w:rPr>
          <w:sz w:val="22"/>
          <w:szCs w:val="22"/>
        </w:rPr>
        <w:t>millega muudetakse direktiivi (EL) 2015/849, mis käsitleb finantssüsteemi rahapesu või terrorismi rahastamise eesmärgil kasutamise tõkestamist, ning millega muudetakse direktiive 2009/138/EÜ ja 2013/36/EL, kohta</w:t>
      </w:r>
      <w:r>
        <w:rPr>
          <w:sz w:val="22"/>
          <w:szCs w:val="22"/>
        </w:rPr>
        <w:t xml:space="preserve"> (ELT L 156, 19.06.2018, lk 43-75)</w:t>
      </w:r>
      <w:r w:rsidRPr="005A55CA">
        <w:rPr>
          <w:sz w:val="22"/>
          <w:szCs w:val="22"/>
        </w:rPr>
        <w:t>, mille kohaselt on virtuaalvääring</w:t>
      </w:r>
      <w:r w:rsidRPr="005A55CA">
        <w:rPr>
          <w:rFonts w:eastAsiaTheme="minorHAnsi"/>
          <w:sz w:val="22"/>
          <w:szCs w:val="22"/>
          <w:lang w:eastAsia="en-US"/>
        </w:rPr>
        <w:t xml:space="preserve"> digitaalsel kujul esitatud väärtus, mis on digitaalselt ülekantav, säilitatav või kaubeldav ja mida füüsilised või juriidilised isikud tunnustavad maksevahendina, kuid mis ei ole ühegi </w:t>
      </w:r>
      <w:r w:rsidRPr="00A43BE0">
        <w:rPr>
          <w:rFonts w:eastAsiaTheme="minorHAnsi"/>
          <w:sz w:val="22"/>
          <w:szCs w:val="22"/>
          <w:lang w:eastAsia="en-US"/>
        </w:rPr>
        <w:t>riigi seaduslik maksevahend</w:t>
      </w:r>
      <w:r w:rsidRPr="005A55CA">
        <w:rPr>
          <w:rFonts w:eastAsiaTheme="minorHAnsi"/>
          <w:sz w:val="22"/>
          <w:szCs w:val="22"/>
          <w:lang w:eastAsia="en-US"/>
        </w:rPr>
        <w:t xml:space="preserve"> ega rahaline vahend Euroopa Parlamendi ja Nõukogu direktiivi (EL) 2015/2366 artikli 4 punkti 25 mõistes ega makseinstrument või maksetehing sama direktiivi artikli 3 alapunktide (k) ja (l) tähenduses.</w:t>
      </w:r>
      <w:r w:rsidRPr="005A55CA">
        <w:rPr>
          <w:rFonts w:eastAsiaTheme="minorHAnsi"/>
          <w:sz w:val="22"/>
          <w:szCs w:val="22"/>
        </w:rPr>
        <w:t xml:space="preserve"> Nimetatud mõistet kasutab ka kehtiv </w:t>
      </w:r>
      <w:proofErr w:type="spellStart"/>
      <w:r w:rsidRPr="005A55CA">
        <w:rPr>
          <w:rFonts w:eastAsiaTheme="minorHAnsi"/>
          <w:sz w:val="22"/>
          <w:szCs w:val="22"/>
        </w:rPr>
        <w:t>RahaPTS</w:t>
      </w:r>
      <w:proofErr w:type="spellEnd"/>
      <w:r w:rsidRPr="005A55CA">
        <w:rPr>
          <w:rFonts w:eastAsiaTheme="minorHAnsi"/>
          <w:sz w:val="22"/>
          <w:szCs w:val="22"/>
        </w:rPr>
        <w:t xml:space="preserve"> redaktsioon. Selle direktiivi kohaselt on seega välistatud teenused, mis põhinevad konkreetsetel makseinstrumentidel, mida saab kasutada üksnes piiratud viisil ja mis vastavad ühele järgmistest tingimustest:</w:t>
      </w:r>
    </w:p>
    <w:p w14:paraId="7733A285" w14:textId="77777777" w:rsidR="00673173" w:rsidRDefault="00673173" w:rsidP="00673173">
      <w:pPr>
        <w:numPr>
          <w:ilvl w:val="0"/>
          <w:numId w:val="12"/>
        </w:numPr>
        <w:autoSpaceDE w:val="0"/>
        <w:autoSpaceDN w:val="0"/>
        <w:adjustRightInd w:val="0"/>
        <w:rPr>
          <w:rFonts w:eastAsiaTheme="minorHAnsi"/>
          <w:sz w:val="22"/>
          <w:szCs w:val="22"/>
        </w:rPr>
      </w:pPr>
      <w:r w:rsidRPr="005A55CA">
        <w:rPr>
          <w:rFonts w:eastAsiaTheme="minorHAnsi"/>
          <w:sz w:val="22"/>
          <w:szCs w:val="22"/>
        </w:rPr>
        <w:t>makseinstrumendid, millega on nende valdajal võimalik omandada kaupu või teenuseid ainult väljastaja ruumides või väljastajaga sõlmitud otsese kaupade müügi või teenuste osutamise lepingu alusel teenusepakkujate piiratud võrgus;</w:t>
      </w:r>
    </w:p>
    <w:p w14:paraId="12EED02A" w14:textId="77777777" w:rsidR="00673173" w:rsidRDefault="00673173" w:rsidP="00673173">
      <w:pPr>
        <w:numPr>
          <w:ilvl w:val="0"/>
          <w:numId w:val="12"/>
        </w:numPr>
        <w:autoSpaceDE w:val="0"/>
        <w:autoSpaceDN w:val="0"/>
        <w:adjustRightInd w:val="0"/>
        <w:rPr>
          <w:rFonts w:eastAsiaTheme="minorHAnsi"/>
          <w:sz w:val="22"/>
          <w:szCs w:val="22"/>
        </w:rPr>
      </w:pPr>
      <w:r w:rsidRPr="00B07BB7">
        <w:rPr>
          <w:rFonts w:eastAsiaTheme="minorHAnsi"/>
          <w:sz w:val="22"/>
          <w:szCs w:val="22"/>
        </w:rPr>
        <w:t>makseinstrumendid, mida saab kasutada üksnes väga piiratud valiku kaupade või teenuste omandamiseks;</w:t>
      </w:r>
    </w:p>
    <w:p w14:paraId="6EB49ADF" w14:textId="77777777" w:rsidR="00673173" w:rsidRDefault="00673173" w:rsidP="00673173">
      <w:pPr>
        <w:numPr>
          <w:ilvl w:val="0"/>
          <w:numId w:val="12"/>
        </w:numPr>
        <w:autoSpaceDE w:val="0"/>
        <w:autoSpaceDN w:val="0"/>
        <w:adjustRightInd w:val="0"/>
        <w:rPr>
          <w:rFonts w:eastAsiaTheme="minorHAnsi"/>
          <w:sz w:val="22"/>
          <w:szCs w:val="22"/>
        </w:rPr>
      </w:pPr>
      <w:r w:rsidRPr="00B07BB7">
        <w:rPr>
          <w:rFonts w:eastAsiaTheme="minorHAnsi"/>
          <w:sz w:val="22"/>
          <w:szCs w:val="22"/>
        </w:rPr>
        <w:t>makseinstrumendid, mis kehtivad vaid ühes liikmesriigis ja mis antakse ettevõtja või avaliku sektori asutuse taotluse korral ning mida reguleerib riiklik või piirkondlik avaliku sektori asutus konkreetsetel sotsiaalsetel või maksustamisega seotud eesmärkidel, et omandada konkreetseid kaupu või saada teenuseid tarnijatelt, kes on sõlminud väljaandjaga kaupade müügi või teenuste osutamise lepingu;</w:t>
      </w:r>
    </w:p>
    <w:p w14:paraId="21A63F05" w14:textId="77777777" w:rsidR="00673173" w:rsidRPr="00B07BB7" w:rsidRDefault="00673173" w:rsidP="00673173">
      <w:pPr>
        <w:numPr>
          <w:ilvl w:val="0"/>
          <w:numId w:val="12"/>
        </w:numPr>
        <w:autoSpaceDE w:val="0"/>
        <w:autoSpaceDN w:val="0"/>
        <w:adjustRightInd w:val="0"/>
        <w:rPr>
          <w:rFonts w:eastAsiaTheme="minorHAnsi"/>
          <w:sz w:val="22"/>
          <w:szCs w:val="22"/>
        </w:rPr>
      </w:pPr>
      <w:r w:rsidRPr="00B07BB7">
        <w:rPr>
          <w:rFonts w:eastAsiaTheme="minorHAnsi"/>
          <w:sz w:val="22"/>
          <w:szCs w:val="22"/>
        </w:rPr>
        <w:t>elektroonilise side võrkude või teenuste pakkuja maksetehingud, mis tehakse lisaks elektroonilise side teenustele võrgu kliendi või teenuse tellija jaoks:</w:t>
      </w:r>
    </w:p>
    <w:p w14:paraId="01CC6CC6" w14:textId="77777777" w:rsidR="00673173" w:rsidRPr="005A55CA" w:rsidRDefault="00673173" w:rsidP="00673173">
      <w:pPr>
        <w:numPr>
          <w:ilvl w:val="1"/>
          <w:numId w:val="11"/>
        </w:numPr>
        <w:autoSpaceDE w:val="0"/>
        <w:autoSpaceDN w:val="0"/>
        <w:adjustRightInd w:val="0"/>
        <w:ind w:left="709" w:hanging="425"/>
        <w:rPr>
          <w:rFonts w:eastAsiaTheme="minorHAnsi"/>
          <w:sz w:val="22"/>
          <w:szCs w:val="22"/>
        </w:rPr>
      </w:pPr>
      <w:r w:rsidRPr="005A55CA">
        <w:rPr>
          <w:rFonts w:eastAsiaTheme="minorHAnsi"/>
          <w:sz w:val="22"/>
          <w:szCs w:val="22"/>
        </w:rPr>
        <w:t>digitaalse infosisu ja häälepõhiste teenuste ostmiseks, olenemata digitaalse infosisu ostmiseks või tarbimiseks kasutatavast seadmest, ning mis lisatakse seonduvale arvele; või</w:t>
      </w:r>
    </w:p>
    <w:p w14:paraId="1A75A61F" w14:textId="77777777" w:rsidR="00673173" w:rsidRPr="005A55CA" w:rsidRDefault="00673173" w:rsidP="00673173">
      <w:pPr>
        <w:numPr>
          <w:ilvl w:val="1"/>
          <w:numId w:val="11"/>
        </w:numPr>
        <w:autoSpaceDE w:val="0"/>
        <w:autoSpaceDN w:val="0"/>
        <w:adjustRightInd w:val="0"/>
        <w:ind w:left="709" w:hanging="425"/>
        <w:rPr>
          <w:rFonts w:eastAsiaTheme="minorHAnsi"/>
          <w:sz w:val="22"/>
          <w:szCs w:val="22"/>
        </w:rPr>
      </w:pPr>
      <w:r w:rsidRPr="005A55CA">
        <w:rPr>
          <w:rFonts w:eastAsiaTheme="minorHAnsi"/>
          <w:sz w:val="22"/>
          <w:szCs w:val="22"/>
        </w:rPr>
        <w:t>mis täidetakse elektroonilisest seadmest või selle kaudu ning mis lisatakse seonduvale arvele heategevuse raames või piletite ostmiseks;</w:t>
      </w:r>
    </w:p>
    <w:p w14:paraId="2E72C3F7" w14:textId="77777777" w:rsidR="00673173" w:rsidRPr="005A55CA" w:rsidRDefault="00673173" w:rsidP="00673173">
      <w:pPr>
        <w:numPr>
          <w:ilvl w:val="1"/>
          <w:numId w:val="11"/>
        </w:numPr>
        <w:autoSpaceDE w:val="0"/>
        <w:autoSpaceDN w:val="0"/>
        <w:adjustRightInd w:val="0"/>
        <w:ind w:left="709" w:hanging="425"/>
        <w:rPr>
          <w:rFonts w:eastAsiaTheme="minorHAnsi"/>
          <w:sz w:val="22"/>
          <w:szCs w:val="22"/>
        </w:rPr>
      </w:pPr>
      <w:r w:rsidRPr="005A55CA">
        <w:rPr>
          <w:rFonts w:eastAsiaTheme="minorHAnsi"/>
          <w:sz w:val="22"/>
          <w:szCs w:val="22"/>
        </w:rPr>
        <w:t>tingimusel et ükski nendes punktides osutatud maksetehing ei ole suurem kui 50 eurot ning:</w:t>
      </w:r>
    </w:p>
    <w:p w14:paraId="03D496E7" w14:textId="77777777" w:rsidR="00673173" w:rsidRPr="005A55CA" w:rsidRDefault="00673173" w:rsidP="00673173">
      <w:pPr>
        <w:numPr>
          <w:ilvl w:val="1"/>
          <w:numId w:val="11"/>
        </w:numPr>
        <w:autoSpaceDE w:val="0"/>
        <w:autoSpaceDN w:val="0"/>
        <w:adjustRightInd w:val="0"/>
        <w:ind w:left="709" w:hanging="425"/>
        <w:rPr>
          <w:rFonts w:eastAsiaTheme="minorHAnsi"/>
          <w:sz w:val="22"/>
          <w:szCs w:val="22"/>
        </w:rPr>
      </w:pPr>
      <w:r w:rsidRPr="005A55CA">
        <w:rPr>
          <w:rFonts w:eastAsiaTheme="minorHAnsi"/>
          <w:sz w:val="22"/>
          <w:szCs w:val="22"/>
        </w:rPr>
        <w:lastRenderedPageBreak/>
        <w:t>maksetehingute kogusumma ei ületa üksiku võrgu kliendi või teenuse tellija kohta 300 eurot kuus; või</w:t>
      </w:r>
    </w:p>
    <w:p w14:paraId="0DADC9ED" w14:textId="77777777" w:rsidR="00673173" w:rsidRPr="005A55CA" w:rsidRDefault="00673173" w:rsidP="00673173">
      <w:pPr>
        <w:numPr>
          <w:ilvl w:val="1"/>
          <w:numId w:val="11"/>
        </w:numPr>
        <w:autoSpaceDE w:val="0"/>
        <w:autoSpaceDN w:val="0"/>
        <w:adjustRightInd w:val="0"/>
        <w:ind w:left="709" w:hanging="425"/>
        <w:rPr>
          <w:rFonts w:eastAsiaTheme="minorHAnsi"/>
          <w:sz w:val="22"/>
          <w:szCs w:val="22"/>
        </w:rPr>
      </w:pPr>
      <w:r w:rsidRPr="005A55CA">
        <w:rPr>
          <w:rFonts w:eastAsiaTheme="minorHAnsi"/>
          <w:sz w:val="22"/>
          <w:szCs w:val="22"/>
        </w:rPr>
        <w:t xml:space="preserve">kui võrgu klient või teenuse tellija </w:t>
      </w:r>
      <w:proofErr w:type="spellStart"/>
      <w:r w:rsidRPr="005A55CA">
        <w:rPr>
          <w:rFonts w:eastAsiaTheme="minorHAnsi"/>
          <w:sz w:val="22"/>
          <w:szCs w:val="22"/>
        </w:rPr>
        <w:t>eelrahastab</w:t>
      </w:r>
      <w:proofErr w:type="spellEnd"/>
      <w:r w:rsidRPr="005A55CA">
        <w:rPr>
          <w:rFonts w:eastAsiaTheme="minorHAnsi"/>
          <w:sz w:val="22"/>
          <w:szCs w:val="22"/>
        </w:rPr>
        <w:t xml:space="preserve"> oma elektroonilise side võrgu või teenuse pakkuja juures asuvat kontot, ei ületa maksetehingute kogusumma 300 eurot kalendrikuus.</w:t>
      </w:r>
    </w:p>
    <w:p w14:paraId="5F2850CD" w14:textId="77777777" w:rsidR="00673173" w:rsidRPr="005A55CA" w:rsidRDefault="00673173" w:rsidP="00673173">
      <w:pPr>
        <w:autoSpaceDE w:val="0"/>
        <w:autoSpaceDN w:val="0"/>
        <w:adjustRightInd w:val="0"/>
        <w:spacing w:before="0"/>
        <w:jc w:val="left"/>
        <w:rPr>
          <w:sz w:val="22"/>
          <w:szCs w:val="22"/>
        </w:rPr>
      </w:pPr>
    </w:p>
    <w:p w14:paraId="28B0C228" w14:textId="77777777" w:rsidR="00673173" w:rsidRPr="005A55CA" w:rsidRDefault="00673173" w:rsidP="00673173">
      <w:pPr>
        <w:autoSpaceDE w:val="0"/>
        <w:autoSpaceDN w:val="0"/>
        <w:adjustRightInd w:val="0"/>
        <w:spacing w:before="0"/>
        <w:rPr>
          <w:sz w:val="22"/>
          <w:szCs w:val="22"/>
        </w:rPr>
      </w:pPr>
      <w:r w:rsidRPr="005A55CA">
        <w:rPr>
          <w:sz w:val="22"/>
          <w:szCs w:val="22"/>
        </w:rPr>
        <w:t xml:space="preserve">Võrreldes </w:t>
      </w:r>
      <w:proofErr w:type="spellStart"/>
      <w:r w:rsidRPr="005A55CA">
        <w:rPr>
          <w:sz w:val="22"/>
          <w:szCs w:val="22"/>
        </w:rPr>
        <w:t>RahaPTS-is</w:t>
      </w:r>
      <w:proofErr w:type="spellEnd"/>
      <w:r w:rsidRPr="005A55CA">
        <w:rPr>
          <w:sz w:val="22"/>
          <w:szCs w:val="22"/>
        </w:rPr>
        <w:t xml:space="preserve"> toodud sõnastusega on virtuaalvääringu mõiste puhul keelelise korrektsuse huvides „seaduslik maksevahend“ asendatud „seotud ühegi ametliku valuutaga“, ning „aktsepteerivad maksevahendina“ asendatud „tunnustavad maksevahendina“, et paremini väljendada inglisekeelse algteksti mõtet. Lisaks tasub märkida, et maksevahendina kasutamine või virtuaalvääringu maksevahendina tunnustamine ei pea olema virtuaalvääringu loomise või (esma)pakkumise ajal kindlaks määratud, vaid virtuaalvääring võib ajapikku areneda maksevahendiks, mida tunnustavad füüsilised ja juriidilised isikud.</w:t>
      </w:r>
      <w:r w:rsidRPr="005A55CA">
        <w:rPr>
          <w:sz w:val="22"/>
          <w:szCs w:val="22"/>
        </w:rPr>
        <w:footnoteReference w:id="44"/>
      </w:r>
      <w:r w:rsidRPr="005A55CA">
        <w:rPr>
          <w:sz w:val="22"/>
          <w:szCs w:val="22"/>
        </w:rPr>
        <w:t xml:space="preserve"> </w:t>
      </w:r>
      <w:r>
        <w:rPr>
          <w:sz w:val="22"/>
          <w:szCs w:val="22"/>
        </w:rPr>
        <w:t xml:space="preserve">Viimaks on virtuaalvääringu mõistes kasutatud kehtiva </w:t>
      </w:r>
      <w:proofErr w:type="spellStart"/>
      <w:r>
        <w:rPr>
          <w:sz w:val="22"/>
          <w:szCs w:val="22"/>
        </w:rPr>
        <w:t>RahaPTS-is</w:t>
      </w:r>
      <w:proofErr w:type="spellEnd"/>
      <w:r>
        <w:rPr>
          <w:sz w:val="22"/>
          <w:szCs w:val="22"/>
        </w:rPr>
        <w:t xml:space="preserve"> sisalduva virtuaalvääringu definitsiooni asemel fraasi „ei pruugi olla seotud ühegi ametliku valuutaga“. Muudatuse eesmärk on hõlmata virtuaalvääringu mõiste alla ka need instrumendid, mis tuginevad oma väärtuses ühele või mitmele riiklikule valuutale (nn </w:t>
      </w:r>
      <w:proofErr w:type="spellStart"/>
      <w:r w:rsidRPr="007A37DF">
        <w:rPr>
          <w:i/>
          <w:sz w:val="22"/>
          <w:szCs w:val="22"/>
        </w:rPr>
        <w:t>stablecoin</w:t>
      </w:r>
      <w:r>
        <w:rPr>
          <w:sz w:val="22"/>
          <w:szCs w:val="22"/>
        </w:rPr>
        <w:t>’id</w:t>
      </w:r>
      <w:proofErr w:type="spellEnd"/>
      <w:r>
        <w:rPr>
          <w:sz w:val="22"/>
          <w:szCs w:val="22"/>
        </w:rPr>
        <w:t xml:space="preserve">). Kui jätta nimetatud tekstiosa muutmata, siis saaks öelda, et </w:t>
      </w:r>
      <w:proofErr w:type="spellStart"/>
      <w:r>
        <w:rPr>
          <w:sz w:val="22"/>
          <w:szCs w:val="22"/>
        </w:rPr>
        <w:t>krüptovaradele</w:t>
      </w:r>
      <w:proofErr w:type="spellEnd"/>
      <w:r>
        <w:rPr>
          <w:sz w:val="22"/>
          <w:szCs w:val="22"/>
        </w:rPr>
        <w:t>, millel on puutumus riiklike valuutadega, ei kohaldu virtuaalvääringu vahetamise, pakkumise, korraldamise, jne nõuded, mis on sätestatud eelnõus.</w:t>
      </w:r>
    </w:p>
    <w:p w14:paraId="22100D57" w14:textId="77777777" w:rsidR="00673173" w:rsidRDefault="00673173" w:rsidP="00673173">
      <w:pPr>
        <w:autoSpaceDE w:val="0"/>
        <w:autoSpaceDN w:val="0"/>
        <w:adjustRightInd w:val="0"/>
        <w:spacing w:before="0"/>
        <w:rPr>
          <w:b/>
          <w:sz w:val="22"/>
          <w:szCs w:val="22"/>
        </w:rPr>
      </w:pPr>
    </w:p>
    <w:p w14:paraId="5CDC8DE8" w14:textId="0BFE386D" w:rsidR="00673173" w:rsidRPr="005A55CA" w:rsidRDefault="000417BB" w:rsidP="00673173">
      <w:pPr>
        <w:autoSpaceDE w:val="0"/>
        <w:autoSpaceDN w:val="0"/>
        <w:adjustRightInd w:val="0"/>
        <w:spacing w:before="0"/>
        <w:rPr>
          <w:sz w:val="22"/>
          <w:szCs w:val="22"/>
        </w:rPr>
      </w:pPr>
      <w:proofErr w:type="spellStart"/>
      <w:r>
        <w:rPr>
          <w:sz w:val="22"/>
          <w:szCs w:val="22"/>
        </w:rPr>
        <w:t>Krüptovarateenuste</w:t>
      </w:r>
      <w:proofErr w:type="spellEnd"/>
      <w:r w:rsidR="00673173" w:rsidRPr="005A55CA">
        <w:rPr>
          <w:sz w:val="22"/>
          <w:szCs w:val="22"/>
        </w:rPr>
        <w:t xml:space="preserve"> </w:t>
      </w:r>
      <w:r>
        <w:rPr>
          <w:sz w:val="22"/>
          <w:szCs w:val="22"/>
        </w:rPr>
        <w:t xml:space="preserve">mõisted </w:t>
      </w:r>
      <w:r w:rsidR="00673173" w:rsidRPr="005A55CA">
        <w:rPr>
          <w:sz w:val="22"/>
          <w:szCs w:val="22"/>
        </w:rPr>
        <w:t>käesoleva seaduse tähenduses (</w:t>
      </w:r>
      <w:r w:rsidR="00673173" w:rsidRPr="005A55CA">
        <w:rPr>
          <w:b/>
          <w:sz w:val="22"/>
          <w:szCs w:val="22"/>
        </w:rPr>
        <w:t xml:space="preserve">lõige </w:t>
      </w:r>
      <w:r>
        <w:rPr>
          <w:b/>
          <w:sz w:val="22"/>
          <w:szCs w:val="22"/>
        </w:rPr>
        <w:t>3</w:t>
      </w:r>
      <w:r w:rsidR="00673173" w:rsidRPr="005A55CA">
        <w:rPr>
          <w:sz w:val="22"/>
          <w:szCs w:val="22"/>
        </w:rPr>
        <w:t xml:space="preserve">) on </w:t>
      </w:r>
      <w:r>
        <w:rPr>
          <w:sz w:val="22"/>
          <w:szCs w:val="22"/>
        </w:rPr>
        <w:t>avatud sama paragrahvi järgmistes lõigetes.</w:t>
      </w:r>
    </w:p>
    <w:p w14:paraId="143CEC2E" w14:textId="77777777" w:rsidR="00673173" w:rsidRPr="005A55CA" w:rsidRDefault="00673173" w:rsidP="00673173">
      <w:pPr>
        <w:autoSpaceDE w:val="0"/>
        <w:autoSpaceDN w:val="0"/>
        <w:adjustRightInd w:val="0"/>
        <w:spacing w:before="0"/>
        <w:rPr>
          <w:sz w:val="22"/>
          <w:szCs w:val="22"/>
        </w:rPr>
      </w:pPr>
    </w:p>
    <w:p w14:paraId="003D4D99" w14:textId="6C33C03B" w:rsidR="00673173" w:rsidRPr="005A55CA" w:rsidRDefault="000417BB" w:rsidP="00673173">
      <w:pPr>
        <w:autoSpaceDE w:val="0"/>
        <w:autoSpaceDN w:val="0"/>
        <w:adjustRightInd w:val="0"/>
        <w:spacing w:before="0"/>
        <w:rPr>
          <w:sz w:val="22"/>
          <w:szCs w:val="22"/>
        </w:rPr>
      </w:pPr>
      <w:proofErr w:type="spellStart"/>
      <w:r>
        <w:rPr>
          <w:sz w:val="22"/>
          <w:szCs w:val="22"/>
        </w:rPr>
        <w:t>Krüptovara</w:t>
      </w:r>
      <w:proofErr w:type="spellEnd"/>
      <w:r>
        <w:rPr>
          <w:sz w:val="22"/>
          <w:szCs w:val="22"/>
        </w:rPr>
        <w:t xml:space="preserve"> hoidmine ja haldamine kolmandate isikute nimel </w:t>
      </w:r>
      <w:r w:rsidR="00673173" w:rsidRPr="005A55CA">
        <w:rPr>
          <w:sz w:val="22"/>
          <w:szCs w:val="22"/>
        </w:rPr>
        <w:t>(</w:t>
      </w:r>
      <w:r w:rsidR="00673173" w:rsidRPr="005A55CA">
        <w:rPr>
          <w:b/>
          <w:sz w:val="22"/>
          <w:szCs w:val="22"/>
        </w:rPr>
        <w:t xml:space="preserve">lõige </w:t>
      </w:r>
      <w:r w:rsidR="00E74290">
        <w:rPr>
          <w:b/>
          <w:sz w:val="22"/>
          <w:szCs w:val="22"/>
        </w:rPr>
        <w:t>4</w:t>
      </w:r>
      <w:r w:rsidR="00673173" w:rsidRPr="005A55CA">
        <w:rPr>
          <w:sz w:val="22"/>
          <w:szCs w:val="22"/>
        </w:rPr>
        <w:t xml:space="preserve">) on teenus, mille raames </w:t>
      </w:r>
      <w:proofErr w:type="spellStart"/>
      <w:r w:rsidR="00E74290">
        <w:rPr>
          <w:sz w:val="22"/>
          <w:szCs w:val="22"/>
        </w:rPr>
        <w:t>krüptovarateenuse</w:t>
      </w:r>
      <w:proofErr w:type="spellEnd"/>
      <w:r w:rsidR="00E74290">
        <w:rPr>
          <w:sz w:val="22"/>
          <w:szCs w:val="22"/>
        </w:rPr>
        <w:t xml:space="preserve"> osutaja kaitseb või kontrollib kolmandate isikute nimel </w:t>
      </w:r>
      <w:proofErr w:type="spellStart"/>
      <w:r w:rsidR="00E74290">
        <w:rPr>
          <w:sz w:val="22"/>
          <w:szCs w:val="22"/>
        </w:rPr>
        <w:t>krüptovara</w:t>
      </w:r>
      <w:proofErr w:type="spellEnd"/>
      <w:r w:rsidR="00E74290">
        <w:rPr>
          <w:sz w:val="22"/>
          <w:szCs w:val="22"/>
        </w:rPr>
        <w:t xml:space="preserve"> või </w:t>
      </w:r>
      <w:proofErr w:type="spellStart"/>
      <w:r w:rsidR="00E74290">
        <w:rPr>
          <w:sz w:val="22"/>
          <w:szCs w:val="22"/>
        </w:rPr>
        <w:t>krüptovarale</w:t>
      </w:r>
      <w:proofErr w:type="spellEnd"/>
      <w:r w:rsidR="00E74290">
        <w:rPr>
          <w:sz w:val="22"/>
          <w:szCs w:val="22"/>
        </w:rPr>
        <w:t xml:space="preserve"> ligipääsu, asjakohasel juhul </w:t>
      </w:r>
      <w:proofErr w:type="spellStart"/>
      <w:r w:rsidR="00E74290">
        <w:rPr>
          <w:sz w:val="22"/>
          <w:szCs w:val="22"/>
        </w:rPr>
        <w:t>krüptograafiliste</w:t>
      </w:r>
      <w:proofErr w:type="spellEnd"/>
      <w:r w:rsidR="00E74290">
        <w:rPr>
          <w:sz w:val="22"/>
          <w:szCs w:val="22"/>
        </w:rPr>
        <w:t xml:space="preserve"> privaatvõtmete abil. </w:t>
      </w:r>
      <w:r w:rsidR="00673173" w:rsidRPr="005A55CA">
        <w:rPr>
          <w:sz w:val="22"/>
          <w:szCs w:val="22"/>
          <w:shd w:val="clear" w:color="auto" w:fill="FFFFFF"/>
        </w:rPr>
        <w:t xml:space="preserve">Krüpteeritud võtmete hoidmine teenusena eeldab seda, et teenuseosutaja nõustub võtmeid teatud tasu eest hoidma, sealhulgas võtmete turvalisuse tagamise eesmärgiga. Samas </w:t>
      </w:r>
      <w:proofErr w:type="spellStart"/>
      <w:r w:rsidR="00673173" w:rsidRPr="005A55CA">
        <w:rPr>
          <w:sz w:val="22"/>
          <w:szCs w:val="22"/>
          <w:shd w:val="clear" w:color="auto" w:fill="FFFFFF"/>
        </w:rPr>
        <w:t>krüptograafiliste</w:t>
      </w:r>
      <w:proofErr w:type="spellEnd"/>
      <w:r w:rsidR="00673173" w:rsidRPr="005A55CA">
        <w:rPr>
          <w:sz w:val="22"/>
          <w:szCs w:val="22"/>
          <w:shd w:val="clear" w:color="auto" w:fill="FFFFFF"/>
        </w:rPr>
        <w:t xml:space="preserve"> võtmete hoidmine tähendab ka seda, et teenuseosutaja säilitab kontrolli võtmete üle ning tal on võimalik teha võtmetega teatud tehinguid (näiteks varukoopiaid). Seega saab teenusena pakkuda ainult selliseid rahakotte, mis asuvad teenusepakkuja serveris või pilveteenuses, mistõttu ei liigitu riistvaralised rahakotid, mille üle teenuseosutaja ei saa kontrolli teostada, käesoleva </w:t>
      </w:r>
      <w:r w:rsidR="00E74290">
        <w:rPr>
          <w:sz w:val="22"/>
          <w:szCs w:val="22"/>
          <w:shd w:val="clear" w:color="auto" w:fill="FFFFFF"/>
        </w:rPr>
        <w:t xml:space="preserve">seaduse mõistes </w:t>
      </w:r>
      <w:proofErr w:type="spellStart"/>
      <w:r w:rsidR="00E74290">
        <w:rPr>
          <w:sz w:val="22"/>
          <w:szCs w:val="22"/>
          <w:shd w:val="clear" w:color="auto" w:fill="FFFFFF"/>
        </w:rPr>
        <w:t>krüptovarateenuse</w:t>
      </w:r>
      <w:proofErr w:type="spellEnd"/>
      <w:r w:rsidR="00673173" w:rsidRPr="005A55CA">
        <w:rPr>
          <w:sz w:val="22"/>
          <w:szCs w:val="22"/>
          <w:shd w:val="clear" w:color="auto" w:fill="FFFFFF"/>
        </w:rPr>
        <w:t xml:space="preserve"> mõiste alla.</w:t>
      </w:r>
      <w:r w:rsidR="00673173" w:rsidRPr="005A55CA">
        <w:rPr>
          <w:sz w:val="22"/>
          <w:szCs w:val="22"/>
        </w:rPr>
        <w:t xml:space="preserve"> </w:t>
      </w:r>
    </w:p>
    <w:p w14:paraId="4AD6927D" w14:textId="77777777" w:rsidR="00673173" w:rsidRPr="005A55CA" w:rsidRDefault="00673173" w:rsidP="00673173">
      <w:pPr>
        <w:autoSpaceDE w:val="0"/>
        <w:autoSpaceDN w:val="0"/>
        <w:adjustRightInd w:val="0"/>
        <w:rPr>
          <w:sz w:val="22"/>
          <w:szCs w:val="22"/>
        </w:rPr>
      </w:pPr>
    </w:p>
    <w:p w14:paraId="58233895" w14:textId="261C20CD" w:rsidR="00673173" w:rsidRPr="00671D28" w:rsidRDefault="00E74290" w:rsidP="00673173">
      <w:pPr>
        <w:autoSpaceDE w:val="0"/>
        <w:autoSpaceDN w:val="0"/>
        <w:adjustRightInd w:val="0"/>
        <w:spacing w:before="0"/>
        <w:rPr>
          <w:sz w:val="22"/>
          <w:szCs w:val="22"/>
        </w:rPr>
      </w:pPr>
      <w:proofErr w:type="spellStart"/>
      <w:r>
        <w:rPr>
          <w:sz w:val="22"/>
          <w:szCs w:val="22"/>
        </w:rPr>
        <w:t>Krüptovaraga</w:t>
      </w:r>
      <w:proofErr w:type="spellEnd"/>
      <w:r>
        <w:rPr>
          <w:sz w:val="22"/>
          <w:szCs w:val="22"/>
        </w:rPr>
        <w:t xml:space="preserve"> kauplemise platvormi korraldamise teenuse</w:t>
      </w:r>
      <w:r w:rsidR="00673173">
        <w:rPr>
          <w:sz w:val="22"/>
          <w:szCs w:val="22"/>
        </w:rPr>
        <w:t xml:space="preserve"> (</w:t>
      </w:r>
      <w:r w:rsidR="00673173">
        <w:rPr>
          <w:b/>
          <w:sz w:val="22"/>
          <w:szCs w:val="22"/>
        </w:rPr>
        <w:t xml:space="preserve">lõige </w:t>
      </w:r>
      <w:r>
        <w:rPr>
          <w:b/>
          <w:sz w:val="22"/>
          <w:szCs w:val="22"/>
        </w:rPr>
        <w:t>5</w:t>
      </w:r>
      <w:r w:rsidR="00673173">
        <w:rPr>
          <w:sz w:val="22"/>
          <w:szCs w:val="22"/>
        </w:rPr>
        <w:t xml:space="preserve">) all mõistetakse käesoleva seaduse tähenduses sellist teenust, mille raames </w:t>
      </w:r>
      <w:proofErr w:type="spellStart"/>
      <w:r>
        <w:rPr>
          <w:sz w:val="22"/>
          <w:szCs w:val="22"/>
        </w:rPr>
        <w:t>krüptovarateenuse</w:t>
      </w:r>
      <w:proofErr w:type="spellEnd"/>
      <w:r w:rsidR="00673173">
        <w:rPr>
          <w:sz w:val="22"/>
          <w:szCs w:val="22"/>
        </w:rPr>
        <w:t xml:space="preserve"> osutaja haldab </w:t>
      </w:r>
      <w:r>
        <w:rPr>
          <w:sz w:val="22"/>
          <w:szCs w:val="22"/>
        </w:rPr>
        <w:t xml:space="preserve">üht või mitut </w:t>
      </w:r>
      <w:proofErr w:type="spellStart"/>
      <w:r>
        <w:rPr>
          <w:sz w:val="22"/>
          <w:szCs w:val="22"/>
        </w:rPr>
        <w:t>mitmepoolset</w:t>
      </w:r>
      <w:proofErr w:type="spellEnd"/>
      <w:r>
        <w:rPr>
          <w:sz w:val="22"/>
          <w:szCs w:val="22"/>
        </w:rPr>
        <w:t xml:space="preserve"> süsteemi</w:t>
      </w:r>
      <w:r w:rsidR="00673173">
        <w:rPr>
          <w:sz w:val="22"/>
          <w:szCs w:val="22"/>
        </w:rPr>
        <w:t xml:space="preserve">, </w:t>
      </w:r>
      <w:r>
        <w:rPr>
          <w:sz w:val="22"/>
          <w:szCs w:val="22"/>
        </w:rPr>
        <w:t xml:space="preserve">mis viib või võimaldab viia kokku mitu </w:t>
      </w:r>
      <w:proofErr w:type="spellStart"/>
      <w:r>
        <w:rPr>
          <w:sz w:val="22"/>
          <w:szCs w:val="22"/>
        </w:rPr>
        <w:t>krüptovara</w:t>
      </w:r>
      <w:proofErr w:type="spellEnd"/>
      <w:r>
        <w:rPr>
          <w:sz w:val="22"/>
          <w:szCs w:val="22"/>
        </w:rPr>
        <w:t xml:space="preserve"> ostust või müügist huvitatud kolmandat isikut, mille tulemuseks on leping, mille raames üks </w:t>
      </w:r>
      <w:proofErr w:type="spellStart"/>
      <w:r>
        <w:rPr>
          <w:sz w:val="22"/>
          <w:szCs w:val="22"/>
        </w:rPr>
        <w:t>krüptovara</w:t>
      </w:r>
      <w:proofErr w:type="spellEnd"/>
      <w:r>
        <w:rPr>
          <w:sz w:val="22"/>
          <w:szCs w:val="22"/>
        </w:rPr>
        <w:t xml:space="preserve"> vahetatakse teise vastu või </w:t>
      </w:r>
      <w:proofErr w:type="spellStart"/>
      <w:r>
        <w:rPr>
          <w:sz w:val="22"/>
          <w:szCs w:val="22"/>
        </w:rPr>
        <w:t>krüpt</w:t>
      </w:r>
      <w:r w:rsidR="007369D8">
        <w:rPr>
          <w:sz w:val="22"/>
          <w:szCs w:val="22"/>
        </w:rPr>
        <w:t>ovara</w:t>
      </w:r>
      <w:proofErr w:type="spellEnd"/>
      <w:r w:rsidR="007369D8">
        <w:rPr>
          <w:sz w:val="22"/>
          <w:szCs w:val="22"/>
        </w:rPr>
        <w:t xml:space="preserve"> </w:t>
      </w:r>
      <w:r w:rsidR="007369D8" w:rsidRPr="00A43BE0">
        <w:rPr>
          <w:sz w:val="22"/>
          <w:szCs w:val="22"/>
        </w:rPr>
        <w:t>seaduslikuks maksevahendiks</w:t>
      </w:r>
      <w:r w:rsidR="007369D8">
        <w:rPr>
          <w:sz w:val="22"/>
          <w:szCs w:val="22"/>
        </w:rPr>
        <w:t xml:space="preserve"> olevate rahaliste vahendite arvel. </w:t>
      </w:r>
      <w:r w:rsidR="00673173">
        <w:rPr>
          <w:sz w:val="22"/>
          <w:szCs w:val="22"/>
        </w:rPr>
        <w:t xml:space="preserve">Nimetatud platvormi puhul ei tegutse </w:t>
      </w:r>
      <w:proofErr w:type="spellStart"/>
      <w:r w:rsidR="007369D8">
        <w:rPr>
          <w:sz w:val="22"/>
          <w:szCs w:val="22"/>
        </w:rPr>
        <w:t>krüptovarateenuse</w:t>
      </w:r>
      <w:proofErr w:type="spellEnd"/>
      <w:r w:rsidR="007369D8">
        <w:rPr>
          <w:sz w:val="22"/>
          <w:szCs w:val="22"/>
        </w:rPr>
        <w:t xml:space="preserve"> osutaja</w:t>
      </w:r>
      <w:r w:rsidR="00673173">
        <w:rPr>
          <w:sz w:val="22"/>
          <w:szCs w:val="22"/>
        </w:rPr>
        <w:t xml:space="preserve"> ise lepingupoolena</w:t>
      </w:r>
      <w:r w:rsidR="00BD4D0F">
        <w:rPr>
          <w:sz w:val="22"/>
          <w:szCs w:val="22"/>
        </w:rPr>
        <w:t xml:space="preserve"> (v.a § 40 lg 7 nimetatud juhul)</w:t>
      </w:r>
      <w:r w:rsidR="00673173">
        <w:rPr>
          <w:sz w:val="22"/>
          <w:szCs w:val="22"/>
        </w:rPr>
        <w:t xml:space="preserve">, kes vahetab </w:t>
      </w:r>
      <w:proofErr w:type="spellStart"/>
      <w:r w:rsidR="007369D8">
        <w:rPr>
          <w:sz w:val="22"/>
          <w:szCs w:val="22"/>
        </w:rPr>
        <w:t>krüptovara</w:t>
      </w:r>
      <w:proofErr w:type="spellEnd"/>
      <w:r w:rsidR="007369D8">
        <w:rPr>
          <w:sz w:val="22"/>
          <w:szCs w:val="22"/>
        </w:rPr>
        <w:t xml:space="preserve"> mõne muu </w:t>
      </w:r>
      <w:proofErr w:type="spellStart"/>
      <w:r w:rsidR="007369D8">
        <w:rPr>
          <w:sz w:val="22"/>
          <w:szCs w:val="22"/>
        </w:rPr>
        <w:t>krüptovara</w:t>
      </w:r>
      <w:proofErr w:type="spellEnd"/>
      <w:r w:rsidR="00673173">
        <w:rPr>
          <w:sz w:val="22"/>
          <w:szCs w:val="22"/>
        </w:rPr>
        <w:t xml:space="preserve"> või raha vastu, vaid haldab platvormi, millel sobitatakse </w:t>
      </w:r>
      <w:proofErr w:type="spellStart"/>
      <w:r w:rsidR="007369D8">
        <w:rPr>
          <w:sz w:val="22"/>
          <w:szCs w:val="22"/>
        </w:rPr>
        <w:t>krüptovara</w:t>
      </w:r>
      <w:proofErr w:type="spellEnd"/>
      <w:r w:rsidR="00673173">
        <w:rPr>
          <w:sz w:val="22"/>
          <w:szCs w:val="22"/>
        </w:rPr>
        <w:t xml:space="preserve"> ostja ja müüja (või </w:t>
      </w:r>
      <w:proofErr w:type="spellStart"/>
      <w:r w:rsidR="007369D8">
        <w:rPr>
          <w:sz w:val="22"/>
          <w:szCs w:val="22"/>
        </w:rPr>
        <w:t>krüptovara</w:t>
      </w:r>
      <w:proofErr w:type="spellEnd"/>
      <w:r w:rsidR="00673173">
        <w:rPr>
          <w:sz w:val="22"/>
          <w:szCs w:val="22"/>
        </w:rPr>
        <w:t xml:space="preserve"> </w:t>
      </w:r>
      <w:proofErr w:type="spellStart"/>
      <w:r w:rsidR="00673173">
        <w:rPr>
          <w:sz w:val="22"/>
          <w:szCs w:val="22"/>
        </w:rPr>
        <w:t>vahetajate</w:t>
      </w:r>
      <w:proofErr w:type="spellEnd"/>
      <w:r w:rsidR="00673173">
        <w:rPr>
          <w:sz w:val="22"/>
          <w:szCs w:val="22"/>
        </w:rPr>
        <w:t xml:space="preserve">) samasisulised huvid. Tulenevalt </w:t>
      </w:r>
      <w:proofErr w:type="spellStart"/>
      <w:r w:rsidR="007369D8">
        <w:rPr>
          <w:sz w:val="22"/>
          <w:szCs w:val="22"/>
        </w:rPr>
        <w:t>krüptovaraga</w:t>
      </w:r>
      <w:proofErr w:type="spellEnd"/>
      <w:r w:rsidR="00673173">
        <w:rPr>
          <w:sz w:val="22"/>
          <w:szCs w:val="22"/>
        </w:rPr>
        <w:t xml:space="preserve"> ja nende teenuseosutajatega kaasnevast kõrgendatud riskist</w:t>
      </w:r>
      <w:r w:rsidR="00673173" w:rsidRPr="004E1842">
        <w:rPr>
          <w:sz w:val="22"/>
          <w:szCs w:val="22"/>
        </w:rPr>
        <w:footnoteReference w:id="45"/>
      </w:r>
      <w:r w:rsidR="00673173" w:rsidRPr="004E1842">
        <w:rPr>
          <w:b/>
          <w:sz w:val="22"/>
          <w:szCs w:val="22"/>
        </w:rPr>
        <w:t xml:space="preserve"> </w:t>
      </w:r>
      <w:r w:rsidR="00673173">
        <w:rPr>
          <w:sz w:val="22"/>
          <w:szCs w:val="22"/>
        </w:rPr>
        <w:t xml:space="preserve">on mõistlik reguleerida ka selliste teenuseosutajate tegevust, mis võimaldavad ka kolmandatel isikutel </w:t>
      </w:r>
      <w:proofErr w:type="spellStart"/>
      <w:r w:rsidR="007369D8">
        <w:rPr>
          <w:sz w:val="22"/>
          <w:szCs w:val="22"/>
        </w:rPr>
        <w:t>krüptovaraga</w:t>
      </w:r>
      <w:proofErr w:type="spellEnd"/>
      <w:r w:rsidR="00673173">
        <w:rPr>
          <w:sz w:val="22"/>
          <w:szCs w:val="22"/>
        </w:rPr>
        <w:t xml:space="preserve"> tehinguid teha. Samasisulise ettepaneku on esitanud ka FATF oma soovituslikes juhendites ja Euroopa Komisjon septembris 2020 avalikustatud </w:t>
      </w:r>
      <w:proofErr w:type="spellStart"/>
      <w:r w:rsidR="00673173">
        <w:rPr>
          <w:sz w:val="22"/>
          <w:szCs w:val="22"/>
        </w:rPr>
        <w:t>MiCA</w:t>
      </w:r>
      <w:proofErr w:type="spellEnd"/>
      <w:r w:rsidR="00673173">
        <w:rPr>
          <w:sz w:val="22"/>
          <w:szCs w:val="22"/>
        </w:rPr>
        <w:t xml:space="preserve"> ettepanekus.</w:t>
      </w:r>
    </w:p>
    <w:p w14:paraId="5A3E90AE" w14:textId="77777777" w:rsidR="00673173" w:rsidRDefault="00673173" w:rsidP="00673173">
      <w:pPr>
        <w:autoSpaceDE w:val="0"/>
        <w:autoSpaceDN w:val="0"/>
        <w:adjustRightInd w:val="0"/>
        <w:spacing w:before="0"/>
        <w:rPr>
          <w:sz w:val="22"/>
          <w:szCs w:val="22"/>
        </w:rPr>
      </w:pPr>
    </w:p>
    <w:p w14:paraId="1753A6BB" w14:textId="2FB72E6B" w:rsidR="00E74290" w:rsidRPr="005A55CA" w:rsidRDefault="00C50883" w:rsidP="00E74290">
      <w:pPr>
        <w:autoSpaceDE w:val="0"/>
        <w:autoSpaceDN w:val="0"/>
        <w:adjustRightInd w:val="0"/>
        <w:rPr>
          <w:sz w:val="22"/>
          <w:szCs w:val="22"/>
        </w:rPr>
      </w:pPr>
      <w:proofErr w:type="spellStart"/>
      <w:r>
        <w:rPr>
          <w:sz w:val="22"/>
          <w:szCs w:val="22"/>
        </w:rPr>
        <w:t>Krüptovara</w:t>
      </w:r>
      <w:proofErr w:type="spellEnd"/>
      <w:r>
        <w:rPr>
          <w:sz w:val="22"/>
          <w:szCs w:val="22"/>
        </w:rPr>
        <w:t xml:space="preserve"> vahetamine seaduslikuks maksevahendiks olevate rahaliste vahendite vastu või muu </w:t>
      </w:r>
      <w:proofErr w:type="spellStart"/>
      <w:r>
        <w:rPr>
          <w:sz w:val="22"/>
          <w:szCs w:val="22"/>
        </w:rPr>
        <w:t>krüptovara</w:t>
      </w:r>
      <w:proofErr w:type="spellEnd"/>
      <w:r>
        <w:rPr>
          <w:sz w:val="22"/>
          <w:szCs w:val="22"/>
        </w:rPr>
        <w:t xml:space="preserve"> vastu </w:t>
      </w:r>
      <w:r w:rsidR="00E74290" w:rsidRPr="005A55CA">
        <w:rPr>
          <w:sz w:val="22"/>
          <w:szCs w:val="22"/>
        </w:rPr>
        <w:t>(</w:t>
      </w:r>
      <w:r w:rsidR="00E74290" w:rsidRPr="005A55CA">
        <w:rPr>
          <w:b/>
          <w:sz w:val="22"/>
          <w:szCs w:val="22"/>
        </w:rPr>
        <w:t xml:space="preserve">lõige </w:t>
      </w:r>
      <w:r w:rsidR="00EB2ABA">
        <w:rPr>
          <w:b/>
          <w:sz w:val="22"/>
          <w:szCs w:val="22"/>
        </w:rPr>
        <w:t>6</w:t>
      </w:r>
      <w:r w:rsidR="00E74290" w:rsidRPr="005A55CA">
        <w:rPr>
          <w:sz w:val="22"/>
          <w:szCs w:val="22"/>
        </w:rPr>
        <w:t xml:space="preserve">) on teenus, mille raames teenuseosutaja vahetab </w:t>
      </w:r>
      <w:proofErr w:type="spellStart"/>
      <w:r>
        <w:rPr>
          <w:sz w:val="22"/>
          <w:szCs w:val="22"/>
        </w:rPr>
        <w:t>krüptovara</w:t>
      </w:r>
      <w:proofErr w:type="spellEnd"/>
      <w:r w:rsidR="00E74290" w:rsidRPr="005A55CA">
        <w:rPr>
          <w:sz w:val="22"/>
          <w:szCs w:val="22"/>
        </w:rPr>
        <w:t xml:space="preserve"> raha</w:t>
      </w:r>
      <w:r>
        <w:rPr>
          <w:sz w:val="22"/>
          <w:szCs w:val="22"/>
        </w:rPr>
        <w:t>liste vahendite</w:t>
      </w:r>
      <w:r w:rsidR="00E74290" w:rsidRPr="005A55CA">
        <w:rPr>
          <w:sz w:val="22"/>
          <w:szCs w:val="22"/>
        </w:rPr>
        <w:t xml:space="preserve"> vastu või üht </w:t>
      </w:r>
      <w:proofErr w:type="spellStart"/>
      <w:r>
        <w:rPr>
          <w:sz w:val="22"/>
          <w:szCs w:val="22"/>
        </w:rPr>
        <w:t>krüptovara</w:t>
      </w:r>
      <w:proofErr w:type="spellEnd"/>
      <w:r w:rsidR="00E74290" w:rsidRPr="005A55CA">
        <w:rPr>
          <w:sz w:val="22"/>
          <w:szCs w:val="22"/>
        </w:rPr>
        <w:t xml:space="preserve"> teise vastu. Teenuste osutamise all mõistetakse ka vahendamist, kus juriidiline isik aktsepteerib raha</w:t>
      </w:r>
      <w:r w:rsidR="006B3628">
        <w:rPr>
          <w:sz w:val="22"/>
          <w:szCs w:val="22"/>
        </w:rPr>
        <w:t>lisi vahendeid</w:t>
      </w:r>
      <w:r w:rsidR="00E74290" w:rsidRPr="005A55CA">
        <w:rPr>
          <w:sz w:val="22"/>
          <w:szCs w:val="22"/>
        </w:rPr>
        <w:t xml:space="preserve"> või </w:t>
      </w:r>
      <w:proofErr w:type="spellStart"/>
      <w:r w:rsidR="006B3628">
        <w:rPr>
          <w:sz w:val="22"/>
          <w:szCs w:val="22"/>
        </w:rPr>
        <w:t>krüptovara</w:t>
      </w:r>
      <w:proofErr w:type="spellEnd"/>
      <w:r w:rsidR="00E74290" w:rsidRPr="005A55CA">
        <w:rPr>
          <w:sz w:val="22"/>
          <w:szCs w:val="22"/>
        </w:rPr>
        <w:t xml:space="preserve"> ning kannab need vahetamiseks edasi kolmandale isikule, sealjuures ise mitte vahetamist teostades, ning saadud raha või vääringu lõpp-kliendile tagasi kandes. Lisaks tasub märkida, et </w:t>
      </w:r>
      <w:proofErr w:type="spellStart"/>
      <w:r w:rsidR="00897B59">
        <w:rPr>
          <w:sz w:val="22"/>
          <w:szCs w:val="22"/>
        </w:rPr>
        <w:t>krüptovara</w:t>
      </w:r>
      <w:r w:rsidR="00E74290" w:rsidRPr="005A55CA">
        <w:rPr>
          <w:sz w:val="22"/>
          <w:szCs w:val="22"/>
        </w:rPr>
        <w:t>teenuse</w:t>
      </w:r>
      <w:proofErr w:type="spellEnd"/>
      <w:r w:rsidR="00E74290" w:rsidRPr="005A55CA">
        <w:rPr>
          <w:sz w:val="22"/>
          <w:szCs w:val="22"/>
        </w:rPr>
        <w:t xml:space="preserve"> osutamise alla liigituvad kõik teenused, milles </w:t>
      </w:r>
      <w:r w:rsidR="00E74290" w:rsidRPr="005A55CA">
        <w:rPr>
          <w:sz w:val="22"/>
          <w:szCs w:val="22"/>
        </w:rPr>
        <w:lastRenderedPageBreak/>
        <w:t xml:space="preserve">teenuseosutaja võtab vastu ametlikult käibel olevat valuutat või </w:t>
      </w:r>
      <w:proofErr w:type="spellStart"/>
      <w:r w:rsidR="00897B59">
        <w:rPr>
          <w:sz w:val="22"/>
          <w:szCs w:val="22"/>
        </w:rPr>
        <w:t>krüptovara</w:t>
      </w:r>
      <w:proofErr w:type="spellEnd"/>
      <w:r w:rsidR="00E74290" w:rsidRPr="005A55CA">
        <w:rPr>
          <w:sz w:val="22"/>
          <w:szCs w:val="22"/>
        </w:rPr>
        <w:t xml:space="preserve"> ning annab kliendile tagasi teist liiki </w:t>
      </w:r>
      <w:proofErr w:type="spellStart"/>
      <w:r w:rsidR="00897B59">
        <w:rPr>
          <w:sz w:val="22"/>
          <w:szCs w:val="22"/>
        </w:rPr>
        <w:t>krüptovara</w:t>
      </w:r>
      <w:proofErr w:type="spellEnd"/>
      <w:r w:rsidR="00E74290" w:rsidRPr="005A55CA">
        <w:rPr>
          <w:sz w:val="22"/>
          <w:szCs w:val="22"/>
        </w:rPr>
        <w:t xml:space="preserve"> või vahetab valuuta </w:t>
      </w:r>
      <w:proofErr w:type="spellStart"/>
      <w:r w:rsidR="00897B59">
        <w:rPr>
          <w:sz w:val="22"/>
          <w:szCs w:val="22"/>
        </w:rPr>
        <w:t>krüptovara</w:t>
      </w:r>
      <w:proofErr w:type="spellEnd"/>
      <w:r w:rsidR="00E74290" w:rsidRPr="005A55CA">
        <w:rPr>
          <w:sz w:val="22"/>
          <w:szCs w:val="22"/>
        </w:rPr>
        <w:t xml:space="preserve"> vastu, või vastupidi.</w:t>
      </w:r>
    </w:p>
    <w:p w14:paraId="201D18F8" w14:textId="678745EE" w:rsidR="00E74290" w:rsidRDefault="00E74290" w:rsidP="00673173">
      <w:pPr>
        <w:autoSpaceDE w:val="0"/>
        <w:autoSpaceDN w:val="0"/>
        <w:adjustRightInd w:val="0"/>
        <w:spacing w:before="0"/>
        <w:rPr>
          <w:sz w:val="22"/>
          <w:szCs w:val="22"/>
        </w:rPr>
      </w:pPr>
    </w:p>
    <w:p w14:paraId="4B92B9DD" w14:textId="37E3415E" w:rsidR="008A567E" w:rsidRPr="009E1576" w:rsidRDefault="008A567E" w:rsidP="00673173">
      <w:pPr>
        <w:autoSpaceDE w:val="0"/>
        <w:autoSpaceDN w:val="0"/>
        <w:adjustRightInd w:val="0"/>
        <w:spacing w:before="0"/>
        <w:rPr>
          <w:sz w:val="22"/>
          <w:szCs w:val="22"/>
        </w:rPr>
      </w:pPr>
      <w:proofErr w:type="spellStart"/>
      <w:r w:rsidRPr="009E1576">
        <w:rPr>
          <w:sz w:val="22"/>
          <w:szCs w:val="22"/>
        </w:rPr>
        <w:t>Krüptovaraga</w:t>
      </w:r>
      <w:proofErr w:type="spellEnd"/>
      <w:r w:rsidRPr="009E1576">
        <w:rPr>
          <w:sz w:val="22"/>
          <w:szCs w:val="22"/>
        </w:rPr>
        <w:t xml:space="preserve"> seotud korralduste täitmi</w:t>
      </w:r>
      <w:r w:rsidR="009E1576" w:rsidRPr="009E1576">
        <w:rPr>
          <w:sz w:val="22"/>
          <w:szCs w:val="22"/>
        </w:rPr>
        <w:t>s</w:t>
      </w:r>
      <w:r w:rsidRPr="009E1576">
        <w:rPr>
          <w:sz w:val="22"/>
          <w:szCs w:val="22"/>
        </w:rPr>
        <w:t>e (</w:t>
      </w:r>
      <w:r w:rsidRPr="009E1576">
        <w:rPr>
          <w:b/>
          <w:bCs/>
          <w:sz w:val="22"/>
          <w:szCs w:val="22"/>
        </w:rPr>
        <w:t>lõige 7</w:t>
      </w:r>
      <w:r w:rsidRPr="009E1576">
        <w:rPr>
          <w:sz w:val="22"/>
          <w:szCs w:val="22"/>
        </w:rPr>
        <w:t>)</w:t>
      </w:r>
      <w:r w:rsidR="009E1576" w:rsidRPr="009E1576">
        <w:rPr>
          <w:sz w:val="22"/>
          <w:szCs w:val="22"/>
        </w:rPr>
        <w:t xml:space="preserve"> all mõistetakse teenust, mille raames </w:t>
      </w:r>
      <w:proofErr w:type="spellStart"/>
      <w:r w:rsidR="009E1576" w:rsidRPr="009E1576">
        <w:rPr>
          <w:sz w:val="22"/>
          <w:szCs w:val="22"/>
        </w:rPr>
        <w:t>krüptovarateenuse</w:t>
      </w:r>
      <w:proofErr w:type="spellEnd"/>
      <w:r w:rsidR="009E1576" w:rsidRPr="009E1576">
        <w:rPr>
          <w:sz w:val="22"/>
          <w:szCs w:val="22"/>
        </w:rPr>
        <w:t xml:space="preserve"> osutaja sõlmib kokkuleppeid ühe või mitme </w:t>
      </w:r>
      <w:proofErr w:type="spellStart"/>
      <w:r w:rsidR="009E1576" w:rsidRPr="009E1576">
        <w:rPr>
          <w:sz w:val="22"/>
          <w:szCs w:val="22"/>
        </w:rPr>
        <w:t>krüptovara</w:t>
      </w:r>
      <w:proofErr w:type="spellEnd"/>
      <w:r w:rsidR="009E1576" w:rsidRPr="009E1576">
        <w:rPr>
          <w:sz w:val="22"/>
          <w:szCs w:val="22"/>
        </w:rPr>
        <w:t xml:space="preserve"> ostmiseks või müümiseks või ühe või mitme </w:t>
      </w:r>
      <w:proofErr w:type="spellStart"/>
      <w:r w:rsidR="009E1576" w:rsidRPr="009E1576">
        <w:rPr>
          <w:sz w:val="22"/>
          <w:szCs w:val="22"/>
        </w:rPr>
        <w:t>krüptovara</w:t>
      </w:r>
      <w:proofErr w:type="spellEnd"/>
      <w:r w:rsidR="009E1576" w:rsidRPr="009E1576">
        <w:rPr>
          <w:sz w:val="22"/>
          <w:szCs w:val="22"/>
        </w:rPr>
        <w:t xml:space="preserve"> märkimiseks kolmandate isikute nimel, sealhulgas tehingute tegemiseks, millega </w:t>
      </w:r>
      <w:proofErr w:type="spellStart"/>
      <w:r w:rsidR="009E1576" w:rsidRPr="009E1576">
        <w:rPr>
          <w:sz w:val="22"/>
          <w:szCs w:val="22"/>
        </w:rPr>
        <w:t>krüptovara</w:t>
      </w:r>
      <w:proofErr w:type="spellEnd"/>
      <w:r w:rsidR="009E1576" w:rsidRPr="009E1576">
        <w:rPr>
          <w:sz w:val="22"/>
          <w:szCs w:val="22"/>
        </w:rPr>
        <w:t xml:space="preserve"> müüakse nimetatud </w:t>
      </w:r>
      <w:proofErr w:type="spellStart"/>
      <w:r w:rsidR="009E1576" w:rsidRPr="009E1576">
        <w:rPr>
          <w:sz w:val="22"/>
          <w:szCs w:val="22"/>
        </w:rPr>
        <w:t>krüptovara</w:t>
      </w:r>
      <w:proofErr w:type="spellEnd"/>
      <w:r w:rsidR="009E1576" w:rsidRPr="009E1576">
        <w:rPr>
          <w:sz w:val="22"/>
          <w:szCs w:val="22"/>
        </w:rPr>
        <w:t xml:space="preserve"> väljastamise hetkel.</w:t>
      </w:r>
      <w:r w:rsidRPr="009E1576">
        <w:rPr>
          <w:sz w:val="22"/>
          <w:szCs w:val="22"/>
        </w:rPr>
        <w:t xml:space="preserve"> </w:t>
      </w:r>
      <w:r w:rsidR="009E1576">
        <w:rPr>
          <w:sz w:val="22"/>
          <w:szCs w:val="22"/>
        </w:rPr>
        <w:t xml:space="preserve">Tegemist on sarnase teenusega nagu reguleeritud väärtpaberituru seaduse § 43 lg 1 p 2 nimetatud investeerimisteenusega, kuid tehingu objektiks ei ole väärtpaberid, vaid </w:t>
      </w:r>
      <w:proofErr w:type="spellStart"/>
      <w:r w:rsidR="009E1576">
        <w:rPr>
          <w:sz w:val="22"/>
          <w:szCs w:val="22"/>
        </w:rPr>
        <w:t>krüptovara</w:t>
      </w:r>
      <w:proofErr w:type="spellEnd"/>
      <w:r w:rsidR="009E1576">
        <w:rPr>
          <w:sz w:val="22"/>
          <w:szCs w:val="22"/>
        </w:rPr>
        <w:t xml:space="preserve">. Samas ei lange teenuse alla selliste korralduste täitmine, mis seisneb </w:t>
      </w:r>
      <w:proofErr w:type="spellStart"/>
      <w:r w:rsidR="009E1576">
        <w:rPr>
          <w:sz w:val="22"/>
          <w:szCs w:val="22"/>
        </w:rPr>
        <w:t>krüptovara</w:t>
      </w:r>
      <w:proofErr w:type="spellEnd"/>
      <w:r w:rsidR="009E1576">
        <w:rPr>
          <w:sz w:val="22"/>
          <w:szCs w:val="22"/>
        </w:rPr>
        <w:t xml:space="preserve"> vahetamises seaduslikuks maksevahendiks olevate rahaliste vahendite vastu või muu </w:t>
      </w:r>
      <w:proofErr w:type="spellStart"/>
      <w:r w:rsidR="009E1576">
        <w:rPr>
          <w:sz w:val="22"/>
          <w:szCs w:val="22"/>
        </w:rPr>
        <w:t>krüptovara</w:t>
      </w:r>
      <w:proofErr w:type="spellEnd"/>
      <w:r w:rsidR="009E1576">
        <w:rPr>
          <w:sz w:val="22"/>
          <w:szCs w:val="22"/>
        </w:rPr>
        <w:t xml:space="preserve"> vastu (vt lg 6 ülal).</w:t>
      </w:r>
    </w:p>
    <w:p w14:paraId="08CF2185" w14:textId="0D45B041" w:rsidR="008A567E" w:rsidRDefault="008A567E" w:rsidP="00673173">
      <w:pPr>
        <w:autoSpaceDE w:val="0"/>
        <w:autoSpaceDN w:val="0"/>
        <w:adjustRightInd w:val="0"/>
        <w:spacing w:before="0"/>
        <w:rPr>
          <w:sz w:val="22"/>
          <w:szCs w:val="22"/>
        </w:rPr>
      </w:pPr>
    </w:p>
    <w:p w14:paraId="45876549" w14:textId="26FADD68" w:rsidR="008A567E" w:rsidRDefault="008A567E" w:rsidP="00673173">
      <w:pPr>
        <w:autoSpaceDE w:val="0"/>
        <w:autoSpaceDN w:val="0"/>
        <w:adjustRightInd w:val="0"/>
        <w:spacing w:before="0"/>
        <w:rPr>
          <w:sz w:val="22"/>
          <w:szCs w:val="22"/>
        </w:rPr>
      </w:pPr>
      <w:proofErr w:type="spellStart"/>
      <w:r w:rsidRPr="009E1576">
        <w:rPr>
          <w:sz w:val="22"/>
          <w:szCs w:val="22"/>
        </w:rPr>
        <w:t>Krüptovara</w:t>
      </w:r>
      <w:proofErr w:type="spellEnd"/>
      <w:r w:rsidRPr="009E1576">
        <w:rPr>
          <w:sz w:val="22"/>
          <w:szCs w:val="22"/>
        </w:rPr>
        <w:t xml:space="preserve"> pakkumine (</w:t>
      </w:r>
      <w:r w:rsidRPr="009E1576">
        <w:rPr>
          <w:b/>
          <w:bCs/>
          <w:sz w:val="22"/>
          <w:szCs w:val="22"/>
        </w:rPr>
        <w:t>lõige 8</w:t>
      </w:r>
      <w:r w:rsidRPr="009E1576">
        <w:rPr>
          <w:sz w:val="22"/>
          <w:szCs w:val="22"/>
        </w:rPr>
        <w:t xml:space="preserve">) </w:t>
      </w:r>
      <w:r w:rsidR="00726304" w:rsidRPr="009E1576">
        <w:rPr>
          <w:sz w:val="22"/>
          <w:szCs w:val="22"/>
        </w:rPr>
        <w:t>hõlmab</w:t>
      </w:r>
      <w:r w:rsidR="00726304" w:rsidRPr="00962555">
        <w:rPr>
          <w:sz w:val="22"/>
          <w:szCs w:val="22"/>
        </w:rPr>
        <w:t xml:space="preserve"> nii </w:t>
      </w:r>
      <w:proofErr w:type="spellStart"/>
      <w:r w:rsidR="009E1576">
        <w:rPr>
          <w:sz w:val="22"/>
          <w:szCs w:val="22"/>
        </w:rPr>
        <w:t>krüptovara</w:t>
      </w:r>
      <w:proofErr w:type="spellEnd"/>
      <w:r w:rsidR="00726304">
        <w:rPr>
          <w:sz w:val="22"/>
          <w:szCs w:val="22"/>
        </w:rPr>
        <w:t xml:space="preserve"> väljastaja</w:t>
      </w:r>
      <w:r w:rsidR="00726304" w:rsidRPr="00962555">
        <w:rPr>
          <w:sz w:val="22"/>
          <w:szCs w:val="22"/>
        </w:rPr>
        <w:t xml:space="preserve"> enda pakutavaid teenuseid kui ka teise osapoole pakutavaid teenuseid, mis on seotud </w:t>
      </w:r>
      <w:proofErr w:type="spellStart"/>
      <w:r w:rsidR="009E1576">
        <w:rPr>
          <w:sz w:val="22"/>
          <w:szCs w:val="22"/>
        </w:rPr>
        <w:t>krüptovara</w:t>
      </w:r>
      <w:proofErr w:type="spellEnd"/>
      <w:r w:rsidR="00726304">
        <w:rPr>
          <w:sz w:val="22"/>
          <w:szCs w:val="22"/>
        </w:rPr>
        <w:t xml:space="preserve"> </w:t>
      </w:r>
      <w:r w:rsidR="007875ED">
        <w:rPr>
          <w:sz w:val="22"/>
          <w:szCs w:val="22"/>
        </w:rPr>
        <w:t xml:space="preserve">(suunatud) </w:t>
      </w:r>
      <w:r w:rsidR="00726304" w:rsidRPr="00962555">
        <w:rPr>
          <w:sz w:val="22"/>
          <w:szCs w:val="22"/>
        </w:rPr>
        <w:t>pakkumise</w:t>
      </w:r>
      <w:r w:rsidR="007875ED">
        <w:rPr>
          <w:sz w:val="22"/>
          <w:szCs w:val="22"/>
        </w:rPr>
        <w:t xml:space="preserve">ga, st turustamisega kindlaksmääratud ostjatele, kui tegemist ei ole </w:t>
      </w:r>
      <w:proofErr w:type="spellStart"/>
      <w:r w:rsidR="007875ED">
        <w:rPr>
          <w:sz w:val="22"/>
          <w:szCs w:val="22"/>
        </w:rPr>
        <w:t>krüptovara</w:t>
      </w:r>
      <w:proofErr w:type="spellEnd"/>
      <w:r w:rsidR="007875ED">
        <w:rPr>
          <w:sz w:val="22"/>
          <w:szCs w:val="22"/>
        </w:rPr>
        <w:t xml:space="preserve"> avaliku pakkumisega.</w:t>
      </w:r>
      <w:r w:rsidR="00726304" w:rsidRPr="00962555">
        <w:rPr>
          <w:sz w:val="22"/>
          <w:szCs w:val="22"/>
        </w:rPr>
        <w:t xml:space="preserve"> Pelgalt </w:t>
      </w:r>
      <w:proofErr w:type="spellStart"/>
      <w:r w:rsidR="009E1576">
        <w:rPr>
          <w:sz w:val="22"/>
          <w:szCs w:val="22"/>
        </w:rPr>
        <w:t>krüptovara</w:t>
      </w:r>
      <w:proofErr w:type="spellEnd"/>
      <w:r w:rsidR="00726304" w:rsidRPr="00962555">
        <w:rPr>
          <w:sz w:val="22"/>
          <w:szCs w:val="22"/>
        </w:rPr>
        <w:t xml:space="preserve"> pakkumiseks vajaliku tarkvara arendamine siiski ei kvalifitseeru </w:t>
      </w:r>
      <w:proofErr w:type="spellStart"/>
      <w:r w:rsidR="009E1576">
        <w:rPr>
          <w:sz w:val="22"/>
          <w:szCs w:val="22"/>
        </w:rPr>
        <w:t>krüptovara</w:t>
      </w:r>
      <w:proofErr w:type="spellEnd"/>
      <w:r w:rsidR="00726304" w:rsidRPr="00962555">
        <w:rPr>
          <w:sz w:val="22"/>
          <w:szCs w:val="22"/>
        </w:rPr>
        <w:t xml:space="preserve"> teenuseks, kui teenus ei hõlma eelnimetatud täiendavaid aspekte. Samas tarkvara kasutamise võimaldamine virtuaalvääringu pakkumise, müügi või kauplemise mõjutamiseks võib olla hõlmatud.</w:t>
      </w:r>
    </w:p>
    <w:p w14:paraId="01C73646" w14:textId="5279BB0C" w:rsidR="008A567E" w:rsidRDefault="008A567E" w:rsidP="00673173">
      <w:pPr>
        <w:autoSpaceDE w:val="0"/>
        <w:autoSpaceDN w:val="0"/>
        <w:adjustRightInd w:val="0"/>
        <w:spacing w:before="0"/>
        <w:rPr>
          <w:sz w:val="22"/>
          <w:szCs w:val="22"/>
        </w:rPr>
      </w:pPr>
    </w:p>
    <w:p w14:paraId="2309AE3B" w14:textId="60B29266" w:rsidR="008A567E" w:rsidRDefault="008A567E" w:rsidP="00673173">
      <w:pPr>
        <w:autoSpaceDE w:val="0"/>
        <w:autoSpaceDN w:val="0"/>
        <w:adjustRightInd w:val="0"/>
        <w:spacing w:before="0"/>
        <w:rPr>
          <w:sz w:val="22"/>
          <w:szCs w:val="22"/>
        </w:rPr>
      </w:pPr>
      <w:proofErr w:type="spellStart"/>
      <w:r w:rsidRPr="007875ED">
        <w:rPr>
          <w:sz w:val="22"/>
          <w:szCs w:val="22"/>
        </w:rPr>
        <w:t>Krüptovaraga</w:t>
      </w:r>
      <w:proofErr w:type="spellEnd"/>
      <w:r w:rsidRPr="007875ED">
        <w:rPr>
          <w:sz w:val="22"/>
          <w:szCs w:val="22"/>
        </w:rPr>
        <w:t xml:space="preserve"> seotud korralduste vastuvõtmine ja edastamine kolmandate isikute nimel (</w:t>
      </w:r>
      <w:r w:rsidRPr="007875ED">
        <w:rPr>
          <w:b/>
          <w:bCs/>
          <w:sz w:val="22"/>
          <w:szCs w:val="22"/>
        </w:rPr>
        <w:t>lõige 9</w:t>
      </w:r>
      <w:r w:rsidRPr="007875ED">
        <w:rPr>
          <w:sz w:val="22"/>
          <w:szCs w:val="22"/>
        </w:rPr>
        <w:t>)</w:t>
      </w:r>
      <w:r>
        <w:rPr>
          <w:sz w:val="22"/>
          <w:szCs w:val="22"/>
        </w:rPr>
        <w:t xml:space="preserve"> </w:t>
      </w:r>
      <w:r w:rsidR="007875ED">
        <w:rPr>
          <w:sz w:val="22"/>
          <w:szCs w:val="22"/>
        </w:rPr>
        <w:t xml:space="preserve">tähendab teenust, mille raames </w:t>
      </w:r>
      <w:proofErr w:type="spellStart"/>
      <w:r w:rsidR="007875ED">
        <w:rPr>
          <w:sz w:val="22"/>
          <w:szCs w:val="22"/>
        </w:rPr>
        <w:t>krüptovarateenuse</w:t>
      </w:r>
      <w:proofErr w:type="spellEnd"/>
      <w:r w:rsidR="007875ED">
        <w:rPr>
          <w:sz w:val="22"/>
          <w:szCs w:val="22"/>
        </w:rPr>
        <w:t xml:space="preserve"> osutaja sõlmib kokkuleppeid ühe või mitme </w:t>
      </w:r>
      <w:proofErr w:type="spellStart"/>
      <w:r w:rsidR="007875ED">
        <w:rPr>
          <w:sz w:val="22"/>
          <w:szCs w:val="22"/>
        </w:rPr>
        <w:t>krüptovara</w:t>
      </w:r>
      <w:proofErr w:type="spellEnd"/>
      <w:r w:rsidR="007875ED">
        <w:rPr>
          <w:sz w:val="22"/>
          <w:szCs w:val="22"/>
        </w:rPr>
        <w:t xml:space="preserve"> ostmiseks või müümiseks või ühe või mitme </w:t>
      </w:r>
      <w:proofErr w:type="spellStart"/>
      <w:r w:rsidR="007875ED">
        <w:rPr>
          <w:sz w:val="22"/>
          <w:szCs w:val="22"/>
        </w:rPr>
        <w:t>krüptovara</w:t>
      </w:r>
      <w:proofErr w:type="spellEnd"/>
      <w:r w:rsidR="007875ED">
        <w:rPr>
          <w:sz w:val="22"/>
          <w:szCs w:val="22"/>
        </w:rPr>
        <w:t xml:space="preserve"> märkimiseks kolmandate isikute nimel. Tegemist on sarnase teenusega nagu reguleeritud väärtpaberituru seaduse § 43 lg 1 p 1 nimetatud investeerimisteenusega, kuid tehingu objektiks ei ole väärtpaberid, vaid </w:t>
      </w:r>
      <w:proofErr w:type="spellStart"/>
      <w:r w:rsidR="007875ED">
        <w:rPr>
          <w:sz w:val="22"/>
          <w:szCs w:val="22"/>
        </w:rPr>
        <w:t>krüptovara</w:t>
      </w:r>
      <w:proofErr w:type="spellEnd"/>
      <w:r w:rsidR="007875ED">
        <w:rPr>
          <w:sz w:val="22"/>
          <w:szCs w:val="22"/>
        </w:rPr>
        <w:t xml:space="preserve">. Samas ei lange teenuse alla selliste korralduste täitmine, mis seisneb </w:t>
      </w:r>
      <w:proofErr w:type="spellStart"/>
      <w:r w:rsidR="007875ED">
        <w:rPr>
          <w:sz w:val="22"/>
          <w:szCs w:val="22"/>
        </w:rPr>
        <w:t>krüptovara</w:t>
      </w:r>
      <w:proofErr w:type="spellEnd"/>
      <w:r w:rsidR="007875ED">
        <w:rPr>
          <w:sz w:val="22"/>
          <w:szCs w:val="22"/>
        </w:rPr>
        <w:t xml:space="preserve"> vahetamises seaduslikuks maksevahendiks olevate rahaliste vahendite vastu või muu </w:t>
      </w:r>
      <w:proofErr w:type="spellStart"/>
      <w:r w:rsidR="007875ED">
        <w:rPr>
          <w:sz w:val="22"/>
          <w:szCs w:val="22"/>
        </w:rPr>
        <w:t>krüptovara</w:t>
      </w:r>
      <w:proofErr w:type="spellEnd"/>
      <w:r w:rsidR="007875ED">
        <w:rPr>
          <w:sz w:val="22"/>
          <w:szCs w:val="22"/>
        </w:rPr>
        <w:t xml:space="preserve"> vastu (vt lg 6 ülal).</w:t>
      </w:r>
    </w:p>
    <w:p w14:paraId="1B5F6C5B" w14:textId="36CCAB09" w:rsidR="008A567E" w:rsidRDefault="008A567E" w:rsidP="00673173">
      <w:pPr>
        <w:autoSpaceDE w:val="0"/>
        <w:autoSpaceDN w:val="0"/>
        <w:adjustRightInd w:val="0"/>
        <w:spacing w:before="0"/>
        <w:rPr>
          <w:sz w:val="22"/>
          <w:szCs w:val="22"/>
        </w:rPr>
      </w:pPr>
    </w:p>
    <w:p w14:paraId="64CA5926" w14:textId="3DC91353" w:rsidR="008A567E" w:rsidRPr="00F05668" w:rsidRDefault="008A567E" w:rsidP="00673173">
      <w:pPr>
        <w:autoSpaceDE w:val="0"/>
        <w:autoSpaceDN w:val="0"/>
        <w:adjustRightInd w:val="0"/>
        <w:spacing w:before="0"/>
        <w:rPr>
          <w:sz w:val="22"/>
          <w:szCs w:val="22"/>
        </w:rPr>
      </w:pPr>
      <w:proofErr w:type="spellStart"/>
      <w:r w:rsidRPr="00F05668">
        <w:rPr>
          <w:sz w:val="22"/>
          <w:szCs w:val="22"/>
        </w:rPr>
        <w:t>Krüptovara</w:t>
      </w:r>
      <w:proofErr w:type="spellEnd"/>
      <w:r w:rsidRPr="00F05668">
        <w:rPr>
          <w:sz w:val="22"/>
          <w:szCs w:val="22"/>
        </w:rPr>
        <w:t xml:space="preserve"> kohta nõu andmine (</w:t>
      </w:r>
      <w:r w:rsidRPr="00F05668">
        <w:rPr>
          <w:b/>
          <w:bCs/>
          <w:sz w:val="22"/>
          <w:szCs w:val="22"/>
        </w:rPr>
        <w:t>lõige 10</w:t>
      </w:r>
      <w:r w:rsidRPr="00F05668">
        <w:rPr>
          <w:sz w:val="22"/>
          <w:szCs w:val="22"/>
        </w:rPr>
        <w:t xml:space="preserve">) </w:t>
      </w:r>
      <w:r w:rsidR="00F05668" w:rsidRPr="00F05668">
        <w:rPr>
          <w:sz w:val="22"/>
          <w:szCs w:val="22"/>
        </w:rPr>
        <w:t xml:space="preserve">on teenus, mille raames </w:t>
      </w:r>
      <w:proofErr w:type="spellStart"/>
      <w:r w:rsidR="00F05668" w:rsidRPr="00F05668">
        <w:rPr>
          <w:sz w:val="22"/>
          <w:szCs w:val="22"/>
        </w:rPr>
        <w:t>krüptovarateenuse</w:t>
      </w:r>
      <w:proofErr w:type="spellEnd"/>
      <w:r w:rsidR="00F05668" w:rsidRPr="00F05668">
        <w:rPr>
          <w:sz w:val="22"/>
          <w:szCs w:val="22"/>
        </w:rPr>
        <w:t xml:space="preserve"> osutaja annab kolmanda isiku taotlusel või nõu andva </w:t>
      </w:r>
      <w:proofErr w:type="spellStart"/>
      <w:r w:rsidR="00F05668" w:rsidRPr="00F05668">
        <w:rPr>
          <w:sz w:val="22"/>
          <w:szCs w:val="22"/>
        </w:rPr>
        <w:t>krüptovarateenuse</w:t>
      </w:r>
      <w:proofErr w:type="spellEnd"/>
      <w:r w:rsidR="00F05668" w:rsidRPr="00F05668">
        <w:rPr>
          <w:sz w:val="22"/>
          <w:szCs w:val="22"/>
        </w:rPr>
        <w:t xml:space="preserve"> osutaja algatusel kolmandale isikule personaalseid soovitusi ühe või mitme </w:t>
      </w:r>
      <w:proofErr w:type="spellStart"/>
      <w:r w:rsidR="00F05668" w:rsidRPr="00F05668">
        <w:rPr>
          <w:sz w:val="22"/>
          <w:szCs w:val="22"/>
        </w:rPr>
        <w:t>krüptovaraga</w:t>
      </w:r>
      <w:proofErr w:type="spellEnd"/>
      <w:r w:rsidR="00F05668" w:rsidRPr="00F05668">
        <w:rPr>
          <w:sz w:val="22"/>
          <w:szCs w:val="22"/>
        </w:rPr>
        <w:t xml:space="preserve"> seotud tehingu suhtes, või annab nõusoleku nimetatud soovitusi anda. </w:t>
      </w:r>
      <w:r w:rsidR="00146B2C">
        <w:rPr>
          <w:sz w:val="22"/>
          <w:szCs w:val="22"/>
        </w:rPr>
        <w:t xml:space="preserve">Teenuse sisu põhineb </w:t>
      </w:r>
      <w:proofErr w:type="spellStart"/>
      <w:r w:rsidR="00146B2C">
        <w:rPr>
          <w:sz w:val="22"/>
          <w:szCs w:val="22"/>
        </w:rPr>
        <w:t>MiCA</w:t>
      </w:r>
      <w:proofErr w:type="spellEnd"/>
      <w:r w:rsidR="00146B2C">
        <w:rPr>
          <w:sz w:val="22"/>
          <w:szCs w:val="22"/>
        </w:rPr>
        <w:t xml:space="preserve"> ettepaneku artiklil 3(1)17. </w:t>
      </w:r>
      <w:r w:rsidR="00F05668">
        <w:rPr>
          <w:sz w:val="22"/>
          <w:szCs w:val="22"/>
        </w:rPr>
        <w:t xml:space="preserve">Sisuliselt on tegemist sarnase teenusega nagu investeerimisnõustamine MiFID2/VPTS tähenduses, aga selle erisusega, et teenuseosutaja annab soovitusi </w:t>
      </w:r>
      <w:proofErr w:type="spellStart"/>
      <w:r w:rsidR="00F05668">
        <w:rPr>
          <w:sz w:val="22"/>
          <w:szCs w:val="22"/>
        </w:rPr>
        <w:t>krüptovara</w:t>
      </w:r>
      <w:proofErr w:type="spellEnd"/>
      <w:r w:rsidR="00F05668">
        <w:rPr>
          <w:sz w:val="22"/>
          <w:szCs w:val="22"/>
        </w:rPr>
        <w:t xml:space="preserve"> (mitte väärtpaberite) omandamise kohta. „Personaalsete soovituste ühe või mitme </w:t>
      </w:r>
      <w:proofErr w:type="spellStart"/>
      <w:r w:rsidR="00F05668">
        <w:rPr>
          <w:sz w:val="22"/>
          <w:szCs w:val="22"/>
        </w:rPr>
        <w:t>krüptovaraga</w:t>
      </w:r>
      <w:proofErr w:type="spellEnd"/>
      <w:r w:rsidR="00F05668">
        <w:rPr>
          <w:sz w:val="22"/>
          <w:szCs w:val="22"/>
        </w:rPr>
        <w:t xml:space="preserve"> seotud tehingu suhtes“ all mõeldakse</w:t>
      </w:r>
      <w:r w:rsidR="00577614">
        <w:rPr>
          <w:sz w:val="22"/>
          <w:szCs w:val="22"/>
        </w:rPr>
        <w:t xml:space="preserve"> </w:t>
      </w:r>
      <w:r w:rsidR="00F05668">
        <w:rPr>
          <w:sz w:val="22"/>
          <w:szCs w:val="22"/>
        </w:rPr>
        <w:t xml:space="preserve">kliendile </w:t>
      </w:r>
      <w:r w:rsidR="00577614">
        <w:rPr>
          <w:sz w:val="22"/>
          <w:szCs w:val="22"/>
        </w:rPr>
        <w:t xml:space="preserve">antavat soovitust teha mõne konkreetse </w:t>
      </w:r>
      <w:proofErr w:type="spellStart"/>
      <w:r w:rsidR="00577614">
        <w:rPr>
          <w:sz w:val="22"/>
          <w:szCs w:val="22"/>
        </w:rPr>
        <w:t>krüptovaraga</w:t>
      </w:r>
      <w:proofErr w:type="spellEnd"/>
      <w:r w:rsidR="00577614">
        <w:rPr>
          <w:sz w:val="22"/>
          <w:szCs w:val="22"/>
        </w:rPr>
        <w:t xml:space="preserve"> tehing soovituses nimetatud tingimustel, arvestades mh kliendi finantsilist olukorda ja riskitaluvust (vt ka § 59 lg 1).</w:t>
      </w:r>
      <w:r w:rsidR="00F05668">
        <w:rPr>
          <w:sz w:val="22"/>
          <w:szCs w:val="22"/>
        </w:rPr>
        <w:t xml:space="preserve"> </w:t>
      </w:r>
      <w:r w:rsidR="003F4D9D">
        <w:rPr>
          <w:sz w:val="22"/>
          <w:szCs w:val="22"/>
        </w:rPr>
        <w:t xml:space="preserve">Näiteks nimetatud soovituse alla liigituks nõu andva </w:t>
      </w:r>
      <w:proofErr w:type="spellStart"/>
      <w:r w:rsidR="003F4D9D">
        <w:rPr>
          <w:sz w:val="22"/>
          <w:szCs w:val="22"/>
        </w:rPr>
        <w:t>krüptovarateenuse</w:t>
      </w:r>
      <w:proofErr w:type="spellEnd"/>
      <w:r w:rsidR="003F4D9D">
        <w:rPr>
          <w:sz w:val="22"/>
          <w:szCs w:val="22"/>
        </w:rPr>
        <w:t xml:space="preserve"> osutaja </w:t>
      </w:r>
      <w:r w:rsidR="00FD3B72">
        <w:rPr>
          <w:sz w:val="22"/>
          <w:szCs w:val="22"/>
        </w:rPr>
        <w:t xml:space="preserve">kliendile suunatud </w:t>
      </w:r>
      <w:r w:rsidR="003F4D9D">
        <w:rPr>
          <w:sz w:val="22"/>
          <w:szCs w:val="22"/>
        </w:rPr>
        <w:t xml:space="preserve">soovitus </w:t>
      </w:r>
      <w:r w:rsidR="00FD3B72">
        <w:rPr>
          <w:sz w:val="22"/>
          <w:szCs w:val="22"/>
        </w:rPr>
        <w:t xml:space="preserve">osta teatud </w:t>
      </w:r>
      <w:proofErr w:type="spellStart"/>
      <w:r w:rsidR="00FD3B72">
        <w:rPr>
          <w:sz w:val="22"/>
          <w:szCs w:val="22"/>
        </w:rPr>
        <w:t>krüptovara</w:t>
      </w:r>
      <w:proofErr w:type="spellEnd"/>
      <w:r w:rsidR="00FD3B72">
        <w:rPr>
          <w:sz w:val="22"/>
          <w:szCs w:val="22"/>
        </w:rPr>
        <w:t xml:space="preserve"> koos soovitatava hinna ja kogusega, või müüa teatud kogus kliendile kuuluvat konkreetset </w:t>
      </w:r>
      <w:proofErr w:type="spellStart"/>
      <w:r w:rsidR="00FD3B72">
        <w:rPr>
          <w:sz w:val="22"/>
          <w:szCs w:val="22"/>
        </w:rPr>
        <w:t>krüptovara</w:t>
      </w:r>
      <w:proofErr w:type="spellEnd"/>
      <w:r w:rsidR="00FD3B72">
        <w:rPr>
          <w:sz w:val="22"/>
          <w:szCs w:val="22"/>
        </w:rPr>
        <w:t xml:space="preserve">, kui nimetatud </w:t>
      </w:r>
      <w:proofErr w:type="spellStart"/>
      <w:r w:rsidR="00FD3B72">
        <w:rPr>
          <w:sz w:val="22"/>
          <w:szCs w:val="22"/>
        </w:rPr>
        <w:t>krüptovara</w:t>
      </w:r>
      <w:proofErr w:type="spellEnd"/>
      <w:r w:rsidR="00FD3B72">
        <w:rPr>
          <w:sz w:val="22"/>
          <w:szCs w:val="22"/>
        </w:rPr>
        <w:t xml:space="preserve"> hind langeb alla teatud piirmäära. </w:t>
      </w:r>
    </w:p>
    <w:p w14:paraId="7FD279F9" w14:textId="77777777" w:rsidR="008A567E" w:rsidRDefault="008A567E" w:rsidP="00673173">
      <w:pPr>
        <w:autoSpaceDE w:val="0"/>
        <w:autoSpaceDN w:val="0"/>
        <w:adjustRightInd w:val="0"/>
        <w:spacing w:before="0"/>
        <w:rPr>
          <w:sz w:val="22"/>
          <w:szCs w:val="22"/>
        </w:rPr>
      </w:pPr>
    </w:p>
    <w:p w14:paraId="0A1034D4" w14:textId="465611FF" w:rsidR="008B06DD" w:rsidRDefault="00783BE9" w:rsidP="00673173">
      <w:pPr>
        <w:autoSpaceDE w:val="0"/>
        <w:autoSpaceDN w:val="0"/>
        <w:adjustRightInd w:val="0"/>
        <w:spacing w:before="0"/>
        <w:rPr>
          <w:sz w:val="22"/>
          <w:szCs w:val="22"/>
        </w:rPr>
      </w:pPr>
      <w:proofErr w:type="spellStart"/>
      <w:r>
        <w:rPr>
          <w:sz w:val="22"/>
          <w:szCs w:val="22"/>
        </w:rPr>
        <w:t>Krüptovaraga</w:t>
      </w:r>
      <w:proofErr w:type="spellEnd"/>
      <w:r>
        <w:rPr>
          <w:sz w:val="22"/>
          <w:szCs w:val="22"/>
        </w:rPr>
        <w:t xml:space="preserve"> seotud portfelli </w:t>
      </w:r>
      <w:r w:rsidR="00146B2C">
        <w:rPr>
          <w:sz w:val="22"/>
          <w:szCs w:val="22"/>
        </w:rPr>
        <w:t xml:space="preserve">valitsemine </w:t>
      </w:r>
      <w:r w:rsidR="00726304">
        <w:rPr>
          <w:sz w:val="22"/>
          <w:szCs w:val="22"/>
        </w:rPr>
        <w:t>(</w:t>
      </w:r>
      <w:r w:rsidR="00726304">
        <w:rPr>
          <w:b/>
          <w:bCs/>
          <w:sz w:val="22"/>
          <w:szCs w:val="22"/>
        </w:rPr>
        <w:t>lõige 11</w:t>
      </w:r>
      <w:r w:rsidR="00726304" w:rsidRPr="00726304">
        <w:rPr>
          <w:sz w:val="22"/>
          <w:szCs w:val="22"/>
        </w:rPr>
        <w:t>)</w:t>
      </w:r>
      <w:r w:rsidR="00726304">
        <w:rPr>
          <w:b/>
          <w:bCs/>
          <w:sz w:val="22"/>
          <w:szCs w:val="22"/>
        </w:rPr>
        <w:t xml:space="preserve"> </w:t>
      </w:r>
      <w:r w:rsidR="00726304">
        <w:rPr>
          <w:sz w:val="22"/>
          <w:szCs w:val="22"/>
        </w:rPr>
        <w:t xml:space="preserve">on ühest või mitmest </w:t>
      </w:r>
      <w:proofErr w:type="spellStart"/>
      <w:r w:rsidR="00726304">
        <w:rPr>
          <w:sz w:val="22"/>
          <w:szCs w:val="22"/>
        </w:rPr>
        <w:t>krüptovarast</w:t>
      </w:r>
      <w:proofErr w:type="spellEnd"/>
      <w:r w:rsidR="00726304">
        <w:rPr>
          <w:sz w:val="22"/>
          <w:szCs w:val="22"/>
        </w:rPr>
        <w:t xml:space="preserve"> moodustatud portfelli valitsemine kliendi antud volituse alusel ja iga kliendi puhul eraldi. </w:t>
      </w:r>
      <w:r w:rsidR="008B06DD">
        <w:rPr>
          <w:sz w:val="22"/>
          <w:szCs w:val="22"/>
        </w:rPr>
        <w:t xml:space="preserve">Teenuse mõiste põhineb </w:t>
      </w:r>
      <w:proofErr w:type="spellStart"/>
      <w:r w:rsidR="008B06DD">
        <w:rPr>
          <w:sz w:val="22"/>
          <w:szCs w:val="22"/>
        </w:rPr>
        <w:t>MiCA</w:t>
      </w:r>
      <w:proofErr w:type="spellEnd"/>
      <w:r w:rsidR="008B06DD">
        <w:rPr>
          <w:sz w:val="22"/>
          <w:szCs w:val="22"/>
        </w:rPr>
        <w:t xml:space="preserve"> ettepaneku artiklil 3(1</w:t>
      </w:r>
      <w:r w:rsidR="008B06DD" w:rsidRPr="007875ED">
        <w:rPr>
          <w:sz w:val="22"/>
          <w:szCs w:val="22"/>
        </w:rPr>
        <w:t>)17a.</w:t>
      </w:r>
      <w:r w:rsidR="008B06DD">
        <w:rPr>
          <w:sz w:val="22"/>
          <w:szCs w:val="22"/>
        </w:rPr>
        <w:t xml:space="preserve"> Portfelli valitsemise all mõistetakse sellist teenust, kus </w:t>
      </w:r>
      <w:proofErr w:type="spellStart"/>
      <w:r w:rsidR="008B06DD">
        <w:rPr>
          <w:sz w:val="22"/>
          <w:szCs w:val="22"/>
        </w:rPr>
        <w:t>krüptovarateenuse</w:t>
      </w:r>
      <w:proofErr w:type="spellEnd"/>
      <w:r w:rsidR="008B06DD">
        <w:rPr>
          <w:sz w:val="22"/>
          <w:szCs w:val="22"/>
        </w:rPr>
        <w:t xml:space="preserve"> osutaja ise haldab kliendi üht või mitut </w:t>
      </w:r>
      <w:proofErr w:type="spellStart"/>
      <w:r w:rsidR="008B06DD">
        <w:rPr>
          <w:sz w:val="22"/>
          <w:szCs w:val="22"/>
        </w:rPr>
        <w:t>krüptovara</w:t>
      </w:r>
      <w:proofErr w:type="spellEnd"/>
      <w:r w:rsidR="008B06DD">
        <w:rPr>
          <w:sz w:val="22"/>
          <w:szCs w:val="22"/>
        </w:rPr>
        <w:t xml:space="preserve">, tehes selle või nendega tehinguid kliendi arvel. Sisuliselt on tegemist sarnase teenusega nagu väärtpaberiportfelli valitsemine MiFID2/VPTS tähenduses, aga </w:t>
      </w:r>
      <w:r w:rsidR="00ED38B8">
        <w:rPr>
          <w:sz w:val="22"/>
          <w:szCs w:val="22"/>
        </w:rPr>
        <w:t xml:space="preserve">vastav portfell ei koosne väärtpaberi(te)st, vaid </w:t>
      </w:r>
      <w:proofErr w:type="spellStart"/>
      <w:r w:rsidR="008B06DD">
        <w:rPr>
          <w:sz w:val="22"/>
          <w:szCs w:val="22"/>
        </w:rPr>
        <w:t>krüptovara</w:t>
      </w:r>
      <w:r w:rsidR="00ED38B8">
        <w:rPr>
          <w:sz w:val="22"/>
          <w:szCs w:val="22"/>
        </w:rPr>
        <w:t>st</w:t>
      </w:r>
      <w:proofErr w:type="spellEnd"/>
      <w:r w:rsidR="00ED38B8">
        <w:rPr>
          <w:sz w:val="22"/>
          <w:szCs w:val="22"/>
        </w:rPr>
        <w:t xml:space="preserve">. </w:t>
      </w:r>
    </w:p>
    <w:p w14:paraId="3E6A917A" w14:textId="77777777" w:rsidR="008B06DD" w:rsidRDefault="008B06DD" w:rsidP="00673173">
      <w:pPr>
        <w:autoSpaceDE w:val="0"/>
        <w:autoSpaceDN w:val="0"/>
        <w:adjustRightInd w:val="0"/>
        <w:spacing w:before="0"/>
        <w:rPr>
          <w:sz w:val="22"/>
          <w:szCs w:val="22"/>
        </w:rPr>
      </w:pPr>
    </w:p>
    <w:p w14:paraId="4B4F7B38" w14:textId="1432D9AD" w:rsidR="00673173" w:rsidRPr="005A55CA" w:rsidRDefault="00B16779" w:rsidP="00673173">
      <w:pPr>
        <w:autoSpaceDE w:val="0"/>
        <w:autoSpaceDN w:val="0"/>
        <w:adjustRightInd w:val="0"/>
        <w:spacing w:before="0"/>
        <w:rPr>
          <w:sz w:val="22"/>
          <w:szCs w:val="22"/>
        </w:rPr>
      </w:pPr>
      <w:proofErr w:type="spellStart"/>
      <w:r>
        <w:rPr>
          <w:sz w:val="22"/>
          <w:szCs w:val="22"/>
        </w:rPr>
        <w:t>Krüptovara</w:t>
      </w:r>
      <w:r w:rsidR="00673173" w:rsidRPr="005A55CA">
        <w:rPr>
          <w:sz w:val="22"/>
          <w:szCs w:val="22"/>
        </w:rPr>
        <w:t>teenuse</w:t>
      </w:r>
      <w:proofErr w:type="spellEnd"/>
      <w:r w:rsidR="00673173" w:rsidRPr="005A55CA">
        <w:rPr>
          <w:sz w:val="22"/>
          <w:szCs w:val="22"/>
        </w:rPr>
        <w:t xml:space="preserve"> osutaja (</w:t>
      </w:r>
      <w:r w:rsidR="00673173" w:rsidRPr="005A55CA">
        <w:rPr>
          <w:b/>
          <w:sz w:val="22"/>
          <w:szCs w:val="22"/>
        </w:rPr>
        <w:t xml:space="preserve">lõige </w:t>
      </w:r>
      <w:r>
        <w:rPr>
          <w:b/>
          <w:sz w:val="22"/>
          <w:szCs w:val="22"/>
        </w:rPr>
        <w:t>12</w:t>
      </w:r>
      <w:r w:rsidR="00673173" w:rsidRPr="005A55CA">
        <w:rPr>
          <w:sz w:val="22"/>
          <w:szCs w:val="22"/>
        </w:rPr>
        <w:t xml:space="preserve">) on juriidiline isik, kes osutab üht või mitut </w:t>
      </w:r>
      <w:proofErr w:type="spellStart"/>
      <w:r>
        <w:rPr>
          <w:sz w:val="22"/>
          <w:szCs w:val="22"/>
        </w:rPr>
        <w:t>krüptovara</w:t>
      </w:r>
      <w:r w:rsidR="00673173" w:rsidRPr="005A55CA">
        <w:rPr>
          <w:sz w:val="22"/>
          <w:szCs w:val="22"/>
        </w:rPr>
        <w:t>teenust</w:t>
      </w:r>
      <w:proofErr w:type="spellEnd"/>
      <w:r w:rsidR="00673173" w:rsidRPr="005A55CA">
        <w:rPr>
          <w:sz w:val="22"/>
          <w:szCs w:val="22"/>
        </w:rPr>
        <w:t xml:space="preserve"> </w:t>
      </w:r>
      <w:r>
        <w:rPr>
          <w:sz w:val="22"/>
          <w:szCs w:val="22"/>
        </w:rPr>
        <w:t>avalikkusele</w:t>
      </w:r>
      <w:r w:rsidR="00673173" w:rsidRPr="005A55CA">
        <w:rPr>
          <w:sz w:val="22"/>
          <w:szCs w:val="22"/>
        </w:rPr>
        <w:t xml:space="preserve"> püsiva tegevusena. Sätte sõnastus on jäetud </w:t>
      </w:r>
      <w:r>
        <w:rPr>
          <w:sz w:val="22"/>
          <w:szCs w:val="22"/>
        </w:rPr>
        <w:t xml:space="preserve">suuresti </w:t>
      </w:r>
      <w:r w:rsidR="00673173" w:rsidRPr="005A55CA">
        <w:rPr>
          <w:sz w:val="22"/>
          <w:szCs w:val="22"/>
        </w:rPr>
        <w:t xml:space="preserve">muutmata võrreldes </w:t>
      </w:r>
      <w:proofErr w:type="spellStart"/>
      <w:r w:rsidR="00673173" w:rsidRPr="005A55CA">
        <w:rPr>
          <w:sz w:val="22"/>
          <w:szCs w:val="22"/>
        </w:rPr>
        <w:t>senikehtinud</w:t>
      </w:r>
      <w:proofErr w:type="spellEnd"/>
      <w:r w:rsidR="00673173" w:rsidRPr="005A55CA">
        <w:rPr>
          <w:sz w:val="22"/>
          <w:szCs w:val="22"/>
        </w:rPr>
        <w:t xml:space="preserve"> </w:t>
      </w:r>
      <w:proofErr w:type="spellStart"/>
      <w:r w:rsidR="00673173" w:rsidRPr="005A55CA">
        <w:rPr>
          <w:sz w:val="22"/>
          <w:szCs w:val="22"/>
        </w:rPr>
        <w:t>RahaPTS</w:t>
      </w:r>
      <w:proofErr w:type="spellEnd"/>
      <w:r w:rsidR="00673173" w:rsidRPr="005A55CA">
        <w:rPr>
          <w:sz w:val="22"/>
          <w:szCs w:val="22"/>
        </w:rPr>
        <w:t xml:space="preserve"> redaktsiooniga. </w:t>
      </w:r>
      <w:proofErr w:type="spellStart"/>
      <w:r>
        <w:rPr>
          <w:sz w:val="22"/>
          <w:szCs w:val="22"/>
        </w:rPr>
        <w:t>Krüptovarateenuse</w:t>
      </w:r>
      <w:proofErr w:type="spellEnd"/>
      <w:r>
        <w:rPr>
          <w:sz w:val="22"/>
          <w:szCs w:val="22"/>
        </w:rPr>
        <w:t xml:space="preserve"> osutaja all käesoleva seaduse tähenduses mõeldakse neid juriidilisi isikuid, kes osutavad käesolevas paragrahvis nimetatud </w:t>
      </w:r>
      <w:proofErr w:type="spellStart"/>
      <w:r>
        <w:rPr>
          <w:sz w:val="22"/>
          <w:szCs w:val="22"/>
        </w:rPr>
        <w:t>krüptovarateenuseid</w:t>
      </w:r>
      <w:proofErr w:type="spellEnd"/>
      <w:r>
        <w:rPr>
          <w:sz w:val="22"/>
          <w:szCs w:val="22"/>
        </w:rPr>
        <w:t xml:space="preserve"> oma majandus- ja kutsetegevuse raames</w:t>
      </w:r>
      <w:r w:rsidR="00BD4D0F">
        <w:rPr>
          <w:sz w:val="22"/>
          <w:szCs w:val="22"/>
        </w:rPr>
        <w:t xml:space="preserve">, st </w:t>
      </w:r>
      <w:proofErr w:type="spellStart"/>
      <w:r w:rsidR="00BD4D0F">
        <w:rPr>
          <w:sz w:val="22"/>
          <w:szCs w:val="22"/>
        </w:rPr>
        <w:t>krüptovarateenuse</w:t>
      </w:r>
      <w:proofErr w:type="spellEnd"/>
      <w:r w:rsidR="00BD4D0F">
        <w:rPr>
          <w:sz w:val="22"/>
          <w:szCs w:val="22"/>
        </w:rPr>
        <w:t xml:space="preserve"> osutaja mõiste alla ei ole hõlmatud need isikud, kes ei osuta </w:t>
      </w:r>
      <w:proofErr w:type="spellStart"/>
      <w:r w:rsidR="00BD4D0F">
        <w:rPr>
          <w:sz w:val="22"/>
          <w:szCs w:val="22"/>
        </w:rPr>
        <w:t>krüptovaraga</w:t>
      </w:r>
      <w:proofErr w:type="spellEnd"/>
      <w:r w:rsidR="00BD4D0F">
        <w:rPr>
          <w:sz w:val="22"/>
          <w:szCs w:val="22"/>
        </w:rPr>
        <w:t xml:space="preserve"> seotud tegevusi „teenusena“.</w:t>
      </w:r>
      <w:r>
        <w:rPr>
          <w:sz w:val="22"/>
          <w:szCs w:val="22"/>
        </w:rPr>
        <w:t xml:space="preserve"> </w:t>
      </w:r>
      <w:r w:rsidR="00BD4D0F">
        <w:rPr>
          <w:sz w:val="22"/>
          <w:szCs w:val="22"/>
        </w:rPr>
        <w:t xml:space="preserve">Nii ei ole </w:t>
      </w:r>
      <w:proofErr w:type="spellStart"/>
      <w:r w:rsidR="00BB2240">
        <w:rPr>
          <w:sz w:val="22"/>
          <w:szCs w:val="22"/>
        </w:rPr>
        <w:t>krüptovarateenuse</w:t>
      </w:r>
      <w:proofErr w:type="spellEnd"/>
      <w:r w:rsidR="00BB2240">
        <w:rPr>
          <w:sz w:val="22"/>
          <w:szCs w:val="22"/>
        </w:rPr>
        <w:t xml:space="preserve"> osutaja mõiste alla hõlmatud </w:t>
      </w:r>
      <w:r w:rsidR="00BD4D0F">
        <w:rPr>
          <w:sz w:val="22"/>
          <w:szCs w:val="22"/>
        </w:rPr>
        <w:t xml:space="preserve">näiteks kliendid, kes soovivad endale kuuluvat </w:t>
      </w:r>
      <w:proofErr w:type="spellStart"/>
      <w:r w:rsidR="00BD4D0F">
        <w:rPr>
          <w:sz w:val="22"/>
          <w:szCs w:val="22"/>
        </w:rPr>
        <w:t>krüptovara</w:t>
      </w:r>
      <w:proofErr w:type="spellEnd"/>
      <w:r w:rsidR="00BD4D0F">
        <w:rPr>
          <w:sz w:val="22"/>
          <w:szCs w:val="22"/>
        </w:rPr>
        <w:t xml:space="preserve"> finantsvahendusplatvormil võõrandada.</w:t>
      </w:r>
    </w:p>
    <w:p w14:paraId="4336F38D" w14:textId="77777777" w:rsidR="00673173" w:rsidRPr="005A55CA" w:rsidRDefault="00673173" w:rsidP="00673173">
      <w:pPr>
        <w:autoSpaceDE w:val="0"/>
        <w:autoSpaceDN w:val="0"/>
        <w:adjustRightInd w:val="0"/>
        <w:spacing w:before="0"/>
        <w:rPr>
          <w:sz w:val="22"/>
          <w:szCs w:val="22"/>
        </w:rPr>
      </w:pPr>
    </w:p>
    <w:p w14:paraId="2E2A4AC1" w14:textId="53A284FB" w:rsidR="00673173" w:rsidRPr="001D146A" w:rsidRDefault="00673173" w:rsidP="00673173">
      <w:pPr>
        <w:autoSpaceDE w:val="0"/>
        <w:autoSpaceDN w:val="0"/>
        <w:adjustRightInd w:val="0"/>
        <w:spacing w:before="0"/>
        <w:rPr>
          <w:sz w:val="22"/>
          <w:szCs w:val="22"/>
        </w:rPr>
      </w:pPr>
      <w:r w:rsidRPr="005A55CA">
        <w:rPr>
          <w:b/>
          <w:sz w:val="22"/>
          <w:szCs w:val="22"/>
        </w:rPr>
        <w:lastRenderedPageBreak/>
        <w:t xml:space="preserve">Lõike </w:t>
      </w:r>
      <w:r w:rsidR="00264DA5">
        <w:rPr>
          <w:b/>
          <w:sz w:val="22"/>
          <w:szCs w:val="22"/>
        </w:rPr>
        <w:t>13</w:t>
      </w:r>
      <w:r w:rsidRPr="005A55CA">
        <w:rPr>
          <w:b/>
          <w:sz w:val="22"/>
          <w:szCs w:val="22"/>
        </w:rPr>
        <w:t xml:space="preserve"> </w:t>
      </w:r>
      <w:r>
        <w:rPr>
          <w:sz w:val="22"/>
          <w:szCs w:val="22"/>
        </w:rPr>
        <w:t xml:space="preserve">järgi kohaldatakse </w:t>
      </w:r>
      <w:proofErr w:type="spellStart"/>
      <w:r w:rsidR="00264DA5">
        <w:rPr>
          <w:sz w:val="22"/>
          <w:szCs w:val="22"/>
        </w:rPr>
        <w:t>krüptovarale</w:t>
      </w:r>
      <w:proofErr w:type="spellEnd"/>
      <w:r>
        <w:rPr>
          <w:sz w:val="22"/>
          <w:szCs w:val="22"/>
        </w:rPr>
        <w:t xml:space="preserve"> </w:t>
      </w:r>
      <w:proofErr w:type="spellStart"/>
      <w:r w:rsidR="00264DA5">
        <w:rPr>
          <w:sz w:val="22"/>
          <w:szCs w:val="22"/>
        </w:rPr>
        <w:t>ühisrahastusprojekti</w:t>
      </w:r>
      <w:proofErr w:type="spellEnd"/>
      <w:r w:rsidR="00264DA5">
        <w:rPr>
          <w:sz w:val="22"/>
          <w:szCs w:val="22"/>
        </w:rPr>
        <w:t xml:space="preserve"> </w:t>
      </w:r>
      <w:r>
        <w:rPr>
          <w:sz w:val="22"/>
          <w:szCs w:val="22"/>
        </w:rPr>
        <w:t xml:space="preserve">kohta sätestatut, kui </w:t>
      </w:r>
      <w:proofErr w:type="spellStart"/>
      <w:r w:rsidR="007B55E8">
        <w:rPr>
          <w:sz w:val="22"/>
          <w:szCs w:val="22"/>
        </w:rPr>
        <w:t>krüptovaral</w:t>
      </w:r>
      <w:proofErr w:type="spellEnd"/>
      <w:r>
        <w:rPr>
          <w:sz w:val="22"/>
          <w:szCs w:val="22"/>
        </w:rPr>
        <w:t xml:space="preserve"> on </w:t>
      </w:r>
      <w:proofErr w:type="spellStart"/>
      <w:r w:rsidR="007B55E8">
        <w:rPr>
          <w:sz w:val="22"/>
          <w:szCs w:val="22"/>
        </w:rPr>
        <w:t>ühisrahastusprojekti</w:t>
      </w:r>
      <w:proofErr w:type="spellEnd"/>
      <w:r>
        <w:rPr>
          <w:sz w:val="22"/>
          <w:szCs w:val="22"/>
        </w:rPr>
        <w:t xml:space="preserve"> tunnused. Nimetatud säte on asjakohane eelkõige sellisel juhul, kui eeskätt makseteks kasutatav </w:t>
      </w:r>
      <w:proofErr w:type="spellStart"/>
      <w:r w:rsidR="007B55E8">
        <w:rPr>
          <w:sz w:val="22"/>
          <w:szCs w:val="22"/>
        </w:rPr>
        <w:t>krüptovara</w:t>
      </w:r>
      <w:proofErr w:type="spellEnd"/>
      <w:r>
        <w:rPr>
          <w:sz w:val="22"/>
          <w:szCs w:val="22"/>
        </w:rPr>
        <w:t xml:space="preserve"> annab selle hoidjale teatud õigusi, mida tüüpiliselt võib seostada </w:t>
      </w:r>
      <w:proofErr w:type="spellStart"/>
      <w:r w:rsidR="007B55E8">
        <w:rPr>
          <w:sz w:val="22"/>
          <w:szCs w:val="22"/>
        </w:rPr>
        <w:t>ühisrahastusprojektina</w:t>
      </w:r>
      <w:proofErr w:type="spellEnd"/>
      <w:r w:rsidR="007B55E8">
        <w:rPr>
          <w:sz w:val="22"/>
          <w:szCs w:val="22"/>
        </w:rPr>
        <w:t xml:space="preserve"> turustatava </w:t>
      </w:r>
      <w:r>
        <w:rPr>
          <w:sz w:val="22"/>
          <w:szCs w:val="22"/>
        </w:rPr>
        <w:t>instrumendiga</w:t>
      </w:r>
      <w:r w:rsidR="007B55E8">
        <w:rPr>
          <w:sz w:val="22"/>
          <w:szCs w:val="22"/>
        </w:rPr>
        <w:t xml:space="preserve"> (eriti § 4 lg 1 p 2 või 3 nimetatud instrument)</w:t>
      </w:r>
      <w:r>
        <w:rPr>
          <w:sz w:val="22"/>
          <w:szCs w:val="22"/>
        </w:rPr>
        <w:t xml:space="preserve">. </w:t>
      </w:r>
      <w:r w:rsidRPr="00907D58">
        <w:rPr>
          <w:sz w:val="22"/>
          <w:szCs w:val="22"/>
        </w:rPr>
        <w:t xml:space="preserve">Samuti soovitakse selle sättega ära hoida ka olukorda, kus eeskätt </w:t>
      </w:r>
      <w:proofErr w:type="spellStart"/>
      <w:r w:rsidR="007B55E8" w:rsidRPr="00907D58">
        <w:rPr>
          <w:sz w:val="22"/>
          <w:szCs w:val="22"/>
        </w:rPr>
        <w:t>ühisrahastusprojekti</w:t>
      </w:r>
      <w:proofErr w:type="spellEnd"/>
      <w:r w:rsidRPr="00907D58">
        <w:rPr>
          <w:sz w:val="22"/>
          <w:szCs w:val="22"/>
        </w:rPr>
        <w:t xml:space="preserve"> mõiste alla kuuluvat instrumenti on võimalik kasutada maksevahendina, mis justkui võiks anda aluse </w:t>
      </w:r>
      <w:proofErr w:type="spellStart"/>
      <w:r w:rsidR="004B7AC9" w:rsidRPr="00907D58">
        <w:rPr>
          <w:sz w:val="22"/>
          <w:szCs w:val="22"/>
        </w:rPr>
        <w:t>ühisrahastusprojekti</w:t>
      </w:r>
      <w:proofErr w:type="spellEnd"/>
      <w:r w:rsidR="004B7AC9" w:rsidRPr="00907D58">
        <w:rPr>
          <w:sz w:val="22"/>
          <w:szCs w:val="22"/>
        </w:rPr>
        <w:t xml:space="preserve"> </w:t>
      </w:r>
      <w:r w:rsidRPr="00907D58">
        <w:rPr>
          <w:sz w:val="22"/>
          <w:szCs w:val="22"/>
        </w:rPr>
        <w:t xml:space="preserve">pidamist </w:t>
      </w:r>
      <w:proofErr w:type="spellStart"/>
      <w:r w:rsidR="004B7AC9" w:rsidRPr="00907D58">
        <w:rPr>
          <w:sz w:val="22"/>
          <w:szCs w:val="22"/>
        </w:rPr>
        <w:t>krüptovaraks</w:t>
      </w:r>
      <w:proofErr w:type="spellEnd"/>
      <w:r w:rsidRPr="00907D58">
        <w:rPr>
          <w:sz w:val="22"/>
          <w:szCs w:val="22"/>
        </w:rPr>
        <w:t>.</w:t>
      </w:r>
    </w:p>
    <w:p w14:paraId="2782A27C" w14:textId="77777777" w:rsidR="00673173" w:rsidRPr="005A55CA" w:rsidRDefault="00673173" w:rsidP="00673173">
      <w:pPr>
        <w:autoSpaceDE w:val="0"/>
        <w:autoSpaceDN w:val="0"/>
        <w:adjustRightInd w:val="0"/>
        <w:spacing w:before="0"/>
        <w:rPr>
          <w:sz w:val="22"/>
          <w:szCs w:val="22"/>
        </w:rPr>
      </w:pPr>
    </w:p>
    <w:p w14:paraId="44C12F1F" w14:textId="1FE064AE" w:rsidR="00726304" w:rsidRPr="00726304" w:rsidRDefault="00726304" w:rsidP="00673173">
      <w:pPr>
        <w:autoSpaceDE w:val="0"/>
        <w:autoSpaceDN w:val="0"/>
        <w:adjustRightInd w:val="0"/>
        <w:spacing w:before="0"/>
        <w:rPr>
          <w:sz w:val="22"/>
          <w:szCs w:val="22"/>
        </w:rPr>
      </w:pPr>
      <w:r>
        <w:rPr>
          <w:b/>
          <w:bCs/>
          <w:sz w:val="22"/>
          <w:szCs w:val="22"/>
        </w:rPr>
        <w:t xml:space="preserve">Lõike 14 </w:t>
      </w:r>
      <w:r>
        <w:rPr>
          <w:sz w:val="22"/>
          <w:szCs w:val="22"/>
        </w:rPr>
        <w:t xml:space="preserve">järgi ei kohaldata seadust sellistele </w:t>
      </w:r>
      <w:proofErr w:type="spellStart"/>
      <w:r>
        <w:rPr>
          <w:sz w:val="22"/>
          <w:szCs w:val="22"/>
        </w:rPr>
        <w:t>krüptovaradele</w:t>
      </w:r>
      <w:proofErr w:type="spellEnd"/>
      <w:r>
        <w:rPr>
          <w:sz w:val="22"/>
          <w:szCs w:val="22"/>
        </w:rPr>
        <w:t xml:space="preserve">, mis on unikaalsed või mis ei ole asendatavad teise </w:t>
      </w:r>
      <w:proofErr w:type="spellStart"/>
      <w:r>
        <w:rPr>
          <w:sz w:val="22"/>
          <w:szCs w:val="22"/>
        </w:rPr>
        <w:t>krüptovaraga</w:t>
      </w:r>
      <w:proofErr w:type="spellEnd"/>
      <w:r>
        <w:rPr>
          <w:sz w:val="22"/>
          <w:szCs w:val="22"/>
        </w:rPr>
        <w:t xml:space="preserve">. Selle määratluse alla kuuluvad </w:t>
      </w:r>
      <w:proofErr w:type="spellStart"/>
      <w:r>
        <w:rPr>
          <w:sz w:val="22"/>
          <w:szCs w:val="22"/>
        </w:rPr>
        <w:t>NFT-d</w:t>
      </w:r>
      <w:proofErr w:type="spellEnd"/>
      <w:r>
        <w:rPr>
          <w:sz w:val="22"/>
          <w:szCs w:val="22"/>
        </w:rPr>
        <w:t xml:space="preserve"> ning muu unikaalne </w:t>
      </w:r>
      <w:proofErr w:type="spellStart"/>
      <w:r>
        <w:rPr>
          <w:sz w:val="22"/>
          <w:szCs w:val="22"/>
        </w:rPr>
        <w:t>krüptovara</w:t>
      </w:r>
      <w:proofErr w:type="spellEnd"/>
      <w:r>
        <w:rPr>
          <w:sz w:val="22"/>
          <w:szCs w:val="22"/>
        </w:rPr>
        <w:t xml:space="preserve">, mida ei ole võimalik asendada teise </w:t>
      </w:r>
      <w:proofErr w:type="spellStart"/>
      <w:r>
        <w:rPr>
          <w:sz w:val="22"/>
          <w:szCs w:val="22"/>
        </w:rPr>
        <w:t>krüptovaraga</w:t>
      </w:r>
      <w:proofErr w:type="spellEnd"/>
      <w:r>
        <w:rPr>
          <w:sz w:val="22"/>
          <w:szCs w:val="22"/>
        </w:rPr>
        <w:t xml:space="preserve">. </w:t>
      </w:r>
      <w:r w:rsidR="00421BE3">
        <w:rPr>
          <w:sz w:val="22"/>
          <w:szCs w:val="22"/>
        </w:rPr>
        <w:t xml:space="preserve">Tüüpiliselt ei ole sellist liiki </w:t>
      </w:r>
      <w:proofErr w:type="spellStart"/>
      <w:r w:rsidR="00421BE3">
        <w:rPr>
          <w:sz w:val="22"/>
          <w:szCs w:val="22"/>
        </w:rPr>
        <w:t>krüptovaral</w:t>
      </w:r>
      <w:proofErr w:type="spellEnd"/>
      <w:r w:rsidR="00421BE3">
        <w:rPr>
          <w:sz w:val="22"/>
          <w:szCs w:val="22"/>
        </w:rPr>
        <w:t xml:space="preserve"> finantsilist </w:t>
      </w:r>
      <w:r w:rsidR="00962D93">
        <w:rPr>
          <w:sz w:val="22"/>
          <w:szCs w:val="22"/>
        </w:rPr>
        <w:t xml:space="preserve">(sh investeerimise) </w:t>
      </w:r>
      <w:r w:rsidR="00421BE3">
        <w:rPr>
          <w:sz w:val="22"/>
          <w:szCs w:val="22"/>
        </w:rPr>
        <w:t xml:space="preserve">eesmärki. </w:t>
      </w:r>
    </w:p>
    <w:p w14:paraId="380545D5" w14:textId="77777777" w:rsidR="00726304" w:rsidRDefault="00726304" w:rsidP="00673173">
      <w:pPr>
        <w:autoSpaceDE w:val="0"/>
        <w:autoSpaceDN w:val="0"/>
        <w:adjustRightInd w:val="0"/>
        <w:spacing w:before="0"/>
        <w:rPr>
          <w:sz w:val="22"/>
          <w:szCs w:val="22"/>
        </w:rPr>
      </w:pPr>
    </w:p>
    <w:p w14:paraId="59A036C1" w14:textId="7E831D61" w:rsidR="00673173" w:rsidRPr="006626EA" w:rsidRDefault="00673173" w:rsidP="00670CE5">
      <w:pPr>
        <w:autoSpaceDE w:val="0"/>
        <w:autoSpaceDN w:val="0"/>
        <w:adjustRightInd w:val="0"/>
        <w:spacing w:before="0"/>
        <w:rPr>
          <w:rFonts w:eastAsiaTheme="minorHAnsi"/>
          <w:sz w:val="22"/>
          <w:szCs w:val="22"/>
        </w:rPr>
      </w:pPr>
      <w:r>
        <w:rPr>
          <w:sz w:val="22"/>
          <w:szCs w:val="22"/>
        </w:rPr>
        <w:t xml:space="preserve">Virtuaalvääringutega seotud regulatsiooni </w:t>
      </w:r>
      <w:proofErr w:type="spellStart"/>
      <w:r>
        <w:rPr>
          <w:sz w:val="22"/>
          <w:szCs w:val="22"/>
        </w:rPr>
        <w:t>ületoomisega</w:t>
      </w:r>
      <w:proofErr w:type="spellEnd"/>
      <w:r>
        <w:rPr>
          <w:sz w:val="22"/>
          <w:szCs w:val="22"/>
        </w:rPr>
        <w:t xml:space="preserve"> </w:t>
      </w:r>
      <w:proofErr w:type="spellStart"/>
      <w:r>
        <w:rPr>
          <w:sz w:val="22"/>
          <w:szCs w:val="22"/>
        </w:rPr>
        <w:t>RahaPTS</w:t>
      </w:r>
      <w:proofErr w:type="spellEnd"/>
      <w:r>
        <w:rPr>
          <w:sz w:val="22"/>
          <w:szCs w:val="22"/>
        </w:rPr>
        <w:t xml:space="preserve">-ist käesolevasse eelnõusse </w:t>
      </w:r>
      <w:proofErr w:type="spellStart"/>
      <w:r w:rsidR="00907D58">
        <w:rPr>
          <w:sz w:val="22"/>
          <w:szCs w:val="22"/>
        </w:rPr>
        <w:t>krüptovara</w:t>
      </w:r>
      <w:proofErr w:type="spellEnd"/>
      <w:r w:rsidR="00907D58">
        <w:rPr>
          <w:sz w:val="22"/>
          <w:szCs w:val="22"/>
        </w:rPr>
        <w:t xml:space="preserve"> ja sellega seotud mõistete kaudu </w:t>
      </w:r>
      <w:proofErr w:type="spellStart"/>
      <w:r w:rsidRPr="006626EA">
        <w:rPr>
          <w:sz w:val="22"/>
          <w:szCs w:val="22"/>
        </w:rPr>
        <w:t>tunnista</w:t>
      </w:r>
      <w:r>
        <w:rPr>
          <w:sz w:val="22"/>
          <w:szCs w:val="22"/>
        </w:rPr>
        <w:t>kse</w:t>
      </w:r>
      <w:proofErr w:type="spellEnd"/>
      <w:r w:rsidRPr="006626EA">
        <w:rPr>
          <w:sz w:val="22"/>
          <w:szCs w:val="22"/>
        </w:rPr>
        <w:t xml:space="preserve"> seeläbi kehtetuks samasisulised </w:t>
      </w:r>
      <w:proofErr w:type="spellStart"/>
      <w:r w:rsidRPr="006626EA">
        <w:rPr>
          <w:sz w:val="22"/>
          <w:szCs w:val="22"/>
        </w:rPr>
        <w:t>RahaPTS</w:t>
      </w:r>
      <w:r>
        <w:rPr>
          <w:sz w:val="22"/>
          <w:szCs w:val="22"/>
        </w:rPr>
        <w:t>-is</w:t>
      </w:r>
      <w:proofErr w:type="spellEnd"/>
      <w:r>
        <w:rPr>
          <w:sz w:val="22"/>
          <w:szCs w:val="22"/>
        </w:rPr>
        <w:t xml:space="preserve"> sisalduvad</w:t>
      </w:r>
      <w:r w:rsidRPr="006626EA">
        <w:rPr>
          <w:sz w:val="22"/>
          <w:szCs w:val="22"/>
        </w:rPr>
        <w:t xml:space="preserve"> normid (vt allpool eelnõu </w:t>
      </w:r>
      <w:r w:rsidRPr="004C0E9B">
        <w:rPr>
          <w:sz w:val="22"/>
          <w:szCs w:val="22"/>
        </w:rPr>
        <w:t xml:space="preserve">§ </w:t>
      </w:r>
      <w:r w:rsidRPr="00907D58">
        <w:rPr>
          <w:sz w:val="22"/>
          <w:szCs w:val="22"/>
        </w:rPr>
        <w:t>12</w:t>
      </w:r>
      <w:r w:rsidR="00907D58" w:rsidRPr="00907D58">
        <w:rPr>
          <w:sz w:val="22"/>
          <w:szCs w:val="22"/>
        </w:rPr>
        <w:t>7</w:t>
      </w:r>
      <w:r>
        <w:rPr>
          <w:sz w:val="22"/>
          <w:szCs w:val="22"/>
        </w:rPr>
        <w:t xml:space="preserve"> selgitusi</w:t>
      </w:r>
      <w:r w:rsidRPr="006626EA">
        <w:rPr>
          <w:sz w:val="22"/>
          <w:szCs w:val="22"/>
        </w:rPr>
        <w:t xml:space="preserve">). </w:t>
      </w:r>
    </w:p>
    <w:p w14:paraId="3CCF2A66" w14:textId="77777777" w:rsidR="00673173" w:rsidRDefault="00673173" w:rsidP="00670CE5">
      <w:pPr>
        <w:spacing w:before="0"/>
        <w:rPr>
          <w:b/>
          <w:sz w:val="22"/>
          <w:szCs w:val="22"/>
        </w:rPr>
      </w:pPr>
    </w:p>
    <w:p w14:paraId="18C6CDC0" w14:textId="5796DFBF" w:rsidR="00AF6B2C" w:rsidRPr="005A55CA" w:rsidRDefault="004A5530" w:rsidP="00670CE5">
      <w:pPr>
        <w:spacing w:before="0"/>
        <w:rPr>
          <w:sz w:val="22"/>
          <w:szCs w:val="22"/>
        </w:rPr>
      </w:pPr>
      <w:r w:rsidRPr="005A55CA">
        <w:rPr>
          <w:b/>
          <w:sz w:val="22"/>
          <w:szCs w:val="22"/>
        </w:rPr>
        <w:t xml:space="preserve">Paragrahv </w:t>
      </w:r>
      <w:r w:rsidR="00ED38B8">
        <w:rPr>
          <w:b/>
          <w:sz w:val="22"/>
          <w:szCs w:val="22"/>
        </w:rPr>
        <w:t>4</w:t>
      </w:r>
      <w:r w:rsidRPr="005A55CA">
        <w:rPr>
          <w:b/>
          <w:sz w:val="22"/>
          <w:szCs w:val="22"/>
        </w:rPr>
        <w:t xml:space="preserve"> </w:t>
      </w:r>
      <w:r w:rsidRPr="005A55CA">
        <w:rPr>
          <w:sz w:val="22"/>
          <w:szCs w:val="22"/>
        </w:rPr>
        <w:t xml:space="preserve">sätestab </w:t>
      </w:r>
      <w:proofErr w:type="spellStart"/>
      <w:r w:rsidR="00A10252">
        <w:rPr>
          <w:sz w:val="22"/>
          <w:szCs w:val="22"/>
        </w:rPr>
        <w:t>ühisrahastusprojekti</w:t>
      </w:r>
      <w:proofErr w:type="spellEnd"/>
      <w:r w:rsidR="00A10252">
        <w:rPr>
          <w:sz w:val="22"/>
          <w:szCs w:val="22"/>
        </w:rPr>
        <w:t xml:space="preserve"> ja </w:t>
      </w:r>
      <w:proofErr w:type="spellStart"/>
      <w:r w:rsidR="00A10252">
        <w:rPr>
          <w:sz w:val="22"/>
          <w:szCs w:val="22"/>
        </w:rPr>
        <w:t>ühisrahastusteenuste</w:t>
      </w:r>
      <w:proofErr w:type="spellEnd"/>
      <w:r w:rsidR="00A10252">
        <w:rPr>
          <w:sz w:val="22"/>
          <w:szCs w:val="22"/>
        </w:rPr>
        <w:t xml:space="preserve"> </w:t>
      </w:r>
      <w:r w:rsidRPr="005A55CA">
        <w:rPr>
          <w:sz w:val="22"/>
          <w:szCs w:val="22"/>
        </w:rPr>
        <w:t>mõiste</w:t>
      </w:r>
      <w:r w:rsidR="00AF6B2C" w:rsidRPr="005A55CA">
        <w:rPr>
          <w:sz w:val="22"/>
          <w:szCs w:val="22"/>
        </w:rPr>
        <w:t xml:space="preserve">d. </w:t>
      </w:r>
    </w:p>
    <w:p w14:paraId="4DA225AF" w14:textId="77777777" w:rsidR="00AF6B2C" w:rsidRPr="005A55CA" w:rsidRDefault="00AF6B2C" w:rsidP="00670CE5">
      <w:pPr>
        <w:spacing w:before="0"/>
        <w:rPr>
          <w:sz w:val="22"/>
          <w:szCs w:val="22"/>
        </w:rPr>
      </w:pPr>
    </w:p>
    <w:p w14:paraId="1CBF7FCA" w14:textId="300D8DFF" w:rsidR="00321EE6" w:rsidRPr="005A55CA" w:rsidRDefault="00AF6B2C" w:rsidP="00670CE5">
      <w:pPr>
        <w:spacing w:before="0"/>
        <w:rPr>
          <w:sz w:val="22"/>
          <w:szCs w:val="22"/>
        </w:rPr>
      </w:pPr>
      <w:r w:rsidRPr="005A55CA">
        <w:rPr>
          <w:b/>
          <w:sz w:val="22"/>
          <w:szCs w:val="22"/>
        </w:rPr>
        <w:t>Lõike</w:t>
      </w:r>
      <w:r w:rsidR="001E21E1" w:rsidRPr="005A55CA">
        <w:rPr>
          <w:b/>
          <w:sz w:val="22"/>
          <w:szCs w:val="22"/>
        </w:rPr>
        <w:t>s</w:t>
      </w:r>
      <w:r w:rsidRPr="005A55CA">
        <w:rPr>
          <w:b/>
          <w:sz w:val="22"/>
          <w:szCs w:val="22"/>
        </w:rPr>
        <w:t xml:space="preserve"> 1</w:t>
      </w:r>
      <w:r w:rsidRPr="005A55CA">
        <w:rPr>
          <w:sz w:val="22"/>
          <w:szCs w:val="22"/>
        </w:rPr>
        <w:t xml:space="preserve"> </w:t>
      </w:r>
      <w:r w:rsidR="001E21E1" w:rsidRPr="005A55CA">
        <w:rPr>
          <w:sz w:val="22"/>
          <w:szCs w:val="22"/>
        </w:rPr>
        <w:t xml:space="preserve">on defineeritud </w:t>
      </w:r>
      <w:proofErr w:type="spellStart"/>
      <w:r w:rsidR="00A10252">
        <w:rPr>
          <w:sz w:val="22"/>
          <w:szCs w:val="22"/>
        </w:rPr>
        <w:t>ühisrahastusprojekti</w:t>
      </w:r>
      <w:proofErr w:type="spellEnd"/>
      <w:r w:rsidR="001E21E1" w:rsidRPr="005A55CA">
        <w:rPr>
          <w:sz w:val="22"/>
          <w:szCs w:val="22"/>
        </w:rPr>
        <w:t xml:space="preserve"> mõiste</w:t>
      </w:r>
      <w:r w:rsidR="00B338E9">
        <w:rPr>
          <w:sz w:val="22"/>
          <w:szCs w:val="22"/>
        </w:rPr>
        <w:t xml:space="preserve"> käesoleva seaduse tähenduses</w:t>
      </w:r>
      <w:r w:rsidR="001E21E1" w:rsidRPr="005A55CA">
        <w:rPr>
          <w:sz w:val="22"/>
          <w:szCs w:val="22"/>
        </w:rPr>
        <w:t xml:space="preserve">. Lõike </w:t>
      </w:r>
      <w:r w:rsidR="004A5530" w:rsidRPr="005A55CA">
        <w:rPr>
          <w:sz w:val="22"/>
          <w:szCs w:val="22"/>
        </w:rPr>
        <w:t xml:space="preserve">sissejuhatava teksti kohaselt on </w:t>
      </w:r>
      <w:proofErr w:type="spellStart"/>
      <w:r w:rsidR="00A10252">
        <w:rPr>
          <w:sz w:val="22"/>
          <w:szCs w:val="22"/>
        </w:rPr>
        <w:t>ühisrahastusprojekt</w:t>
      </w:r>
      <w:proofErr w:type="spellEnd"/>
      <w:r w:rsidR="004A5530" w:rsidRPr="005A55CA">
        <w:rPr>
          <w:sz w:val="22"/>
          <w:szCs w:val="22"/>
        </w:rPr>
        <w:t xml:space="preserve"> i</w:t>
      </w:r>
      <w:r w:rsidR="00321EE6" w:rsidRPr="005A55CA">
        <w:rPr>
          <w:sz w:val="22"/>
          <w:szCs w:val="22"/>
        </w:rPr>
        <w:t xml:space="preserve">nvesteerimise eesmärgil </w:t>
      </w:r>
      <w:r w:rsidR="00A10252">
        <w:rPr>
          <w:sz w:val="22"/>
          <w:szCs w:val="22"/>
        </w:rPr>
        <w:t>kliendile pakutav</w:t>
      </w:r>
      <w:r w:rsidR="00321EE6" w:rsidRPr="005A55CA">
        <w:rPr>
          <w:sz w:val="22"/>
          <w:szCs w:val="22"/>
        </w:rPr>
        <w:t xml:space="preserve">. See tähendab, et </w:t>
      </w:r>
      <w:proofErr w:type="spellStart"/>
      <w:r w:rsidR="00A10252">
        <w:rPr>
          <w:sz w:val="22"/>
          <w:szCs w:val="22"/>
        </w:rPr>
        <w:t>ühisrahastusprojekt</w:t>
      </w:r>
      <w:proofErr w:type="spellEnd"/>
      <w:r w:rsidR="00321EE6" w:rsidRPr="005A55CA">
        <w:rPr>
          <w:sz w:val="22"/>
          <w:szCs w:val="22"/>
        </w:rPr>
        <w:t xml:space="preserve"> on </w:t>
      </w:r>
      <w:r w:rsidR="00A10252">
        <w:rPr>
          <w:sz w:val="22"/>
          <w:szCs w:val="22"/>
        </w:rPr>
        <w:t xml:space="preserve">rahalise väärtusega </w:t>
      </w:r>
      <w:r w:rsidR="00321EE6" w:rsidRPr="005A55CA">
        <w:rPr>
          <w:sz w:val="22"/>
          <w:szCs w:val="22"/>
        </w:rPr>
        <w:t xml:space="preserve">vara </w:t>
      </w:r>
      <w:r w:rsidR="00A10252">
        <w:rPr>
          <w:sz w:val="22"/>
          <w:szCs w:val="22"/>
        </w:rPr>
        <w:t>või õigus</w:t>
      </w:r>
      <w:r w:rsidR="00321EE6" w:rsidRPr="005A55CA">
        <w:rPr>
          <w:sz w:val="22"/>
          <w:szCs w:val="22"/>
        </w:rPr>
        <w:t xml:space="preserve">, mille </w:t>
      </w:r>
      <w:r w:rsidR="00562862" w:rsidRPr="005A55CA">
        <w:rPr>
          <w:sz w:val="22"/>
          <w:szCs w:val="22"/>
        </w:rPr>
        <w:t xml:space="preserve">(peamine) </w:t>
      </w:r>
      <w:r w:rsidR="00321EE6" w:rsidRPr="005A55CA">
        <w:rPr>
          <w:sz w:val="22"/>
          <w:szCs w:val="22"/>
        </w:rPr>
        <w:t xml:space="preserve">eesmärk on teenida </w:t>
      </w:r>
      <w:r w:rsidR="00C92A9D">
        <w:rPr>
          <w:sz w:val="22"/>
          <w:szCs w:val="22"/>
        </w:rPr>
        <w:t>kliendile</w:t>
      </w:r>
      <w:r w:rsidR="00562862" w:rsidRPr="005A55CA">
        <w:rPr>
          <w:sz w:val="22"/>
          <w:szCs w:val="22"/>
        </w:rPr>
        <w:t xml:space="preserve"> tulu. </w:t>
      </w:r>
      <w:r w:rsidR="00EE315C" w:rsidRPr="005A55CA">
        <w:rPr>
          <w:sz w:val="22"/>
          <w:szCs w:val="22"/>
        </w:rPr>
        <w:t xml:space="preserve">Sarnaselt väärtpaberituru seaduses reguleeritud väärtpaberitega peaks </w:t>
      </w:r>
      <w:proofErr w:type="spellStart"/>
      <w:r w:rsidR="00C92A9D">
        <w:rPr>
          <w:sz w:val="22"/>
          <w:szCs w:val="22"/>
        </w:rPr>
        <w:t>ühisrahastusprojekti</w:t>
      </w:r>
      <w:proofErr w:type="spellEnd"/>
      <w:r w:rsidR="003C33E0" w:rsidRPr="005A55CA">
        <w:rPr>
          <w:sz w:val="22"/>
          <w:szCs w:val="22"/>
        </w:rPr>
        <w:t xml:space="preserve"> puhul investeerimise eesmärk tähendama seda, et </w:t>
      </w:r>
      <w:proofErr w:type="spellStart"/>
      <w:r w:rsidR="00C92A9D">
        <w:rPr>
          <w:sz w:val="22"/>
          <w:szCs w:val="22"/>
        </w:rPr>
        <w:t>ühisrahastusprojekti</w:t>
      </w:r>
      <w:proofErr w:type="spellEnd"/>
      <w:r w:rsidR="00C92A9D">
        <w:rPr>
          <w:sz w:val="22"/>
          <w:szCs w:val="22"/>
        </w:rPr>
        <w:t xml:space="preserve"> investeerimisest</w:t>
      </w:r>
      <w:r w:rsidR="003C33E0" w:rsidRPr="005A55CA">
        <w:rPr>
          <w:sz w:val="22"/>
          <w:szCs w:val="22"/>
        </w:rPr>
        <w:t xml:space="preserve"> </w:t>
      </w:r>
      <w:r w:rsidR="00C92A9D">
        <w:rPr>
          <w:sz w:val="22"/>
          <w:szCs w:val="22"/>
        </w:rPr>
        <w:t xml:space="preserve">ning vastava vara või õiguse </w:t>
      </w:r>
      <w:r w:rsidR="003C33E0" w:rsidRPr="005A55CA">
        <w:rPr>
          <w:sz w:val="22"/>
          <w:szCs w:val="22"/>
        </w:rPr>
        <w:t xml:space="preserve">soetamisest ja hoidmisest tuleneda võiv tulu põhineb suuresti kellegi muu isiku kui </w:t>
      </w:r>
      <w:r w:rsidR="00C92A9D">
        <w:rPr>
          <w:sz w:val="22"/>
          <w:szCs w:val="22"/>
        </w:rPr>
        <w:t>kliendi</w:t>
      </w:r>
      <w:r w:rsidR="003C33E0" w:rsidRPr="005A55CA">
        <w:rPr>
          <w:sz w:val="22"/>
          <w:szCs w:val="22"/>
        </w:rPr>
        <w:t xml:space="preserve"> panusel</w:t>
      </w:r>
      <w:r w:rsidR="00EE315C" w:rsidRPr="005A55CA">
        <w:rPr>
          <w:sz w:val="22"/>
          <w:szCs w:val="22"/>
        </w:rPr>
        <w:t xml:space="preserve"> </w:t>
      </w:r>
      <w:r w:rsidR="003C33E0" w:rsidRPr="005A55CA">
        <w:rPr>
          <w:sz w:val="22"/>
          <w:szCs w:val="22"/>
        </w:rPr>
        <w:t xml:space="preserve">rahastuse taotleja käekäigu suhtes, st </w:t>
      </w:r>
      <w:r w:rsidR="00BD5E7F">
        <w:rPr>
          <w:sz w:val="22"/>
          <w:szCs w:val="22"/>
        </w:rPr>
        <w:t>klient</w:t>
      </w:r>
      <w:r w:rsidR="003C33E0" w:rsidRPr="005A55CA">
        <w:rPr>
          <w:sz w:val="22"/>
          <w:szCs w:val="22"/>
        </w:rPr>
        <w:t xml:space="preserve"> omandab </w:t>
      </w:r>
      <w:r w:rsidR="00C92A9D">
        <w:rPr>
          <w:sz w:val="22"/>
          <w:szCs w:val="22"/>
        </w:rPr>
        <w:t xml:space="preserve">osaluse </w:t>
      </w:r>
      <w:proofErr w:type="spellStart"/>
      <w:r w:rsidR="00C92A9D">
        <w:rPr>
          <w:sz w:val="22"/>
          <w:szCs w:val="22"/>
        </w:rPr>
        <w:t>ühisrahastusprojektis</w:t>
      </w:r>
      <w:proofErr w:type="spellEnd"/>
      <w:r w:rsidR="003C33E0" w:rsidRPr="005A55CA">
        <w:rPr>
          <w:sz w:val="22"/>
          <w:szCs w:val="22"/>
        </w:rPr>
        <w:t xml:space="preserve">, jäädes sellega kaasnevas õigussuhtes suuresti passiivseks rahastuse taotleja ja/või </w:t>
      </w:r>
      <w:proofErr w:type="spellStart"/>
      <w:r w:rsidR="00C92A9D">
        <w:rPr>
          <w:sz w:val="22"/>
          <w:szCs w:val="22"/>
        </w:rPr>
        <w:t>ühisrahastusteenuse</w:t>
      </w:r>
      <w:proofErr w:type="spellEnd"/>
      <w:r w:rsidR="005C7572">
        <w:rPr>
          <w:sz w:val="22"/>
          <w:szCs w:val="22"/>
        </w:rPr>
        <w:t xml:space="preserve"> osutaja</w:t>
      </w:r>
      <w:r w:rsidR="003C33E0" w:rsidRPr="005A55CA">
        <w:rPr>
          <w:sz w:val="22"/>
          <w:szCs w:val="22"/>
        </w:rPr>
        <w:t xml:space="preserve"> suhtes.</w:t>
      </w:r>
    </w:p>
    <w:p w14:paraId="378B60E0" w14:textId="77777777" w:rsidR="00321EE6" w:rsidRPr="005A55CA" w:rsidRDefault="00321EE6" w:rsidP="00670CE5">
      <w:pPr>
        <w:spacing w:before="0"/>
        <w:rPr>
          <w:sz w:val="22"/>
          <w:szCs w:val="22"/>
        </w:rPr>
      </w:pPr>
    </w:p>
    <w:p w14:paraId="2205804D" w14:textId="005578A9" w:rsidR="00321EE6" w:rsidRPr="005A55CA" w:rsidRDefault="00562862" w:rsidP="00670CE5">
      <w:pPr>
        <w:spacing w:before="0"/>
        <w:rPr>
          <w:sz w:val="22"/>
          <w:szCs w:val="22"/>
        </w:rPr>
      </w:pPr>
      <w:r w:rsidRPr="00510614">
        <w:rPr>
          <w:b/>
          <w:sz w:val="22"/>
          <w:szCs w:val="22"/>
        </w:rPr>
        <w:t>Punkti</w:t>
      </w:r>
      <w:r w:rsidR="007C52F9">
        <w:rPr>
          <w:b/>
          <w:sz w:val="22"/>
          <w:szCs w:val="22"/>
        </w:rPr>
        <w:t>de</w:t>
      </w:r>
      <w:r w:rsidRPr="00510614">
        <w:rPr>
          <w:b/>
          <w:sz w:val="22"/>
          <w:szCs w:val="22"/>
        </w:rPr>
        <w:t>s 1</w:t>
      </w:r>
      <w:r w:rsidR="007C52F9">
        <w:rPr>
          <w:b/>
          <w:sz w:val="22"/>
          <w:szCs w:val="22"/>
        </w:rPr>
        <w:t>-3</w:t>
      </w:r>
      <w:r w:rsidRPr="005A55CA">
        <w:rPr>
          <w:sz w:val="22"/>
          <w:szCs w:val="22"/>
        </w:rPr>
        <w:t xml:space="preserve"> on esitatud loetelu konkreetsetest väärtpaberitest ja instrumentidest, mi</w:t>
      </w:r>
      <w:r w:rsidR="00EE315C" w:rsidRPr="005A55CA">
        <w:rPr>
          <w:sz w:val="22"/>
          <w:szCs w:val="22"/>
        </w:rPr>
        <w:t xml:space="preserve">da käsitatakse seaduse tähenduses </w:t>
      </w:r>
      <w:proofErr w:type="spellStart"/>
      <w:r w:rsidR="00DA04DA">
        <w:rPr>
          <w:sz w:val="22"/>
          <w:szCs w:val="22"/>
        </w:rPr>
        <w:t>ühisrahastusprojektina</w:t>
      </w:r>
      <w:proofErr w:type="spellEnd"/>
      <w:r w:rsidR="00EE315C" w:rsidRPr="005A55CA">
        <w:rPr>
          <w:sz w:val="22"/>
          <w:szCs w:val="22"/>
        </w:rPr>
        <w:t xml:space="preserve">. </w:t>
      </w:r>
    </w:p>
    <w:p w14:paraId="34EF7A2C" w14:textId="3627FEFF" w:rsidR="0079293B" w:rsidRPr="005A55CA" w:rsidRDefault="0079293B" w:rsidP="00670CE5">
      <w:pPr>
        <w:spacing w:before="0"/>
        <w:rPr>
          <w:sz w:val="22"/>
          <w:szCs w:val="22"/>
        </w:rPr>
      </w:pPr>
    </w:p>
    <w:p w14:paraId="4F51C095" w14:textId="1D925404" w:rsidR="0079293B" w:rsidRDefault="0079293B" w:rsidP="00670CE5">
      <w:pPr>
        <w:spacing w:before="0"/>
        <w:rPr>
          <w:sz w:val="22"/>
          <w:szCs w:val="22"/>
        </w:rPr>
      </w:pPr>
      <w:r w:rsidRPr="00510614">
        <w:rPr>
          <w:b/>
          <w:sz w:val="22"/>
          <w:szCs w:val="22"/>
        </w:rPr>
        <w:t xml:space="preserve">Punkti </w:t>
      </w:r>
      <w:r w:rsidR="007C52F9">
        <w:rPr>
          <w:b/>
          <w:sz w:val="22"/>
          <w:szCs w:val="22"/>
        </w:rPr>
        <w:t>1</w:t>
      </w:r>
      <w:r w:rsidRPr="005A55CA">
        <w:rPr>
          <w:sz w:val="22"/>
          <w:szCs w:val="22"/>
        </w:rPr>
        <w:t xml:space="preserve"> kohaselt hõlmab </w:t>
      </w:r>
      <w:proofErr w:type="spellStart"/>
      <w:r w:rsidR="007C52F9">
        <w:rPr>
          <w:sz w:val="22"/>
          <w:szCs w:val="22"/>
        </w:rPr>
        <w:t>ühisrahastusprojekti</w:t>
      </w:r>
      <w:proofErr w:type="spellEnd"/>
      <w:r w:rsidRPr="005A55CA">
        <w:rPr>
          <w:sz w:val="22"/>
          <w:szCs w:val="22"/>
        </w:rPr>
        <w:t xml:space="preserve"> mõiste krediidilepi</w:t>
      </w:r>
      <w:r w:rsidR="00510614">
        <w:rPr>
          <w:sz w:val="22"/>
          <w:szCs w:val="22"/>
        </w:rPr>
        <w:t xml:space="preserve">ngust, sealhulgas EL </w:t>
      </w:r>
      <w:proofErr w:type="spellStart"/>
      <w:r w:rsidR="00510614">
        <w:rPr>
          <w:sz w:val="22"/>
          <w:szCs w:val="22"/>
        </w:rPr>
        <w:t>ühisrahastus</w:t>
      </w:r>
      <w:r w:rsidRPr="005A55CA">
        <w:rPr>
          <w:sz w:val="22"/>
          <w:szCs w:val="22"/>
        </w:rPr>
        <w:t>määruse</w:t>
      </w:r>
      <w:proofErr w:type="spellEnd"/>
      <w:r w:rsidRPr="005A55CA">
        <w:rPr>
          <w:sz w:val="22"/>
          <w:szCs w:val="22"/>
        </w:rPr>
        <w:t xml:space="preserve"> </w:t>
      </w:r>
      <w:r w:rsidR="003C1EFC" w:rsidRPr="005A55CA">
        <w:rPr>
          <w:sz w:val="22"/>
          <w:szCs w:val="22"/>
        </w:rPr>
        <w:t>artikli 2</w:t>
      </w:r>
      <w:r w:rsidR="003C1EFC">
        <w:rPr>
          <w:sz w:val="22"/>
          <w:szCs w:val="22"/>
        </w:rPr>
        <w:t xml:space="preserve"> lõike </w:t>
      </w:r>
      <w:r w:rsidR="003C1EFC" w:rsidRPr="005A55CA">
        <w:rPr>
          <w:sz w:val="22"/>
          <w:szCs w:val="22"/>
        </w:rPr>
        <w:t xml:space="preserve">1 punktis </w:t>
      </w:r>
      <w:r w:rsidR="006B4069" w:rsidRPr="005A55CA">
        <w:rPr>
          <w:sz w:val="22"/>
          <w:szCs w:val="22"/>
        </w:rPr>
        <w:t>b</w:t>
      </w:r>
      <w:r w:rsidR="00E137DF">
        <w:rPr>
          <w:rStyle w:val="FootnoteReference"/>
          <w:sz w:val="22"/>
          <w:szCs w:val="22"/>
        </w:rPr>
        <w:footnoteReference w:id="46"/>
      </w:r>
      <w:r w:rsidRPr="005A55CA">
        <w:rPr>
          <w:sz w:val="22"/>
          <w:szCs w:val="22"/>
        </w:rPr>
        <w:t xml:space="preserve"> </w:t>
      </w:r>
      <w:r w:rsidR="006B4069" w:rsidRPr="005A55CA">
        <w:rPr>
          <w:sz w:val="22"/>
          <w:szCs w:val="22"/>
        </w:rPr>
        <w:t xml:space="preserve">nimetatud lepingust </w:t>
      </w:r>
      <w:r w:rsidRPr="005A55CA">
        <w:rPr>
          <w:sz w:val="22"/>
          <w:szCs w:val="22"/>
        </w:rPr>
        <w:t>tulenevat nõuet.</w:t>
      </w:r>
      <w:r w:rsidR="00C213E9" w:rsidRPr="005A55CA">
        <w:rPr>
          <w:sz w:val="22"/>
          <w:szCs w:val="22"/>
        </w:rPr>
        <w:t xml:space="preserve"> Punkt </w:t>
      </w:r>
      <w:r w:rsidR="007C52F9">
        <w:rPr>
          <w:sz w:val="22"/>
          <w:szCs w:val="22"/>
        </w:rPr>
        <w:t>1</w:t>
      </w:r>
      <w:r w:rsidR="00C213E9" w:rsidRPr="005A55CA">
        <w:rPr>
          <w:sz w:val="22"/>
          <w:szCs w:val="22"/>
        </w:rPr>
        <w:t xml:space="preserve"> tuleneb üldjoontes viidatud </w:t>
      </w:r>
      <w:r w:rsidR="003C1EFC">
        <w:rPr>
          <w:sz w:val="22"/>
          <w:szCs w:val="22"/>
        </w:rPr>
        <w:t xml:space="preserve">EL </w:t>
      </w:r>
      <w:proofErr w:type="spellStart"/>
      <w:r w:rsidR="00C213E9" w:rsidRPr="005A55CA">
        <w:rPr>
          <w:sz w:val="22"/>
          <w:szCs w:val="22"/>
        </w:rPr>
        <w:t>ühisrahastusmääruse</w:t>
      </w:r>
      <w:proofErr w:type="spellEnd"/>
      <w:r w:rsidR="00C213E9" w:rsidRPr="005A55CA">
        <w:rPr>
          <w:sz w:val="22"/>
          <w:szCs w:val="22"/>
        </w:rPr>
        <w:t xml:space="preserve"> sättest, kuid siseriiklikku õigusesse on </w:t>
      </w:r>
      <w:r w:rsidR="005B138B" w:rsidRPr="005A55CA">
        <w:rPr>
          <w:sz w:val="22"/>
          <w:szCs w:val="22"/>
        </w:rPr>
        <w:t xml:space="preserve">nimetatud punkt </w:t>
      </w:r>
      <w:r w:rsidR="007C52F9">
        <w:rPr>
          <w:sz w:val="22"/>
          <w:szCs w:val="22"/>
        </w:rPr>
        <w:t>1</w:t>
      </w:r>
      <w:r w:rsidR="005B138B" w:rsidRPr="005A55CA">
        <w:rPr>
          <w:sz w:val="22"/>
          <w:szCs w:val="22"/>
        </w:rPr>
        <w:t xml:space="preserve"> toodud üle laiendavalt, st krediidilepinguga </w:t>
      </w:r>
      <w:r w:rsidR="00AF1836" w:rsidRPr="005A55CA">
        <w:rPr>
          <w:sz w:val="22"/>
          <w:szCs w:val="22"/>
        </w:rPr>
        <w:t xml:space="preserve">käesoleva seaduse tähenduses </w:t>
      </w:r>
      <w:r w:rsidR="005B138B" w:rsidRPr="005A55CA">
        <w:rPr>
          <w:sz w:val="22"/>
          <w:szCs w:val="22"/>
        </w:rPr>
        <w:t xml:space="preserve">on hõlmatud </w:t>
      </w:r>
      <w:r w:rsidR="00AF1836" w:rsidRPr="005A55CA">
        <w:rPr>
          <w:sz w:val="22"/>
          <w:szCs w:val="22"/>
        </w:rPr>
        <w:t xml:space="preserve">nii laenulepingud </w:t>
      </w:r>
      <w:r w:rsidR="003C1EFC">
        <w:rPr>
          <w:sz w:val="22"/>
          <w:szCs w:val="22"/>
        </w:rPr>
        <w:t xml:space="preserve">EL </w:t>
      </w:r>
      <w:proofErr w:type="spellStart"/>
      <w:r w:rsidR="00AF1836" w:rsidRPr="005A55CA">
        <w:rPr>
          <w:sz w:val="22"/>
          <w:szCs w:val="22"/>
        </w:rPr>
        <w:t>ühisrahastusmääruse</w:t>
      </w:r>
      <w:proofErr w:type="spellEnd"/>
      <w:r w:rsidR="00AF1836" w:rsidRPr="005A55CA">
        <w:rPr>
          <w:sz w:val="22"/>
          <w:szCs w:val="22"/>
        </w:rPr>
        <w:t xml:space="preserve"> mõistes, kuid ka tarbijakrediit</w:t>
      </w:r>
      <w:r w:rsidR="00EC214A" w:rsidRPr="005A55CA">
        <w:rPr>
          <w:sz w:val="22"/>
          <w:szCs w:val="22"/>
        </w:rPr>
        <w:t xml:space="preserve"> </w:t>
      </w:r>
      <w:proofErr w:type="spellStart"/>
      <w:r w:rsidR="00E45A91" w:rsidRPr="005A55CA">
        <w:rPr>
          <w:sz w:val="22"/>
          <w:szCs w:val="22"/>
        </w:rPr>
        <w:t>KAVS-i</w:t>
      </w:r>
      <w:proofErr w:type="spellEnd"/>
      <w:r w:rsidR="00984983">
        <w:rPr>
          <w:sz w:val="22"/>
          <w:szCs w:val="22"/>
        </w:rPr>
        <w:t xml:space="preserve"> (ja </w:t>
      </w:r>
      <w:proofErr w:type="spellStart"/>
      <w:r w:rsidR="00984983">
        <w:rPr>
          <w:sz w:val="22"/>
          <w:szCs w:val="22"/>
        </w:rPr>
        <w:t>VÕS-i</w:t>
      </w:r>
      <w:proofErr w:type="spellEnd"/>
      <w:r w:rsidR="00984983">
        <w:rPr>
          <w:sz w:val="22"/>
          <w:szCs w:val="22"/>
        </w:rPr>
        <w:t>)</w:t>
      </w:r>
      <w:r w:rsidR="00EC214A" w:rsidRPr="005A55CA">
        <w:rPr>
          <w:sz w:val="22"/>
          <w:szCs w:val="22"/>
        </w:rPr>
        <w:t xml:space="preserve"> tähenduses. Eelnõu koostajate hinnangul on tarbijakrediidil põhinev </w:t>
      </w:r>
      <w:proofErr w:type="spellStart"/>
      <w:r w:rsidR="00EC214A" w:rsidRPr="005A55CA">
        <w:rPr>
          <w:sz w:val="22"/>
          <w:szCs w:val="22"/>
        </w:rPr>
        <w:t>ühisrahastusmudel</w:t>
      </w:r>
      <w:proofErr w:type="spellEnd"/>
      <w:r w:rsidR="00EC214A" w:rsidRPr="005A55CA">
        <w:rPr>
          <w:sz w:val="22"/>
          <w:szCs w:val="22"/>
        </w:rPr>
        <w:t xml:space="preserve"> vähemalt samaväärsete riskidega. Lisaks tekiks käesolevas seaduses tarbijakrediidi reguleerimata jätmise korral õigusselgusetus, et kas </w:t>
      </w:r>
      <w:proofErr w:type="spellStart"/>
      <w:r w:rsidR="00EC214A" w:rsidRPr="005A55CA">
        <w:rPr>
          <w:sz w:val="22"/>
          <w:szCs w:val="22"/>
        </w:rPr>
        <w:t>ühisrahastusmudelil</w:t>
      </w:r>
      <w:proofErr w:type="spellEnd"/>
      <w:r w:rsidR="00EC214A" w:rsidRPr="005A55CA">
        <w:rPr>
          <w:sz w:val="22"/>
          <w:szCs w:val="22"/>
        </w:rPr>
        <w:t xml:space="preserve"> põhineva tarbijakrediidi puhul</w:t>
      </w:r>
      <w:r w:rsidR="003C1EFC">
        <w:rPr>
          <w:sz w:val="22"/>
          <w:szCs w:val="22"/>
        </w:rPr>
        <w:t xml:space="preserve"> (vt KAVS § 2 lg 2)</w:t>
      </w:r>
      <w:r w:rsidR="00EC214A" w:rsidRPr="005A55CA">
        <w:rPr>
          <w:sz w:val="22"/>
          <w:szCs w:val="22"/>
        </w:rPr>
        <w:t xml:space="preserve"> kohaldataks </w:t>
      </w:r>
      <w:proofErr w:type="spellStart"/>
      <w:r w:rsidR="00EC214A" w:rsidRPr="005A55CA">
        <w:rPr>
          <w:sz w:val="22"/>
          <w:szCs w:val="22"/>
        </w:rPr>
        <w:t>KAVS-i</w:t>
      </w:r>
      <w:proofErr w:type="spellEnd"/>
      <w:r w:rsidR="00EC214A" w:rsidRPr="005A55CA">
        <w:rPr>
          <w:sz w:val="22"/>
          <w:szCs w:val="22"/>
        </w:rPr>
        <w:t xml:space="preserve"> või käesolevat seadust.</w:t>
      </w:r>
      <w:r w:rsidR="003C1EFC">
        <w:rPr>
          <w:sz w:val="22"/>
          <w:szCs w:val="22"/>
        </w:rPr>
        <w:t xml:space="preserve"> Muud tarbijakrediidi andmist ja vahendamist </w:t>
      </w:r>
      <w:r w:rsidR="00351CEA">
        <w:rPr>
          <w:sz w:val="22"/>
          <w:szCs w:val="22"/>
        </w:rPr>
        <w:t>eelnõu</w:t>
      </w:r>
      <w:r w:rsidR="003C1EFC">
        <w:rPr>
          <w:sz w:val="22"/>
          <w:szCs w:val="22"/>
        </w:rPr>
        <w:t xml:space="preserve"> ei reguleeri ja see jääb endiselt </w:t>
      </w:r>
      <w:proofErr w:type="spellStart"/>
      <w:r w:rsidR="003C1EFC">
        <w:rPr>
          <w:sz w:val="22"/>
          <w:szCs w:val="22"/>
        </w:rPr>
        <w:t>KAVS</w:t>
      </w:r>
      <w:r w:rsidR="009C25D3">
        <w:rPr>
          <w:sz w:val="22"/>
          <w:szCs w:val="22"/>
        </w:rPr>
        <w:t>-</w:t>
      </w:r>
      <w:r w:rsidR="003C1EFC">
        <w:rPr>
          <w:sz w:val="22"/>
          <w:szCs w:val="22"/>
        </w:rPr>
        <w:t>i</w:t>
      </w:r>
      <w:proofErr w:type="spellEnd"/>
      <w:r w:rsidR="003C1EFC">
        <w:rPr>
          <w:sz w:val="22"/>
          <w:szCs w:val="22"/>
        </w:rPr>
        <w:t xml:space="preserve"> kohaldamisalasse.</w:t>
      </w:r>
    </w:p>
    <w:p w14:paraId="23C19958" w14:textId="552490A5" w:rsidR="007C52F9" w:rsidRDefault="007C52F9" w:rsidP="00670CE5">
      <w:pPr>
        <w:spacing w:before="0"/>
        <w:rPr>
          <w:sz w:val="22"/>
          <w:szCs w:val="22"/>
        </w:rPr>
      </w:pPr>
    </w:p>
    <w:p w14:paraId="76CDF550" w14:textId="57908577" w:rsidR="007C52F9" w:rsidRPr="005A55CA" w:rsidRDefault="007C52F9" w:rsidP="00670CE5">
      <w:pPr>
        <w:spacing w:before="0"/>
        <w:rPr>
          <w:sz w:val="22"/>
          <w:szCs w:val="22"/>
        </w:rPr>
      </w:pPr>
      <w:r>
        <w:rPr>
          <w:b/>
          <w:bCs/>
          <w:sz w:val="22"/>
          <w:szCs w:val="22"/>
        </w:rPr>
        <w:t xml:space="preserve">Punkti </w:t>
      </w:r>
      <w:r w:rsidR="005F73CB">
        <w:rPr>
          <w:b/>
          <w:bCs/>
          <w:sz w:val="22"/>
          <w:szCs w:val="22"/>
        </w:rPr>
        <w:t>2</w:t>
      </w:r>
      <w:r>
        <w:rPr>
          <w:b/>
          <w:bCs/>
          <w:sz w:val="22"/>
          <w:szCs w:val="22"/>
        </w:rPr>
        <w:t xml:space="preserve"> </w:t>
      </w:r>
      <w:r>
        <w:rPr>
          <w:sz w:val="22"/>
          <w:szCs w:val="22"/>
        </w:rPr>
        <w:t>kohaselt</w:t>
      </w:r>
      <w:r w:rsidR="005F73CB">
        <w:rPr>
          <w:sz w:val="22"/>
          <w:szCs w:val="22"/>
        </w:rPr>
        <w:t xml:space="preserve"> hõlmab </w:t>
      </w:r>
      <w:proofErr w:type="spellStart"/>
      <w:r w:rsidR="005F73CB">
        <w:rPr>
          <w:sz w:val="22"/>
          <w:szCs w:val="22"/>
        </w:rPr>
        <w:t>ühisrahastusprojekt</w:t>
      </w:r>
      <w:proofErr w:type="spellEnd"/>
      <w:r w:rsidRPr="005A55CA">
        <w:rPr>
          <w:sz w:val="22"/>
          <w:szCs w:val="22"/>
        </w:rPr>
        <w:t xml:space="preserve"> väärtpaberituru seaduse §-s 2 </w:t>
      </w:r>
      <w:r>
        <w:rPr>
          <w:sz w:val="22"/>
          <w:szCs w:val="22"/>
        </w:rPr>
        <w:t xml:space="preserve">lõike 1 </w:t>
      </w:r>
      <w:r w:rsidRPr="005A55CA">
        <w:rPr>
          <w:sz w:val="22"/>
          <w:szCs w:val="22"/>
        </w:rPr>
        <w:t xml:space="preserve">punktides 1-8 nimetamata väärtpaberid või </w:t>
      </w:r>
      <w:r>
        <w:rPr>
          <w:sz w:val="22"/>
          <w:szCs w:val="22"/>
        </w:rPr>
        <w:t xml:space="preserve">EL </w:t>
      </w:r>
      <w:proofErr w:type="spellStart"/>
      <w:r>
        <w:rPr>
          <w:sz w:val="22"/>
          <w:szCs w:val="22"/>
        </w:rPr>
        <w:t>ühisrahastusmääruse</w:t>
      </w:r>
      <w:proofErr w:type="spellEnd"/>
      <w:r>
        <w:rPr>
          <w:sz w:val="22"/>
          <w:szCs w:val="22"/>
        </w:rPr>
        <w:t xml:space="preserve"> artikli 2 lõike 1 punktis n</w:t>
      </w:r>
      <w:r w:rsidR="00E137DF">
        <w:rPr>
          <w:rStyle w:val="FootnoteReference"/>
          <w:sz w:val="22"/>
          <w:szCs w:val="22"/>
        </w:rPr>
        <w:footnoteReference w:id="47"/>
      </w:r>
      <w:r w:rsidRPr="005A55CA">
        <w:rPr>
          <w:sz w:val="22"/>
          <w:szCs w:val="22"/>
        </w:rPr>
        <w:t xml:space="preserve"> nimetatud </w:t>
      </w:r>
      <w:r w:rsidR="005F73CB">
        <w:rPr>
          <w:sz w:val="22"/>
          <w:szCs w:val="22"/>
        </w:rPr>
        <w:t>väärtpaberid</w:t>
      </w:r>
      <w:r w:rsidRPr="005A55CA">
        <w:rPr>
          <w:sz w:val="22"/>
          <w:szCs w:val="22"/>
        </w:rPr>
        <w:t>. Seadusega on hõlmatud sellised finantsinstrumendid, mis annavad selle omanikule hääle-, kasumi või muid õigusi, mida tavapäraselt seostatakse osaluse omamisega või muul viisil kontrolli teostamisega juriidilises isikus või juriidilise isiku staatust mitteomava isikute ü</w:t>
      </w:r>
      <w:r w:rsidR="00962D93">
        <w:rPr>
          <w:sz w:val="22"/>
          <w:szCs w:val="22"/>
        </w:rPr>
        <w:t>henduses või muus ü</w:t>
      </w:r>
      <w:r w:rsidR="005F73CB">
        <w:rPr>
          <w:sz w:val="22"/>
          <w:szCs w:val="22"/>
        </w:rPr>
        <w:t>ksuses</w:t>
      </w:r>
      <w:r w:rsidRPr="005A55CA">
        <w:rPr>
          <w:sz w:val="22"/>
          <w:szCs w:val="22"/>
        </w:rPr>
        <w:t xml:space="preserve">. Eeskätt kuuluvad selle määratluse alla osaühingu osad, osalus </w:t>
      </w:r>
      <w:proofErr w:type="spellStart"/>
      <w:r w:rsidRPr="005A55CA">
        <w:rPr>
          <w:sz w:val="22"/>
          <w:szCs w:val="22"/>
        </w:rPr>
        <w:t>tulundusühistus</w:t>
      </w:r>
      <w:proofErr w:type="spellEnd"/>
      <w:r w:rsidRPr="005A55CA">
        <w:rPr>
          <w:sz w:val="22"/>
          <w:szCs w:val="22"/>
        </w:rPr>
        <w:t xml:space="preserve"> ja usaldusfondis, aga ka kontrolliõigus sihtasutuste üle ning muud väärtpaberid ja finantsinstrumendid, mis ei ole finantsinstrumendid </w:t>
      </w:r>
      <w:proofErr w:type="spellStart"/>
      <w:r w:rsidRPr="005A55CA">
        <w:rPr>
          <w:sz w:val="22"/>
          <w:szCs w:val="22"/>
        </w:rPr>
        <w:t>MiFID</w:t>
      </w:r>
      <w:proofErr w:type="spellEnd"/>
      <w:r>
        <w:rPr>
          <w:sz w:val="22"/>
          <w:szCs w:val="22"/>
        </w:rPr>
        <w:t xml:space="preserve"> II</w:t>
      </w:r>
      <w:r w:rsidRPr="005A55CA">
        <w:rPr>
          <w:sz w:val="22"/>
          <w:szCs w:val="22"/>
        </w:rPr>
        <w:t xml:space="preserve"> mõistes</w:t>
      </w:r>
      <w:r w:rsidR="005F73CB">
        <w:rPr>
          <w:sz w:val="22"/>
          <w:szCs w:val="22"/>
        </w:rPr>
        <w:t xml:space="preserve"> ja mis ei lange väärtpaberituru seaduse kohaldamisalasse</w:t>
      </w:r>
      <w:r w:rsidRPr="005A55CA">
        <w:rPr>
          <w:sz w:val="22"/>
          <w:szCs w:val="22"/>
        </w:rPr>
        <w:t>, kuid millega kaasneb eeltoodud omadustega instrumendi omamine või käsutusõigus.</w:t>
      </w:r>
    </w:p>
    <w:p w14:paraId="4C30B134" w14:textId="19B000A7" w:rsidR="005203C5" w:rsidRPr="005A55CA" w:rsidRDefault="005203C5" w:rsidP="00670CE5">
      <w:pPr>
        <w:spacing w:before="0"/>
        <w:rPr>
          <w:sz w:val="22"/>
          <w:szCs w:val="22"/>
        </w:rPr>
      </w:pPr>
    </w:p>
    <w:p w14:paraId="1015C78F" w14:textId="1876FF6E" w:rsidR="005203C5" w:rsidRPr="005A55CA" w:rsidRDefault="005203C5" w:rsidP="00670CE5">
      <w:pPr>
        <w:spacing w:before="0"/>
        <w:rPr>
          <w:sz w:val="22"/>
          <w:szCs w:val="22"/>
        </w:rPr>
      </w:pPr>
      <w:r w:rsidRPr="005B2E07">
        <w:rPr>
          <w:b/>
          <w:sz w:val="22"/>
          <w:szCs w:val="22"/>
        </w:rPr>
        <w:lastRenderedPageBreak/>
        <w:t>Punkti 3</w:t>
      </w:r>
      <w:r w:rsidRPr="005A55CA">
        <w:rPr>
          <w:sz w:val="22"/>
          <w:szCs w:val="22"/>
        </w:rPr>
        <w:t xml:space="preserve"> järgi kuulu</w:t>
      </w:r>
      <w:r w:rsidR="00B338E9">
        <w:rPr>
          <w:sz w:val="22"/>
          <w:szCs w:val="22"/>
        </w:rPr>
        <w:t>vad</w:t>
      </w:r>
      <w:r w:rsidRPr="005A55CA">
        <w:rPr>
          <w:sz w:val="22"/>
          <w:szCs w:val="22"/>
        </w:rPr>
        <w:t xml:space="preserve"> </w:t>
      </w:r>
      <w:proofErr w:type="spellStart"/>
      <w:r w:rsidR="00A45EF1">
        <w:rPr>
          <w:sz w:val="22"/>
          <w:szCs w:val="22"/>
        </w:rPr>
        <w:t>ühisrahastusprojekti</w:t>
      </w:r>
      <w:proofErr w:type="spellEnd"/>
      <w:r w:rsidRPr="005A55CA">
        <w:rPr>
          <w:sz w:val="22"/>
          <w:szCs w:val="22"/>
        </w:rPr>
        <w:t xml:space="preserve"> mõiste alla ka tuletisinstrumendid, mis annavad selle omanikule õiguse sama lõike punktis 1 ja 2 nimetatud instrument omandada. </w:t>
      </w:r>
      <w:r w:rsidR="00B2030E">
        <w:rPr>
          <w:sz w:val="22"/>
          <w:szCs w:val="22"/>
        </w:rPr>
        <w:t xml:space="preserve">Käesoleva seaduse tähenduses mõistetakse nimetatud tuletisinstrumentide all </w:t>
      </w:r>
      <w:r w:rsidRPr="005A55CA">
        <w:rPr>
          <w:sz w:val="22"/>
          <w:szCs w:val="22"/>
        </w:rPr>
        <w:t>erineva</w:t>
      </w:r>
      <w:r w:rsidR="00B2030E">
        <w:rPr>
          <w:sz w:val="22"/>
          <w:szCs w:val="22"/>
        </w:rPr>
        <w:t>i</w:t>
      </w:r>
      <w:r w:rsidRPr="005A55CA">
        <w:rPr>
          <w:sz w:val="22"/>
          <w:szCs w:val="22"/>
        </w:rPr>
        <w:t>d instrumen</w:t>
      </w:r>
      <w:r w:rsidR="00B2030E">
        <w:rPr>
          <w:sz w:val="22"/>
          <w:szCs w:val="22"/>
        </w:rPr>
        <w:t>te</w:t>
      </w:r>
      <w:r w:rsidRPr="005A55CA">
        <w:rPr>
          <w:sz w:val="22"/>
          <w:szCs w:val="22"/>
        </w:rPr>
        <w:t xml:space="preserve">, mis võimaldavad selle omandajal </w:t>
      </w:r>
      <w:r w:rsidR="00A51C00" w:rsidRPr="005A55CA">
        <w:rPr>
          <w:sz w:val="22"/>
          <w:szCs w:val="22"/>
        </w:rPr>
        <w:t xml:space="preserve">tulevikus </w:t>
      </w:r>
      <w:proofErr w:type="spellStart"/>
      <w:r w:rsidR="00A45EF1">
        <w:rPr>
          <w:sz w:val="22"/>
          <w:szCs w:val="22"/>
        </w:rPr>
        <w:t>ühisrahastusprojekte</w:t>
      </w:r>
      <w:proofErr w:type="spellEnd"/>
      <w:r w:rsidR="00A45EF1" w:rsidRPr="005A55CA">
        <w:rPr>
          <w:sz w:val="22"/>
          <w:szCs w:val="22"/>
        </w:rPr>
        <w:t xml:space="preserve"> </w:t>
      </w:r>
      <w:r w:rsidR="00A51C00" w:rsidRPr="005A55CA">
        <w:rPr>
          <w:sz w:val="22"/>
          <w:szCs w:val="22"/>
        </w:rPr>
        <w:t>omandada</w:t>
      </w:r>
      <w:r w:rsidR="00CC6E32" w:rsidRPr="005A55CA">
        <w:rPr>
          <w:sz w:val="22"/>
          <w:szCs w:val="22"/>
        </w:rPr>
        <w:t xml:space="preserve">. Eeskätt liigituvad sellise määratluse alla võlainstrumendid, mida iseenesest ei saa pidada </w:t>
      </w:r>
      <w:proofErr w:type="spellStart"/>
      <w:r w:rsidR="00A45EF1">
        <w:rPr>
          <w:sz w:val="22"/>
          <w:szCs w:val="22"/>
        </w:rPr>
        <w:t>ühisrahastusprojektiks</w:t>
      </w:r>
      <w:proofErr w:type="spellEnd"/>
      <w:r w:rsidR="00CC6E32" w:rsidRPr="005A55CA">
        <w:rPr>
          <w:sz w:val="22"/>
          <w:szCs w:val="22"/>
        </w:rPr>
        <w:t xml:space="preserve">, kuid mille (esma)pakkumise ajal on avaldatud, et tulevikus on võimalik nimetatud võlainstrumendi omandajal nimetatud instrument </w:t>
      </w:r>
      <w:r w:rsidR="00A45EF1">
        <w:rPr>
          <w:sz w:val="22"/>
          <w:szCs w:val="22"/>
        </w:rPr>
        <w:t>krediidilepingust tulenevaks nõudeks või punktis 2 nimetatud väärtpaberiks</w:t>
      </w:r>
      <w:r w:rsidR="00A45EF1" w:rsidRPr="005A55CA">
        <w:rPr>
          <w:sz w:val="22"/>
          <w:szCs w:val="22"/>
        </w:rPr>
        <w:t xml:space="preserve"> </w:t>
      </w:r>
      <w:r w:rsidR="00CC6E32" w:rsidRPr="005A55CA">
        <w:rPr>
          <w:sz w:val="22"/>
          <w:szCs w:val="22"/>
        </w:rPr>
        <w:t xml:space="preserve">konverteerida. Lisaks peetakse käesoleva punkti all silmas ka </w:t>
      </w:r>
      <w:r w:rsidR="00A51C00" w:rsidRPr="005A55CA">
        <w:rPr>
          <w:sz w:val="22"/>
          <w:szCs w:val="22"/>
        </w:rPr>
        <w:t xml:space="preserve">praktikas </w:t>
      </w:r>
      <w:r w:rsidR="00CC6E32" w:rsidRPr="005A55CA">
        <w:rPr>
          <w:sz w:val="22"/>
          <w:szCs w:val="22"/>
        </w:rPr>
        <w:t>kasutatavaid konvert</w:t>
      </w:r>
      <w:r w:rsidR="00A51C00" w:rsidRPr="005A55CA">
        <w:rPr>
          <w:sz w:val="22"/>
          <w:szCs w:val="22"/>
        </w:rPr>
        <w:t>eeritavad instrumen</w:t>
      </w:r>
      <w:r w:rsidR="00CC6E32" w:rsidRPr="005A55CA">
        <w:rPr>
          <w:sz w:val="22"/>
          <w:szCs w:val="22"/>
        </w:rPr>
        <w:t>te</w:t>
      </w:r>
      <w:r w:rsidR="00A51C00" w:rsidRPr="005A55CA">
        <w:rPr>
          <w:sz w:val="22"/>
          <w:szCs w:val="22"/>
        </w:rPr>
        <w:t xml:space="preserve"> (sh laenud; ingl. k </w:t>
      </w:r>
      <w:proofErr w:type="spellStart"/>
      <w:r w:rsidR="00A51C00" w:rsidRPr="005A55CA">
        <w:rPr>
          <w:i/>
          <w:sz w:val="22"/>
          <w:szCs w:val="22"/>
        </w:rPr>
        <w:t>convertible</w:t>
      </w:r>
      <w:proofErr w:type="spellEnd"/>
      <w:r w:rsidR="00A51C00" w:rsidRPr="005A55CA">
        <w:rPr>
          <w:i/>
          <w:sz w:val="22"/>
          <w:szCs w:val="22"/>
        </w:rPr>
        <w:t xml:space="preserve"> </w:t>
      </w:r>
      <w:proofErr w:type="spellStart"/>
      <w:r w:rsidR="00A51C00" w:rsidRPr="005A55CA">
        <w:rPr>
          <w:i/>
          <w:sz w:val="22"/>
          <w:szCs w:val="22"/>
        </w:rPr>
        <w:t>loan</w:t>
      </w:r>
      <w:proofErr w:type="spellEnd"/>
      <w:r w:rsidR="00A51C00" w:rsidRPr="005A55CA">
        <w:rPr>
          <w:i/>
          <w:sz w:val="22"/>
          <w:szCs w:val="22"/>
        </w:rPr>
        <w:t xml:space="preserve">, </w:t>
      </w:r>
      <w:proofErr w:type="spellStart"/>
      <w:r w:rsidR="00A51C00" w:rsidRPr="005A55CA">
        <w:rPr>
          <w:i/>
          <w:sz w:val="22"/>
          <w:szCs w:val="22"/>
        </w:rPr>
        <w:t>convertible</w:t>
      </w:r>
      <w:proofErr w:type="spellEnd"/>
      <w:r w:rsidR="00A51C00" w:rsidRPr="005A55CA">
        <w:rPr>
          <w:i/>
          <w:sz w:val="22"/>
          <w:szCs w:val="22"/>
        </w:rPr>
        <w:t xml:space="preserve"> </w:t>
      </w:r>
      <w:proofErr w:type="spellStart"/>
      <w:r w:rsidR="00A51C00" w:rsidRPr="005A55CA">
        <w:rPr>
          <w:i/>
          <w:sz w:val="22"/>
          <w:szCs w:val="22"/>
        </w:rPr>
        <w:t>note</w:t>
      </w:r>
      <w:proofErr w:type="spellEnd"/>
      <w:r w:rsidR="00A51C00" w:rsidRPr="005A55CA">
        <w:rPr>
          <w:sz w:val="22"/>
          <w:szCs w:val="22"/>
        </w:rPr>
        <w:t>)</w:t>
      </w:r>
      <w:r w:rsidR="00CC6E32" w:rsidRPr="005A55CA">
        <w:rPr>
          <w:sz w:val="22"/>
          <w:szCs w:val="22"/>
        </w:rPr>
        <w:t xml:space="preserve">, mille omandaja saab valida, kas sellise instrumendi </w:t>
      </w:r>
      <w:r w:rsidR="005E598E">
        <w:rPr>
          <w:sz w:val="22"/>
          <w:szCs w:val="22"/>
        </w:rPr>
        <w:t>rahastuse taotleja</w:t>
      </w:r>
      <w:r w:rsidR="005E598E" w:rsidRPr="005A55CA">
        <w:rPr>
          <w:sz w:val="22"/>
          <w:szCs w:val="22"/>
        </w:rPr>
        <w:t xml:space="preserve"> </w:t>
      </w:r>
      <w:r w:rsidR="00CC6E32" w:rsidRPr="005A55CA">
        <w:rPr>
          <w:sz w:val="22"/>
          <w:szCs w:val="22"/>
        </w:rPr>
        <w:t>poolne vastusooritus seisneb raha tagasi maksmises või osaluse või muu õiguse üleandmises.</w:t>
      </w:r>
      <w:r w:rsidR="00527EFB">
        <w:rPr>
          <w:sz w:val="22"/>
          <w:szCs w:val="22"/>
        </w:rPr>
        <w:t xml:space="preserve"> </w:t>
      </w:r>
    </w:p>
    <w:p w14:paraId="705B91BF" w14:textId="1FF953C7" w:rsidR="00CC6E32" w:rsidRPr="005A55CA" w:rsidRDefault="00CC6E32" w:rsidP="00670CE5">
      <w:pPr>
        <w:spacing w:before="0"/>
        <w:rPr>
          <w:sz w:val="22"/>
          <w:szCs w:val="22"/>
        </w:rPr>
      </w:pPr>
    </w:p>
    <w:p w14:paraId="08A4AE02" w14:textId="32E2EB7D" w:rsidR="008A5BD8" w:rsidRDefault="00CE57DC" w:rsidP="00670CE5">
      <w:pPr>
        <w:spacing w:before="0"/>
        <w:rPr>
          <w:sz w:val="22"/>
          <w:szCs w:val="22"/>
        </w:rPr>
      </w:pPr>
      <w:r>
        <w:rPr>
          <w:b/>
          <w:sz w:val="22"/>
          <w:szCs w:val="22"/>
        </w:rPr>
        <w:t>L</w:t>
      </w:r>
      <w:r w:rsidR="002E440E" w:rsidRPr="005A55CA">
        <w:rPr>
          <w:b/>
          <w:sz w:val="22"/>
          <w:szCs w:val="22"/>
        </w:rPr>
        <w:t>õige 2</w:t>
      </w:r>
      <w:r w:rsidR="00CC6E32" w:rsidRPr="005A55CA">
        <w:rPr>
          <w:sz w:val="22"/>
          <w:szCs w:val="22"/>
        </w:rPr>
        <w:t xml:space="preserve"> </w:t>
      </w:r>
      <w:proofErr w:type="spellStart"/>
      <w:r w:rsidR="004718DA" w:rsidRPr="005A55CA">
        <w:rPr>
          <w:sz w:val="22"/>
          <w:szCs w:val="22"/>
        </w:rPr>
        <w:t>s</w:t>
      </w:r>
      <w:r w:rsidR="004718DA">
        <w:rPr>
          <w:sz w:val="22"/>
          <w:szCs w:val="22"/>
        </w:rPr>
        <w:t>ätesab</w:t>
      </w:r>
      <w:proofErr w:type="spellEnd"/>
      <w:r w:rsidR="004718DA" w:rsidRPr="005A55CA">
        <w:rPr>
          <w:sz w:val="22"/>
          <w:szCs w:val="22"/>
        </w:rPr>
        <w:t xml:space="preserve"> </w:t>
      </w:r>
      <w:proofErr w:type="spellStart"/>
      <w:r w:rsidR="00A45EF1">
        <w:rPr>
          <w:sz w:val="22"/>
          <w:szCs w:val="22"/>
        </w:rPr>
        <w:t>ühisrahastusprojekti</w:t>
      </w:r>
      <w:proofErr w:type="spellEnd"/>
      <w:r w:rsidR="00CC6E32" w:rsidRPr="005A55CA">
        <w:rPr>
          <w:sz w:val="22"/>
          <w:szCs w:val="22"/>
        </w:rPr>
        <w:t xml:space="preserve"> pakkumise mõiste, mille kohaselt </w:t>
      </w:r>
      <w:proofErr w:type="spellStart"/>
      <w:r w:rsidR="00AF5A03">
        <w:rPr>
          <w:sz w:val="22"/>
          <w:szCs w:val="22"/>
        </w:rPr>
        <w:t>ühisrahastusprojekti</w:t>
      </w:r>
      <w:proofErr w:type="spellEnd"/>
      <w:r w:rsidR="00CC6E32" w:rsidRPr="005A55CA">
        <w:rPr>
          <w:sz w:val="22"/>
          <w:szCs w:val="22"/>
        </w:rPr>
        <w:t xml:space="preserve"> pakkumine on mistahes vormis ja vahendite</w:t>
      </w:r>
      <w:r w:rsidR="006B4069" w:rsidRPr="005A55CA">
        <w:rPr>
          <w:sz w:val="22"/>
          <w:szCs w:val="22"/>
        </w:rPr>
        <w:t>, sealhulgas finantsvahendusplatvormi või muu tehnilise lahenduse abil</w:t>
      </w:r>
      <w:r w:rsidR="00CC6E32" w:rsidRPr="005A55CA">
        <w:rPr>
          <w:sz w:val="22"/>
          <w:szCs w:val="22"/>
        </w:rPr>
        <w:t xml:space="preserve"> </w:t>
      </w:r>
      <w:proofErr w:type="spellStart"/>
      <w:r w:rsidR="00CC6E32" w:rsidRPr="005A55CA">
        <w:rPr>
          <w:sz w:val="22"/>
          <w:szCs w:val="22"/>
        </w:rPr>
        <w:t>abil</w:t>
      </w:r>
      <w:proofErr w:type="spellEnd"/>
      <w:r w:rsidR="00CC6E32" w:rsidRPr="005A55CA">
        <w:rPr>
          <w:sz w:val="22"/>
          <w:szCs w:val="22"/>
        </w:rPr>
        <w:t xml:space="preserve"> </w:t>
      </w:r>
      <w:r w:rsidR="006B4069" w:rsidRPr="005A55CA">
        <w:rPr>
          <w:sz w:val="22"/>
          <w:szCs w:val="22"/>
        </w:rPr>
        <w:t xml:space="preserve">avalikkusele </w:t>
      </w:r>
      <w:proofErr w:type="spellStart"/>
      <w:r w:rsidR="00AF5A03">
        <w:rPr>
          <w:sz w:val="22"/>
          <w:szCs w:val="22"/>
        </w:rPr>
        <w:t>ühisrahastusprojekti</w:t>
      </w:r>
      <w:proofErr w:type="spellEnd"/>
      <w:r w:rsidR="00AF5A03">
        <w:rPr>
          <w:sz w:val="22"/>
          <w:szCs w:val="22"/>
        </w:rPr>
        <w:t xml:space="preserve"> </w:t>
      </w:r>
      <w:r w:rsidR="000F344E" w:rsidRPr="005A55CA">
        <w:rPr>
          <w:sz w:val="22"/>
          <w:szCs w:val="22"/>
        </w:rPr>
        <w:t xml:space="preserve"> omandamise võimaluse kohta </w:t>
      </w:r>
      <w:r w:rsidR="006B4069" w:rsidRPr="005A55CA">
        <w:rPr>
          <w:sz w:val="22"/>
          <w:szCs w:val="22"/>
        </w:rPr>
        <w:t>kättesaadavaks tehtud</w:t>
      </w:r>
      <w:r w:rsidR="00CC6E32" w:rsidRPr="005A55CA">
        <w:rPr>
          <w:sz w:val="22"/>
          <w:szCs w:val="22"/>
        </w:rPr>
        <w:t xml:space="preserve"> tea</w:t>
      </w:r>
      <w:r w:rsidR="006B4069" w:rsidRPr="005A55CA">
        <w:rPr>
          <w:sz w:val="22"/>
          <w:szCs w:val="22"/>
        </w:rPr>
        <w:t>v</w:t>
      </w:r>
      <w:r w:rsidR="00CC6E32" w:rsidRPr="005A55CA">
        <w:rPr>
          <w:sz w:val="22"/>
          <w:szCs w:val="22"/>
        </w:rPr>
        <w:t>e</w:t>
      </w:r>
      <w:r w:rsidR="000F344E" w:rsidRPr="005A55CA">
        <w:rPr>
          <w:sz w:val="22"/>
          <w:szCs w:val="22"/>
        </w:rPr>
        <w:t xml:space="preserve">, mis on piisavalt täpne nii pakkumise tingimuste kui ka pakutava instrumendi osas, et võimaldab </w:t>
      </w:r>
      <w:r w:rsidR="00AF5A03">
        <w:rPr>
          <w:sz w:val="22"/>
          <w:szCs w:val="22"/>
        </w:rPr>
        <w:t>kliendil</w:t>
      </w:r>
      <w:r w:rsidR="006B4069" w:rsidRPr="005A55CA">
        <w:rPr>
          <w:sz w:val="22"/>
          <w:szCs w:val="22"/>
        </w:rPr>
        <w:t xml:space="preserve"> </w:t>
      </w:r>
      <w:r w:rsidR="00CC6E32" w:rsidRPr="005A55CA">
        <w:rPr>
          <w:sz w:val="22"/>
          <w:szCs w:val="22"/>
        </w:rPr>
        <w:t xml:space="preserve">otsustada </w:t>
      </w:r>
      <w:r w:rsidR="00AF5A03">
        <w:rPr>
          <w:sz w:val="22"/>
          <w:szCs w:val="22"/>
        </w:rPr>
        <w:t xml:space="preserve">selle </w:t>
      </w:r>
      <w:r w:rsidR="00CC6E32" w:rsidRPr="005A55CA">
        <w:rPr>
          <w:sz w:val="22"/>
          <w:szCs w:val="22"/>
        </w:rPr>
        <w:t>instrumend</w:t>
      </w:r>
      <w:r w:rsidR="00CB3ABD" w:rsidRPr="005A55CA">
        <w:rPr>
          <w:sz w:val="22"/>
          <w:szCs w:val="22"/>
        </w:rPr>
        <w:t>i</w:t>
      </w:r>
      <w:r w:rsidR="00CC6E32" w:rsidRPr="005A55CA">
        <w:rPr>
          <w:sz w:val="22"/>
          <w:szCs w:val="22"/>
        </w:rPr>
        <w:t xml:space="preserve"> o</w:t>
      </w:r>
      <w:r w:rsidR="006B4069" w:rsidRPr="005A55CA">
        <w:rPr>
          <w:sz w:val="22"/>
          <w:szCs w:val="22"/>
        </w:rPr>
        <w:t xml:space="preserve">mandamise </w:t>
      </w:r>
      <w:r w:rsidR="00CC6E32" w:rsidRPr="005A55CA">
        <w:rPr>
          <w:sz w:val="22"/>
          <w:szCs w:val="22"/>
        </w:rPr>
        <w:t xml:space="preserve">üle. Teisisõnu tuleb käsitleda </w:t>
      </w:r>
      <w:proofErr w:type="spellStart"/>
      <w:r w:rsidR="00AF5A03">
        <w:rPr>
          <w:sz w:val="22"/>
          <w:szCs w:val="22"/>
        </w:rPr>
        <w:t>ühisrahastusprojekti</w:t>
      </w:r>
      <w:proofErr w:type="spellEnd"/>
      <w:r w:rsidR="00CC6E32" w:rsidRPr="005A55CA">
        <w:rPr>
          <w:sz w:val="22"/>
          <w:szCs w:val="22"/>
        </w:rPr>
        <w:t xml:space="preserve"> pakkumisena iga teadet, milles on viidatud võimalusele </w:t>
      </w:r>
      <w:proofErr w:type="spellStart"/>
      <w:r w:rsidR="00AF5A03">
        <w:rPr>
          <w:sz w:val="22"/>
          <w:szCs w:val="22"/>
        </w:rPr>
        <w:t>ühisrahastusprojekti</w:t>
      </w:r>
      <w:proofErr w:type="spellEnd"/>
      <w:r w:rsidR="00AF5A03">
        <w:rPr>
          <w:sz w:val="22"/>
          <w:szCs w:val="22"/>
        </w:rPr>
        <w:t xml:space="preserve"> investeerida</w:t>
      </w:r>
      <w:r w:rsidR="00CC6E32" w:rsidRPr="005A55CA">
        <w:rPr>
          <w:sz w:val="22"/>
          <w:szCs w:val="22"/>
        </w:rPr>
        <w:t xml:space="preserve"> ning milles on antud  kliendile võimalus teha omapoolne sooritus tehingu tegemiseks. Selliste võimaluste hulka kuulub näiteks </w:t>
      </w:r>
      <w:proofErr w:type="spellStart"/>
      <w:r w:rsidR="00AF5A03">
        <w:rPr>
          <w:sz w:val="22"/>
          <w:szCs w:val="22"/>
        </w:rPr>
        <w:t>ühisrahastusteenuse</w:t>
      </w:r>
      <w:proofErr w:type="spellEnd"/>
      <w:r w:rsidR="00CC6E32" w:rsidRPr="005A55CA">
        <w:rPr>
          <w:sz w:val="22"/>
          <w:szCs w:val="22"/>
        </w:rPr>
        <w:t xml:space="preserve"> osutaja</w:t>
      </w:r>
      <w:r w:rsidR="00527EFB">
        <w:rPr>
          <w:sz w:val="22"/>
          <w:szCs w:val="22"/>
        </w:rPr>
        <w:t xml:space="preserve"> </w:t>
      </w:r>
      <w:r w:rsidR="00B66A34">
        <w:rPr>
          <w:sz w:val="22"/>
          <w:szCs w:val="22"/>
        </w:rPr>
        <w:t xml:space="preserve">või rahastuse taotleja </w:t>
      </w:r>
      <w:r w:rsidR="00CC6E32" w:rsidRPr="005A55CA">
        <w:rPr>
          <w:sz w:val="22"/>
          <w:szCs w:val="22"/>
        </w:rPr>
        <w:t xml:space="preserve">maksekonto, </w:t>
      </w:r>
      <w:proofErr w:type="spellStart"/>
      <w:r w:rsidR="00AF5A03">
        <w:rPr>
          <w:sz w:val="22"/>
          <w:szCs w:val="22"/>
        </w:rPr>
        <w:t>krüptovara</w:t>
      </w:r>
      <w:proofErr w:type="spellEnd"/>
      <w:r w:rsidR="00CC6E32" w:rsidRPr="005A55CA">
        <w:rPr>
          <w:sz w:val="22"/>
          <w:szCs w:val="22"/>
        </w:rPr>
        <w:t xml:space="preserve"> rahakoti või muu sarnase väärtuse ülekandmiseks võimaldatud konto andmete edastamine kliendile koos lubadusega teha tulevikus omapoolne vastusooritus </w:t>
      </w:r>
      <w:proofErr w:type="spellStart"/>
      <w:r w:rsidR="00AF5A03">
        <w:rPr>
          <w:sz w:val="22"/>
          <w:szCs w:val="22"/>
        </w:rPr>
        <w:t>ühisrahastusprojekti</w:t>
      </w:r>
      <w:proofErr w:type="spellEnd"/>
      <w:r w:rsidR="00832BED">
        <w:rPr>
          <w:sz w:val="22"/>
          <w:szCs w:val="22"/>
        </w:rPr>
        <w:t xml:space="preserve"> raames pakutava instrumendi</w:t>
      </w:r>
      <w:r w:rsidR="00CC6E32" w:rsidRPr="005A55CA">
        <w:rPr>
          <w:sz w:val="22"/>
          <w:szCs w:val="22"/>
        </w:rPr>
        <w:t xml:space="preserve"> üleandmise näol. </w:t>
      </w:r>
      <w:r w:rsidR="002E440E" w:rsidRPr="005A55CA">
        <w:rPr>
          <w:sz w:val="22"/>
          <w:szCs w:val="22"/>
        </w:rPr>
        <w:t xml:space="preserve">Seevastu ei käsitleta </w:t>
      </w:r>
      <w:proofErr w:type="spellStart"/>
      <w:r w:rsidR="00AF5A03">
        <w:rPr>
          <w:sz w:val="22"/>
          <w:szCs w:val="22"/>
        </w:rPr>
        <w:t>ühisrahastusprojekti</w:t>
      </w:r>
      <w:proofErr w:type="spellEnd"/>
      <w:r w:rsidR="002E440E" w:rsidRPr="005A55CA">
        <w:rPr>
          <w:sz w:val="22"/>
          <w:szCs w:val="22"/>
        </w:rPr>
        <w:t xml:space="preserve"> pakkumisena sellist teabe avaldamist, mille puhul ei anta </w:t>
      </w:r>
      <w:r w:rsidR="00BD5E7F">
        <w:rPr>
          <w:sz w:val="22"/>
          <w:szCs w:val="22"/>
        </w:rPr>
        <w:t>kliendile</w:t>
      </w:r>
      <w:r w:rsidR="002E440E" w:rsidRPr="005A55CA">
        <w:rPr>
          <w:sz w:val="22"/>
          <w:szCs w:val="22"/>
        </w:rPr>
        <w:t xml:space="preserve"> võimalust </w:t>
      </w:r>
      <w:proofErr w:type="spellStart"/>
      <w:r w:rsidR="00AF5A03">
        <w:rPr>
          <w:sz w:val="22"/>
          <w:szCs w:val="22"/>
        </w:rPr>
        <w:t>ühisrahastusprojekt</w:t>
      </w:r>
      <w:r w:rsidR="00832BED">
        <w:rPr>
          <w:sz w:val="22"/>
          <w:szCs w:val="22"/>
        </w:rPr>
        <w:t>i</w:t>
      </w:r>
      <w:proofErr w:type="spellEnd"/>
      <w:r w:rsidR="00832BED">
        <w:rPr>
          <w:sz w:val="22"/>
          <w:szCs w:val="22"/>
        </w:rPr>
        <w:t xml:space="preserve"> raames pakutavat instrumenti</w:t>
      </w:r>
      <w:r w:rsidR="002E440E" w:rsidRPr="005A55CA">
        <w:rPr>
          <w:sz w:val="22"/>
          <w:szCs w:val="22"/>
        </w:rPr>
        <w:t xml:space="preserve"> omandada (vt sama paragrahvi lõike </w:t>
      </w:r>
      <w:r w:rsidR="008A5BD8">
        <w:rPr>
          <w:sz w:val="22"/>
          <w:szCs w:val="22"/>
        </w:rPr>
        <w:t>3</w:t>
      </w:r>
      <w:r w:rsidR="002E440E" w:rsidRPr="005A55CA">
        <w:rPr>
          <w:sz w:val="22"/>
          <w:szCs w:val="22"/>
        </w:rPr>
        <w:t xml:space="preserve"> selgitused). </w:t>
      </w:r>
      <w:r w:rsidR="006B4069" w:rsidRPr="005A55CA">
        <w:rPr>
          <w:sz w:val="22"/>
          <w:szCs w:val="22"/>
        </w:rPr>
        <w:t>Käesolevas lõikes märgitud avalikkuse definitsioon on avatud seaduse § 5 lõikes 1.</w:t>
      </w:r>
      <w:r w:rsidR="0094026B" w:rsidRPr="005A55CA">
        <w:rPr>
          <w:sz w:val="22"/>
          <w:szCs w:val="22"/>
        </w:rPr>
        <w:t xml:space="preserve"> </w:t>
      </w:r>
    </w:p>
    <w:p w14:paraId="13747103" w14:textId="77777777" w:rsidR="008A5BD8" w:rsidRDefault="008A5BD8" w:rsidP="00670CE5">
      <w:pPr>
        <w:spacing w:before="0"/>
        <w:rPr>
          <w:sz w:val="22"/>
          <w:szCs w:val="22"/>
        </w:rPr>
      </w:pPr>
    </w:p>
    <w:p w14:paraId="72922314" w14:textId="06099D30" w:rsidR="0094026B" w:rsidRPr="005A55CA" w:rsidRDefault="008A5BD8" w:rsidP="00670CE5">
      <w:pPr>
        <w:spacing w:before="0"/>
        <w:rPr>
          <w:sz w:val="22"/>
          <w:szCs w:val="22"/>
        </w:rPr>
      </w:pPr>
      <w:r>
        <w:rPr>
          <w:b/>
          <w:sz w:val="22"/>
          <w:szCs w:val="22"/>
        </w:rPr>
        <w:t>L</w:t>
      </w:r>
      <w:r w:rsidR="0094026B" w:rsidRPr="005A55CA">
        <w:rPr>
          <w:b/>
          <w:sz w:val="22"/>
          <w:szCs w:val="22"/>
        </w:rPr>
        <w:t xml:space="preserve">õikes 3 </w:t>
      </w:r>
      <w:r w:rsidRPr="008A5BD8">
        <w:rPr>
          <w:sz w:val="22"/>
          <w:szCs w:val="22"/>
        </w:rPr>
        <w:t xml:space="preserve">on </w:t>
      </w:r>
      <w:r w:rsidR="004718DA" w:rsidRPr="005A55CA">
        <w:rPr>
          <w:sz w:val="22"/>
          <w:szCs w:val="22"/>
        </w:rPr>
        <w:t>s</w:t>
      </w:r>
      <w:r w:rsidR="004718DA">
        <w:rPr>
          <w:sz w:val="22"/>
          <w:szCs w:val="22"/>
        </w:rPr>
        <w:t xml:space="preserve">ätestatud </w:t>
      </w:r>
      <w:r w:rsidR="0094026B" w:rsidRPr="005A55CA">
        <w:rPr>
          <w:sz w:val="22"/>
          <w:szCs w:val="22"/>
        </w:rPr>
        <w:t xml:space="preserve">erand, mille kohaselt tegemist ei ole </w:t>
      </w:r>
      <w:proofErr w:type="spellStart"/>
      <w:r w:rsidR="00832BED">
        <w:rPr>
          <w:sz w:val="22"/>
          <w:szCs w:val="22"/>
        </w:rPr>
        <w:t>ühisrahastusprojekti</w:t>
      </w:r>
      <w:proofErr w:type="spellEnd"/>
      <w:r w:rsidR="0094026B" w:rsidRPr="005A55CA">
        <w:rPr>
          <w:sz w:val="22"/>
          <w:szCs w:val="22"/>
        </w:rPr>
        <w:t xml:space="preserve"> pakkumisega tegemist juhul</w:t>
      </w:r>
      <w:r w:rsidR="00BD4A43" w:rsidRPr="005A55CA">
        <w:rPr>
          <w:sz w:val="22"/>
          <w:szCs w:val="22"/>
        </w:rPr>
        <w:t>,</w:t>
      </w:r>
      <w:r w:rsidR="0094026B" w:rsidRPr="005A55CA">
        <w:rPr>
          <w:sz w:val="22"/>
          <w:szCs w:val="22"/>
        </w:rPr>
        <w:t xml:space="preserve"> </w:t>
      </w:r>
      <w:r w:rsidR="00BD4A43" w:rsidRPr="005A55CA">
        <w:rPr>
          <w:sz w:val="22"/>
          <w:szCs w:val="22"/>
        </w:rPr>
        <w:t>k</w:t>
      </w:r>
      <w:r w:rsidR="0094026B" w:rsidRPr="005A55CA">
        <w:rPr>
          <w:sz w:val="22"/>
          <w:szCs w:val="22"/>
        </w:rPr>
        <w:t xml:space="preserve">ui teabe avaldamisega ei kaasne võimalust </w:t>
      </w:r>
      <w:proofErr w:type="spellStart"/>
      <w:r w:rsidR="0058055E">
        <w:rPr>
          <w:sz w:val="22"/>
          <w:szCs w:val="22"/>
        </w:rPr>
        <w:t>ühisrahastusprojekti</w:t>
      </w:r>
      <w:proofErr w:type="spellEnd"/>
      <w:r w:rsidR="0058055E">
        <w:rPr>
          <w:sz w:val="22"/>
          <w:szCs w:val="22"/>
        </w:rPr>
        <w:t xml:space="preserve"> raames pakutavat </w:t>
      </w:r>
      <w:r w:rsidR="0094026B" w:rsidRPr="005A55CA">
        <w:rPr>
          <w:sz w:val="22"/>
          <w:szCs w:val="22"/>
        </w:rPr>
        <w:t>instrument</w:t>
      </w:r>
      <w:r w:rsidR="0058055E">
        <w:rPr>
          <w:sz w:val="22"/>
          <w:szCs w:val="22"/>
        </w:rPr>
        <w:t>i</w:t>
      </w:r>
      <w:r w:rsidR="0094026B" w:rsidRPr="005A55CA">
        <w:rPr>
          <w:sz w:val="22"/>
          <w:szCs w:val="22"/>
        </w:rPr>
        <w:t xml:space="preserve"> omandada. Praktikas kuuluvad selliste teabe avaldamiste alla näiteks uudislood, viitamine veebilehele, kus pakkumist läbi viiakse ja muud kolmandate isikute poolt tehtud pakkumise tutvustamised või reklaamid, kus </w:t>
      </w:r>
      <w:r w:rsidR="00BD5E7F">
        <w:rPr>
          <w:sz w:val="22"/>
          <w:szCs w:val="22"/>
        </w:rPr>
        <w:t>kliendil</w:t>
      </w:r>
      <w:r w:rsidR="0094026B" w:rsidRPr="005A55CA">
        <w:rPr>
          <w:sz w:val="22"/>
          <w:szCs w:val="22"/>
        </w:rPr>
        <w:t xml:space="preserve"> ei ole võimalik teha omapoolset sooritust </w:t>
      </w:r>
      <w:proofErr w:type="spellStart"/>
      <w:r w:rsidR="0058055E">
        <w:rPr>
          <w:sz w:val="22"/>
          <w:szCs w:val="22"/>
        </w:rPr>
        <w:t>ühisrahastusprojekti</w:t>
      </w:r>
      <w:proofErr w:type="spellEnd"/>
      <w:r w:rsidR="0058055E">
        <w:rPr>
          <w:sz w:val="22"/>
          <w:szCs w:val="22"/>
        </w:rPr>
        <w:t xml:space="preserve"> investeerimiseks</w:t>
      </w:r>
      <w:r w:rsidR="0094026B" w:rsidRPr="005A55CA">
        <w:rPr>
          <w:sz w:val="22"/>
          <w:szCs w:val="22"/>
        </w:rPr>
        <w:t>.</w:t>
      </w:r>
    </w:p>
    <w:p w14:paraId="2EEF5D31" w14:textId="20691368" w:rsidR="00AE569F" w:rsidRPr="004E1842" w:rsidRDefault="00AE569F" w:rsidP="00670CE5">
      <w:pPr>
        <w:spacing w:before="0"/>
        <w:rPr>
          <w:sz w:val="22"/>
          <w:szCs w:val="22"/>
        </w:rPr>
      </w:pPr>
    </w:p>
    <w:p w14:paraId="22188A71" w14:textId="39DFDC28" w:rsidR="00AE569F" w:rsidRPr="004E1842" w:rsidRDefault="00AE569F" w:rsidP="00670CE5">
      <w:pPr>
        <w:spacing w:before="0"/>
        <w:rPr>
          <w:sz w:val="22"/>
          <w:szCs w:val="22"/>
        </w:rPr>
      </w:pPr>
      <w:r w:rsidRPr="004E1842">
        <w:rPr>
          <w:b/>
          <w:sz w:val="22"/>
          <w:szCs w:val="22"/>
        </w:rPr>
        <w:t xml:space="preserve">Lõige </w:t>
      </w:r>
      <w:r w:rsidR="00033256">
        <w:rPr>
          <w:b/>
          <w:sz w:val="22"/>
          <w:szCs w:val="22"/>
        </w:rPr>
        <w:t>4</w:t>
      </w:r>
      <w:r w:rsidRPr="004E1842">
        <w:rPr>
          <w:b/>
          <w:sz w:val="22"/>
          <w:szCs w:val="22"/>
        </w:rPr>
        <w:t xml:space="preserve"> </w:t>
      </w:r>
      <w:r w:rsidRPr="004E1842">
        <w:rPr>
          <w:sz w:val="22"/>
          <w:szCs w:val="22"/>
        </w:rPr>
        <w:t xml:space="preserve">sätestab </w:t>
      </w:r>
      <w:proofErr w:type="spellStart"/>
      <w:r w:rsidRPr="004E1842">
        <w:rPr>
          <w:sz w:val="22"/>
          <w:szCs w:val="22"/>
        </w:rPr>
        <w:t>ühisrahastusteenuse</w:t>
      </w:r>
      <w:proofErr w:type="spellEnd"/>
      <w:r w:rsidRPr="004E1842">
        <w:rPr>
          <w:sz w:val="22"/>
          <w:szCs w:val="22"/>
        </w:rPr>
        <w:t xml:space="preserve"> mõiste, mi</w:t>
      </w:r>
      <w:r w:rsidR="0058055E">
        <w:rPr>
          <w:sz w:val="22"/>
          <w:szCs w:val="22"/>
        </w:rPr>
        <w:t xml:space="preserve">lle järgi </w:t>
      </w:r>
      <w:proofErr w:type="spellStart"/>
      <w:r w:rsidR="0058055E">
        <w:rPr>
          <w:sz w:val="22"/>
          <w:szCs w:val="22"/>
        </w:rPr>
        <w:t>ühisrahastusteenu</w:t>
      </w:r>
      <w:r w:rsidRPr="004E1842">
        <w:rPr>
          <w:sz w:val="22"/>
          <w:szCs w:val="22"/>
        </w:rPr>
        <w:t>s</w:t>
      </w:r>
      <w:proofErr w:type="spellEnd"/>
      <w:r w:rsidRPr="004E1842">
        <w:rPr>
          <w:sz w:val="22"/>
          <w:szCs w:val="22"/>
        </w:rPr>
        <w:t xml:space="preserve"> on </w:t>
      </w:r>
      <w:r w:rsidR="0058055E">
        <w:rPr>
          <w:sz w:val="22"/>
          <w:szCs w:val="22"/>
        </w:rPr>
        <w:t xml:space="preserve">sama paragrahvi lõike 1 punktides 1, 2 või 3 nimetatud </w:t>
      </w:r>
      <w:proofErr w:type="spellStart"/>
      <w:r w:rsidR="0058055E">
        <w:rPr>
          <w:sz w:val="22"/>
          <w:szCs w:val="22"/>
        </w:rPr>
        <w:t>ühisrahastusprojektide</w:t>
      </w:r>
      <w:proofErr w:type="spellEnd"/>
      <w:r w:rsidR="0058055E">
        <w:rPr>
          <w:sz w:val="22"/>
          <w:szCs w:val="22"/>
        </w:rPr>
        <w:t xml:space="preserve"> ostu- ja müügihuvide sobitamine finantsvahendusplatvormi kaudu. </w:t>
      </w:r>
    </w:p>
    <w:p w14:paraId="15FA7B79" w14:textId="77777777" w:rsidR="00AE569F" w:rsidRPr="004E1842" w:rsidRDefault="00AE569F" w:rsidP="00670CE5">
      <w:pPr>
        <w:spacing w:before="0"/>
        <w:rPr>
          <w:sz w:val="22"/>
          <w:szCs w:val="22"/>
          <w:highlight w:val="yellow"/>
        </w:rPr>
      </w:pPr>
    </w:p>
    <w:p w14:paraId="7A1A41A3" w14:textId="7E191CCE" w:rsidR="00AE569F" w:rsidRDefault="000E6389" w:rsidP="00670CE5">
      <w:pPr>
        <w:spacing w:before="0"/>
        <w:rPr>
          <w:sz w:val="22"/>
          <w:szCs w:val="22"/>
        </w:rPr>
      </w:pPr>
      <w:r>
        <w:rPr>
          <w:b/>
          <w:bCs/>
          <w:sz w:val="22"/>
          <w:szCs w:val="22"/>
        </w:rPr>
        <w:t xml:space="preserve">Lõike 5 </w:t>
      </w:r>
      <w:r>
        <w:rPr>
          <w:sz w:val="22"/>
          <w:szCs w:val="22"/>
        </w:rPr>
        <w:t>järgi on k</w:t>
      </w:r>
      <w:r w:rsidR="00AE569F" w:rsidRPr="004E1842">
        <w:rPr>
          <w:sz w:val="22"/>
          <w:szCs w:val="22"/>
        </w:rPr>
        <w:t xml:space="preserve">rediidipõhine </w:t>
      </w:r>
      <w:proofErr w:type="spellStart"/>
      <w:r w:rsidR="00AE569F" w:rsidRPr="004E1842">
        <w:rPr>
          <w:sz w:val="22"/>
          <w:szCs w:val="22"/>
        </w:rPr>
        <w:t>ühisrahastus</w:t>
      </w:r>
      <w:r>
        <w:rPr>
          <w:sz w:val="22"/>
          <w:szCs w:val="22"/>
        </w:rPr>
        <w:t>teenus</w:t>
      </w:r>
      <w:proofErr w:type="spellEnd"/>
      <w:r w:rsidR="00AE569F" w:rsidRPr="004E1842">
        <w:rPr>
          <w:sz w:val="22"/>
          <w:szCs w:val="22"/>
        </w:rPr>
        <w:t xml:space="preserve"> </w:t>
      </w:r>
      <w:r>
        <w:rPr>
          <w:sz w:val="22"/>
          <w:szCs w:val="22"/>
        </w:rPr>
        <w:t>kliendile</w:t>
      </w:r>
      <w:r w:rsidR="00AE569F" w:rsidRPr="004E1842">
        <w:rPr>
          <w:sz w:val="22"/>
          <w:szCs w:val="22"/>
        </w:rPr>
        <w:t xml:space="preserve"> </w:t>
      </w:r>
      <w:r w:rsidR="009E5616" w:rsidRPr="004E1842">
        <w:rPr>
          <w:sz w:val="22"/>
          <w:szCs w:val="22"/>
        </w:rPr>
        <w:t xml:space="preserve">antud võimalust omandada </w:t>
      </w:r>
      <w:r>
        <w:rPr>
          <w:sz w:val="22"/>
          <w:szCs w:val="22"/>
        </w:rPr>
        <w:t>sama paragrahvi lõike 1 punktis 1 ja 3 nimetatud instrument, millega teenuseosutaja või rahastuse taotleja võtab tingimusteta kohustuse maksta investeeritud summa koos kogunenud intressi- või muu finantstuluga tagasi.</w:t>
      </w:r>
      <w:r w:rsidR="00AE569F" w:rsidRPr="004E1842">
        <w:rPr>
          <w:sz w:val="22"/>
          <w:szCs w:val="22"/>
        </w:rPr>
        <w:t xml:space="preserve"> </w:t>
      </w:r>
      <w:r w:rsidR="00F01F05" w:rsidRPr="004E1842">
        <w:rPr>
          <w:sz w:val="22"/>
          <w:szCs w:val="22"/>
        </w:rPr>
        <w:t xml:space="preserve">Nimetatud määratlus eeldab ka seda, et ettevõtjad, kes on saanud </w:t>
      </w:r>
      <w:r w:rsidR="00447C9D" w:rsidRPr="004E1842">
        <w:rPr>
          <w:sz w:val="22"/>
          <w:szCs w:val="22"/>
        </w:rPr>
        <w:t xml:space="preserve">varasemalt </w:t>
      </w:r>
      <w:r w:rsidR="00AE569F" w:rsidRPr="004E1842">
        <w:rPr>
          <w:sz w:val="22"/>
          <w:szCs w:val="22"/>
        </w:rPr>
        <w:t xml:space="preserve">KAVS § 2 lg 2 </w:t>
      </w:r>
      <w:r w:rsidR="00447C9D" w:rsidRPr="004E1842">
        <w:rPr>
          <w:sz w:val="22"/>
          <w:szCs w:val="22"/>
        </w:rPr>
        <w:t xml:space="preserve">alusel krediidivahendaja </w:t>
      </w:r>
      <w:r w:rsidR="00AE569F" w:rsidRPr="004E1842">
        <w:rPr>
          <w:sz w:val="22"/>
          <w:szCs w:val="22"/>
        </w:rPr>
        <w:t>tegevusloa</w:t>
      </w:r>
      <w:r w:rsidR="00F01F05" w:rsidRPr="004E1842">
        <w:rPr>
          <w:sz w:val="22"/>
          <w:szCs w:val="22"/>
        </w:rPr>
        <w:t>, pea</w:t>
      </w:r>
      <w:r w:rsidR="00447C9D" w:rsidRPr="004E1842">
        <w:rPr>
          <w:sz w:val="22"/>
          <w:szCs w:val="22"/>
        </w:rPr>
        <w:t>vad</w:t>
      </w:r>
      <w:r w:rsidR="00F01F05" w:rsidRPr="004E1842">
        <w:rPr>
          <w:sz w:val="22"/>
          <w:szCs w:val="22"/>
        </w:rPr>
        <w:t xml:space="preserve"> eelnõu kohaselt </w:t>
      </w:r>
      <w:r w:rsidR="00447C9D" w:rsidRPr="004E1842">
        <w:rPr>
          <w:sz w:val="22"/>
          <w:szCs w:val="22"/>
        </w:rPr>
        <w:t xml:space="preserve">edaspidi hakkama järgima käesoleva seaduse nõudeid lisaks teatud </w:t>
      </w:r>
      <w:proofErr w:type="spellStart"/>
      <w:r w:rsidR="00447C9D" w:rsidRPr="004E1842">
        <w:rPr>
          <w:sz w:val="22"/>
          <w:szCs w:val="22"/>
        </w:rPr>
        <w:t>KAVS</w:t>
      </w:r>
      <w:r w:rsidR="00670CE5">
        <w:rPr>
          <w:sz w:val="22"/>
          <w:szCs w:val="22"/>
        </w:rPr>
        <w:t>-</w:t>
      </w:r>
      <w:r w:rsidR="00447C9D" w:rsidRPr="004E1842">
        <w:rPr>
          <w:sz w:val="22"/>
          <w:szCs w:val="22"/>
        </w:rPr>
        <w:t>i</w:t>
      </w:r>
      <w:proofErr w:type="spellEnd"/>
      <w:r w:rsidR="00447C9D" w:rsidRPr="004E1842">
        <w:rPr>
          <w:sz w:val="22"/>
          <w:szCs w:val="22"/>
        </w:rPr>
        <w:t xml:space="preserve"> sätetele</w:t>
      </w:r>
      <w:r w:rsidR="004718DA">
        <w:rPr>
          <w:sz w:val="22"/>
          <w:szCs w:val="22"/>
        </w:rPr>
        <w:t xml:space="preserve"> (</w:t>
      </w:r>
      <w:r w:rsidR="004718DA" w:rsidRPr="004718DA">
        <w:rPr>
          <w:sz w:val="22"/>
          <w:szCs w:val="22"/>
        </w:rPr>
        <w:t>§</w:t>
      </w:r>
      <w:r w:rsidR="004718DA">
        <w:rPr>
          <w:sz w:val="22"/>
          <w:szCs w:val="22"/>
        </w:rPr>
        <w:t>§</w:t>
      </w:r>
      <w:r w:rsidR="004718DA" w:rsidRPr="004718DA">
        <w:rPr>
          <w:sz w:val="22"/>
          <w:szCs w:val="22"/>
        </w:rPr>
        <w:t> 47–53</w:t>
      </w:r>
      <w:r w:rsidR="004718DA" w:rsidRPr="004718DA">
        <w:rPr>
          <w:sz w:val="22"/>
          <w:szCs w:val="22"/>
          <w:vertAlign w:val="superscript"/>
        </w:rPr>
        <w:t>1</w:t>
      </w:r>
      <w:r w:rsidR="004718DA">
        <w:rPr>
          <w:sz w:val="22"/>
          <w:szCs w:val="22"/>
        </w:rPr>
        <w:t>; vt eelnõu § 2 lõiget 10)</w:t>
      </w:r>
      <w:r w:rsidR="00447C9D" w:rsidRPr="004E1842">
        <w:rPr>
          <w:sz w:val="22"/>
          <w:szCs w:val="22"/>
        </w:rPr>
        <w:t>.</w:t>
      </w:r>
      <w:r>
        <w:rPr>
          <w:sz w:val="22"/>
          <w:szCs w:val="22"/>
        </w:rPr>
        <w:t xml:space="preserve"> Sõnastus põhineb </w:t>
      </w:r>
      <w:r w:rsidR="00F409EE">
        <w:rPr>
          <w:sz w:val="22"/>
          <w:szCs w:val="22"/>
        </w:rPr>
        <w:t xml:space="preserve">EL </w:t>
      </w:r>
      <w:proofErr w:type="spellStart"/>
      <w:r w:rsidR="00F409EE">
        <w:rPr>
          <w:sz w:val="22"/>
          <w:szCs w:val="22"/>
        </w:rPr>
        <w:t>ühisrahastusmääruse</w:t>
      </w:r>
      <w:proofErr w:type="spellEnd"/>
      <w:r w:rsidR="00F409EE">
        <w:rPr>
          <w:sz w:val="22"/>
          <w:szCs w:val="22"/>
        </w:rPr>
        <w:t xml:space="preserve"> artikli 2(1) punkti a(ii) ning punktil b</w:t>
      </w:r>
      <w:r w:rsidR="00E137DF">
        <w:rPr>
          <w:rStyle w:val="FootnoteReference"/>
          <w:sz w:val="22"/>
          <w:szCs w:val="22"/>
        </w:rPr>
        <w:footnoteReference w:id="48"/>
      </w:r>
      <w:r w:rsidR="00F409EE">
        <w:rPr>
          <w:sz w:val="22"/>
          <w:szCs w:val="22"/>
        </w:rPr>
        <w:t xml:space="preserve">. Krediidipõhise </w:t>
      </w:r>
      <w:proofErr w:type="spellStart"/>
      <w:r w:rsidR="00F409EE">
        <w:rPr>
          <w:sz w:val="22"/>
          <w:szCs w:val="22"/>
        </w:rPr>
        <w:t>ühisrahastusteenuse</w:t>
      </w:r>
      <w:proofErr w:type="spellEnd"/>
      <w:r w:rsidR="00F409EE">
        <w:rPr>
          <w:sz w:val="22"/>
          <w:szCs w:val="22"/>
        </w:rPr>
        <w:t xml:space="preserve"> mõiste eristamise vajadus tuleneb krediidipõhise </w:t>
      </w:r>
      <w:proofErr w:type="spellStart"/>
      <w:r w:rsidR="00F409EE">
        <w:rPr>
          <w:sz w:val="22"/>
          <w:szCs w:val="22"/>
        </w:rPr>
        <w:t>ühisrahastusele</w:t>
      </w:r>
      <w:proofErr w:type="spellEnd"/>
      <w:r w:rsidR="00F409EE">
        <w:rPr>
          <w:sz w:val="22"/>
          <w:szCs w:val="22"/>
        </w:rPr>
        <w:t xml:space="preserve"> kohaldatavatest erinõuetest (vt §-d 61, 64</w:t>
      </w:r>
      <w:r w:rsidR="003A3A70">
        <w:rPr>
          <w:sz w:val="22"/>
          <w:szCs w:val="22"/>
        </w:rPr>
        <w:t>, 73 g 3</w:t>
      </w:r>
      <w:r w:rsidR="00F409EE">
        <w:rPr>
          <w:sz w:val="22"/>
          <w:szCs w:val="22"/>
        </w:rPr>
        <w:t>).</w:t>
      </w:r>
    </w:p>
    <w:p w14:paraId="7FCF194E" w14:textId="77777777" w:rsidR="00670CE5" w:rsidRPr="005A55CA" w:rsidRDefault="00670CE5" w:rsidP="00670CE5">
      <w:pPr>
        <w:spacing w:before="0"/>
        <w:rPr>
          <w:sz w:val="22"/>
          <w:szCs w:val="22"/>
        </w:rPr>
      </w:pPr>
    </w:p>
    <w:p w14:paraId="419CFA41" w14:textId="293800A4" w:rsidR="001C7CF0" w:rsidRDefault="009E5616" w:rsidP="00670CE5">
      <w:pPr>
        <w:spacing w:before="0"/>
        <w:rPr>
          <w:sz w:val="22"/>
          <w:szCs w:val="22"/>
        </w:rPr>
      </w:pPr>
      <w:r w:rsidRPr="005A55CA">
        <w:rPr>
          <w:b/>
          <w:sz w:val="22"/>
          <w:szCs w:val="22"/>
        </w:rPr>
        <w:t>Lõi</w:t>
      </w:r>
      <w:r w:rsidR="00385CCC">
        <w:rPr>
          <w:b/>
          <w:sz w:val="22"/>
          <w:szCs w:val="22"/>
        </w:rPr>
        <w:t>g</w:t>
      </w:r>
      <w:r w:rsidRPr="005A55CA">
        <w:rPr>
          <w:b/>
          <w:sz w:val="22"/>
          <w:szCs w:val="22"/>
        </w:rPr>
        <w:t xml:space="preserve">e </w:t>
      </w:r>
      <w:r w:rsidR="003A3A70">
        <w:rPr>
          <w:b/>
          <w:sz w:val="22"/>
          <w:szCs w:val="22"/>
        </w:rPr>
        <w:t>6</w:t>
      </w:r>
      <w:r w:rsidRPr="005A55CA">
        <w:rPr>
          <w:b/>
          <w:sz w:val="22"/>
          <w:szCs w:val="22"/>
        </w:rPr>
        <w:t xml:space="preserve"> </w:t>
      </w:r>
      <w:r w:rsidR="00355D23" w:rsidRPr="006626EA">
        <w:rPr>
          <w:sz w:val="22"/>
          <w:szCs w:val="22"/>
        </w:rPr>
        <w:t xml:space="preserve">sätestab </w:t>
      </w:r>
      <w:proofErr w:type="spellStart"/>
      <w:r w:rsidR="003A3A70">
        <w:rPr>
          <w:sz w:val="22"/>
          <w:szCs w:val="22"/>
        </w:rPr>
        <w:t>ühisrahastusteenuse</w:t>
      </w:r>
      <w:proofErr w:type="spellEnd"/>
      <w:r w:rsidR="003A3A70">
        <w:rPr>
          <w:sz w:val="22"/>
          <w:szCs w:val="22"/>
        </w:rPr>
        <w:t xml:space="preserve"> osutaja mõiste. </w:t>
      </w:r>
      <w:r w:rsidR="00355D23" w:rsidRPr="006626EA">
        <w:rPr>
          <w:b/>
          <w:sz w:val="22"/>
          <w:szCs w:val="22"/>
        </w:rPr>
        <w:t xml:space="preserve"> </w:t>
      </w:r>
      <w:proofErr w:type="spellStart"/>
      <w:r w:rsidR="003A3A70">
        <w:rPr>
          <w:bCs/>
          <w:sz w:val="22"/>
          <w:szCs w:val="22"/>
        </w:rPr>
        <w:t>Ühisrahastusteenuse</w:t>
      </w:r>
      <w:proofErr w:type="spellEnd"/>
      <w:r w:rsidR="003A3A70">
        <w:rPr>
          <w:bCs/>
          <w:sz w:val="22"/>
          <w:szCs w:val="22"/>
        </w:rPr>
        <w:t xml:space="preserve"> </w:t>
      </w:r>
      <w:r w:rsidR="003A3A70">
        <w:rPr>
          <w:sz w:val="22"/>
          <w:szCs w:val="22"/>
        </w:rPr>
        <w:t>osutaja</w:t>
      </w:r>
      <w:r w:rsidR="001C7CF0" w:rsidRPr="006626EA">
        <w:rPr>
          <w:sz w:val="22"/>
          <w:szCs w:val="22"/>
        </w:rPr>
        <w:t xml:space="preserve"> näol </w:t>
      </w:r>
      <w:r w:rsidR="003D29C8" w:rsidRPr="006626EA">
        <w:rPr>
          <w:sz w:val="22"/>
          <w:szCs w:val="22"/>
        </w:rPr>
        <w:t xml:space="preserve">on </w:t>
      </w:r>
      <w:r w:rsidR="001C7CF0" w:rsidRPr="006626EA">
        <w:rPr>
          <w:sz w:val="22"/>
          <w:szCs w:val="22"/>
        </w:rPr>
        <w:t xml:space="preserve">tegemist </w:t>
      </w:r>
      <w:r w:rsidR="003A3A70">
        <w:rPr>
          <w:sz w:val="22"/>
          <w:szCs w:val="22"/>
        </w:rPr>
        <w:t xml:space="preserve">isikuga, kes oma majandus- või kutsetegevuse raames pakub </w:t>
      </w:r>
      <w:r w:rsidR="00630A91" w:rsidRPr="006626EA">
        <w:rPr>
          <w:sz w:val="22"/>
          <w:szCs w:val="22"/>
        </w:rPr>
        <w:t xml:space="preserve">avalikkusele </w:t>
      </w:r>
      <w:proofErr w:type="spellStart"/>
      <w:r w:rsidR="003A3A70">
        <w:rPr>
          <w:sz w:val="22"/>
          <w:szCs w:val="22"/>
        </w:rPr>
        <w:t>ühisrahastusprojekte</w:t>
      </w:r>
      <w:proofErr w:type="spellEnd"/>
      <w:r w:rsidR="003A3A70">
        <w:rPr>
          <w:sz w:val="22"/>
          <w:szCs w:val="22"/>
        </w:rPr>
        <w:t xml:space="preserve"> </w:t>
      </w:r>
      <w:r w:rsidR="00E26E7B" w:rsidRPr="006626EA">
        <w:rPr>
          <w:sz w:val="22"/>
          <w:szCs w:val="22"/>
        </w:rPr>
        <w:t xml:space="preserve">ning peab arvestust </w:t>
      </w:r>
      <w:proofErr w:type="spellStart"/>
      <w:r w:rsidR="003A3A70">
        <w:rPr>
          <w:sz w:val="22"/>
          <w:szCs w:val="22"/>
        </w:rPr>
        <w:t>ühisrahastusprojektide</w:t>
      </w:r>
      <w:proofErr w:type="spellEnd"/>
      <w:r w:rsidR="00E26E7B" w:rsidRPr="006626EA">
        <w:rPr>
          <w:sz w:val="22"/>
          <w:szCs w:val="22"/>
        </w:rPr>
        <w:t xml:space="preserve"> registri üle</w:t>
      </w:r>
      <w:r w:rsidR="001C7CF0" w:rsidRPr="006626EA">
        <w:rPr>
          <w:sz w:val="22"/>
          <w:szCs w:val="22"/>
        </w:rPr>
        <w:t>.</w:t>
      </w:r>
      <w:r w:rsidR="00551F27" w:rsidRPr="006626EA">
        <w:rPr>
          <w:sz w:val="22"/>
          <w:szCs w:val="22"/>
        </w:rPr>
        <w:t xml:space="preserve"> Sisuliselt on tegemist </w:t>
      </w:r>
      <w:r w:rsidR="00355D23" w:rsidRPr="006626EA">
        <w:rPr>
          <w:sz w:val="22"/>
          <w:szCs w:val="22"/>
        </w:rPr>
        <w:t xml:space="preserve">igasuguse teenusega, mille käigus </w:t>
      </w:r>
      <w:proofErr w:type="spellStart"/>
      <w:r w:rsidR="003A3A70">
        <w:rPr>
          <w:sz w:val="22"/>
          <w:szCs w:val="22"/>
        </w:rPr>
        <w:t>ühisrahastus</w:t>
      </w:r>
      <w:r w:rsidR="00355D23" w:rsidRPr="006626EA">
        <w:rPr>
          <w:sz w:val="22"/>
          <w:szCs w:val="22"/>
        </w:rPr>
        <w:t>teenuse</w:t>
      </w:r>
      <w:proofErr w:type="spellEnd"/>
      <w:r w:rsidR="003A3A70">
        <w:rPr>
          <w:sz w:val="22"/>
          <w:szCs w:val="22"/>
        </w:rPr>
        <w:t xml:space="preserve"> </w:t>
      </w:r>
      <w:r w:rsidR="00355D23" w:rsidRPr="006626EA">
        <w:rPr>
          <w:sz w:val="22"/>
          <w:szCs w:val="22"/>
        </w:rPr>
        <w:t xml:space="preserve">osutaja võimaldab </w:t>
      </w:r>
      <w:r w:rsidR="00711A4A" w:rsidRPr="006626EA">
        <w:rPr>
          <w:sz w:val="22"/>
          <w:szCs w:val="22"/>
        </w:rPr>
        <w:t xml:space="preserve">kolmanda isiku ehk </w:t>
      </w:r>
      <w:r w:rsidR="00A51C00" w:rsidRPr="006626EA">
        <w:rPr>
          <w:sz w:val="22"/>
          <w:szCs w:val="22"/>
        </w:rPr>
        <w:t>m</w:t>
      </w:r>
      <w:r w:rsidR="00355D23" w:rsidRPr="006626EA">
        <w:rPr>
          <w:sz w:val="22"/>
          <w:szCs w:val="22"/>
        </w:rPr>
        <w:t>õne teise isiku</w:t>
      </w:r>
      <w:r w:rsidR="00AA6A94">
        <w:rPr>
          <w:sz w:val="22"/>
          <w:szCs w:val="22"/>
        </w:rPr>
        <w:t>ga seotud</w:t>
      </w:r>
      <w:r w:rsidR="00355D23" w:rsidRPr="006626EA">
        <w:rPr>
          <w:sz w:val="22"/>
          <w:szCs w:val="22"/>
        </w:rPr>
        <w:t xml:space="preserve"> </w:t>
      </w:r>
      <w:proofErr w:type="spellStart"/>
      <w:r w:rsidR="003A3A70">
        <w:rPr>
          <w:sz w:val="22"/>
          <w:szCs w:val="22"/>
        </w:rPr>
        <w:t>ühisrahastusprojektidega</w:t>
      </w:r>
      <w:proofErr w:type="spellEnd"/>
      <w:r w:rsidR="003A3A70" w:rsidRPr="006626EA">
        <w:rPr>
          <w:sz w:val="22"/>
          <w:szCs w:val="22"/>
        </w:rPr>
        <w:t xml:space="preserve"> </w:t>
      </w:r>
      <w:r w:rsidR="00355D23" w:rsidRPr="006626EA">
        <w:rPr>
          <w:sz w:val="22"/>
          <w:szCs w:val="22"/>
        </w:rPr>
        <w:t xml:space="preserve">kauplemist või nende omandamist või võõrandamist. Analoogia korras võib mõista </w:t>
      </w:r>
      <w:proofErr w:type="spellStart"/>
      <w:r w:rsidR="003A3A70">
        <w:rPr>
          <w:sz w:val="22"/>
          <w:szCs w:val="22"/>
        </w:rPr>
        <w:t>ühisrahastusteenust</w:t>
      </w:r>
      <w:proofErr w:type="spellEnd"/>
      <w:r w:rsidR="00355D23" w:rsidRPr="006626EA">
        <w:rPr>
          <w:sz w:val="22"/>
          <w:szCs w:val="22"/>
        </w:rPr>
        <w:t xml:space="preserve"> kui </w:t>
      </w:r>
      <w:r w:rsidR="00551F27" w:rsidRPr="006626EA">
        <w:rPr>
          <w:sz w:val="22"/>
          <w:szCs w:val="22"/>
        </w:rPr>
        <w:t>väärtpaberituru seaduses reguleeritud väärtpaberi pakkumise või emiteerimise</w:t>
      </w:r>
      <w:r w:rsidR="00551F27" w:rsidRPr="005A55CA">
        <w:rPr>
          <w:sz w:val="22"/>
          <w:szCs w:val="22"/>
        </w:rPr>
        <w:t xml:space="preserve"> korraldamise teenus</w:t>
      </w:r>
      <w:r w:rsidR="00355D23" w:rsidRPr="005A55CA">
        <w:rPr>
          <w:sz w:val="22"/>
          <w:szCs w:val="22"/>
        </w:rPr>
        <w:t>t</w:t>
      </w:r>
      <w:r w:rsidR="00551F27" w:rsidRPr="005A55CA">
        <w:rPr>
          <w:sz w:val="22"/>
          <w:szCs w:val="22"/>
        </w:rPr>
        <w:t xml:space="preserve"> (</w:t>
      </w:r>
      <w:r w:rsidR="00355D23" w:rsidRPr="005A55CA">
        <w:rPr>
          <w:sz w:val="22"/>
          <w:szCs w:val="22"/>
        </w:rPr>
        <w:t xml:space="preserve">VPTS </w:t>
      </w:r>
      <w:r w:rsidR="00551F27" w:rsidRPr="005A55CA">
        <w:rPr>
          <w:sz w:val="22"/>
          <w:szCs w:val="22"/>
        </w:rPr>
        <w:t>§ 43 lg 1 p 7), kuid teenuse</w:t>
      </w:r>
      <w:r w:rsidR="004D2BA8" w:rsidRPr="005A55CA">
        <w:rPr>
          <w:sz w:val="22"/>
          <w:szCs w:val="22"/>
        </w:rPr>
        <w:t>na</w:t>
      </w:r>
      <w:r w:rsidR="00551F27" w:rsidRPr="005A55CA">
        <w:rPr>
          <w:sz w:val="22"/>
          <w:szCs w:val="22"/>
        </w:rPr>
        <w:t xml:space="preserve"> osutatakse mitte väärtpaberite pakkumist sama seaduse paragrahvi 2 lõikes 1 toodud väärtpaberite, vaid </w:t>
      </w:r>
      <w:r w:rsidR="00355D23" w:rsidRPr="005A55CA">
        <w:rPr>
          <w:sz w:val="22"/>
          <w:szCs w:val="22"/>
        </w:rPr>
        <w:t xml:space="preserve">käesoleva seaduse reguleerimisalas olevate </w:t>
      </w:r>
      <w:proofErr w:type="spellStart"/>
      <w:r w:rsidR="003A3A70">
        <w:rPr>
          <w:sz w:val="22"/>
          <w:szCs w:val="22"/>
        </w:rPr>
        <w:t>ühisrahastusprojektide</w:t>
      </w:r>
      <w:proofErr w:type="spellEnd"/>
      <w:r w:rsidR="003A3A70" w:rsidRPr="005A55CA">
        <w:rPr>
          <w:sz w:val="22"/>
          <w:szCs w:val="22"/>
        </w:rPr>
        <w:t xml:space="preserve"> </w:t>
      </w:r>
      <w:r w:rsidR="004D2BA8" w:rsidRPr="005A55CA">
        <w:rPr>
          <w:sz w:val="22"/>
          <w:szCs w:val="22"/>
        </w:rPr>
        <w:t>näol</w:t>
      </w:r>
      <w:r w:rsidR="00551F27" w:rsidRPr="005A55CA">
        <w:rPr>
          <w:sz w:val="22"/>
          <w:szCs w:val="22"/>
        </w:rPr>
        <w:t>.</w:t>
      </w:r>
      <w:r w:rsidR="00BC6D0D" w:rsidRPr="005A55CA">
        <w:rPr>
          <w:sz w:val="22"/>
          <w:szCs w:val="22"/>
        </w:rPr>
        <w:t xml:space="preserve"> Lisaks </w:t>
      </w:r>
      <w:r w:rsidR="00F40151">
        <w:rPr>
          <w:sz w:val="22"/>
          <w:szCs w:val="22"/>
        </w:rPr>
        <w:t>loetakse</w:t>
      </w:r>
      <w:r w:rsidR="00BC6D0D" w:rsidRPr="005A55CA">
        <w:rPr>
          <w:sz w:val="22"/>
          <w:szCs w:val="22"/>
        </w:rPr>
        <w:t xml:space="preserve"> </w:t>
      </w:r>
      <w:proofErr w:type="spellStart"/>
      <w:r w:rsidR="003A3A70">
        <w:rPr>
          <w:sz w:val="22"/>
          <w:szCs w:val="22"/>
        </w:rPr>
        <w:t>ühisrahastusteenuse</w:t>
      </w:r>
      <w:proofErr w:type="spellEnd"/>
      <w:r w:rsidR="00BC6D0D" w:rsidRPr="005A55CA">
        <w:rPr>
          <w:sz w:val="22"/>
          <w:szCs w:val="22"/>
        </w:rPr>
        <w:t xml:space="preserve"> osutajaks igat juriidilist isikut, kes pakub ükskõik millise teise isiku poolt </w:t>
      </w:r>
      <w:r w:rsidR="00355D23" w:rsidRPr="005A55CA">
        <w:rPr>
          <w:sz w:val="22"/>
          <w:szCs w:val="22"/>
        </w:rPr>
        <w:t xml:space="preserve">väljastatud </w:t>
      </w:r>
      <w:proofErr w:type="spellStart"/>
      <w:r w:rsidR="003A3A70">
        <w:rPr>
          <w:sz w:val="22"/>
          <w:szCs w:val="22"/>
        </w:rPr>
        <w:t>ühisrahastusprojekte</w:t>
      </w:r>
      <w:proofErr w:type="spellEnd"/>
      <w:r w:rsidR="003A3A70" w:rsidRPr="005A55CA">
        <w:rPr>
          <w:sz w:val="22"/>
          <w:szCs w:val="22"/>
        </w:rPr>
        <w:t xml:space="preserve"> </w:t>
      </w:r>
      <w:r w:rsidR="00BC6D0D" w:rsidRPr="005A55CA">
        <w:rPr>
          <w:sz w:val="22"/>
          <w:szCs w:val="22"/>
        </w:rPr>
        <w:t xml:space="preserve">kas </w:t>
      </w:r>
      <w:r w:rsidR="00BC6D0D" w:rsidRPr="005A55CA">
        <w:rPr>
          <w:sz w:val="22"/>
          <w:szCs w:val="22"/>
        </w:rPr>
        <w:lastRenderedPageBreak/>
        <w:t xml:space="preserve">esmapakkumisena või võimaldab selliste instrumentide kauplemist järelturul. </w:t>
      </w:r>
      <w:r w:rsidR="004514BE">
        <w:rPr>
          <w:sz w:val="22"/>
          <w:szCs w:val="22"/>
        </w:rPr>
        <w:t>Seega j</w:t>
      </w:r>
      <w:r w:rsidR="004514BE" w:rsidRPr="006626EA">
        <w:rPr>
          <w:sz w:val="22"/>
          <w:szCs w:val="22"/>
        </w:rPr>
        <w:t xml:space="preserve">uhul, kui rahastuse taotleja vahendab kolmanda isiku poolt pakutavaid </w:t>
      </w:r>
      <w:proofErr w:type="spellStart"/>
      <w:r w:rsidR="003A3A70">
        <w:rPr>
          <w:sz w:val="22"/>
          <w:szCs w:val="22"/>
        </w:rPr>
        <w:t>ühisrahastusprojekte</w:t>
      </w:r>
      <w:proofErr w:type="spellEnd"/>
      <w:r w:rsidR="004514BE" w:rsidRPr="006626EA">
        <w:rPr>
          <w:sz w:val="22"/>
          <w:szCs w:val="22"/>
        </w:rPr>
        <w:t>, siis sellist rahastuse taotlejat käsit</w:t>
      </w:r>
      <w:r w:rsidR="004D66AC">
        <w:rPr>
          <w:sz w:val="22"/>
          <w:szCs w:val="22"/>
        </w:rPr>
        <w:t>a</w:t>
      </w:r>
      <w:r w:rsidR="004514BE" w:rsidRPr="006626EA">
        <w:rPr>
          <w:sz w:val="22"/>
          <w:szCs w:val="22"/>
        </w:rPr>
        <w:t xml:space="preserve">takse </w:t>
      </w:r>
      <w:proofErr w:type="spellStart"/>
      <w:r w:rsidR="003A3A70">
        <w:rPr>
          <w:sz w:val="22"/>
          <w:szCs w:val="22"/>
        </w:rPr>
        <w:t>ühisrahastus</w:t>
      </w:r>
      <w:r w:rsidR="004514BE" w:rsidRPr="006626EA">
        <w:rPr>
          <w:sz w:val="22"/>
          <w:szCs w:val="22"/>
        </w:rPr>
        <w:t>teenuse</w:t>
      </w:r>
      <w:proofErr w:type="spellEnd"/>
      <w:r w:rsidR="004514BE">
        <w:rPr>
          <w:sz w:val="22"/>
          <w:szCs w:val="22"/>
        </w:rPr>
        <w:t xml:space="preserve"> </w:t>
      </w:r>
      <w:r w:rsidR="004514BE" w:rsidRPr="006626EA">
        <w:rPr>
          <w:sz w:val="22"/>
          <w:szCs w:val="22"/>
        </w:rPr>
        <w:t xml:space="preserve">osutajana ja sellisel juhul tuleb lähtuda seaduses </w:t>
      </w:r>
      <w:r w:rsidR="004514BE">
        <w:rPr>
          <w:sz w:val="22"/>
          <w:szCs w:val="22"/>
        </w:rPr>
        <w:t xml:space="preserve">mh </w:t>
      </w:r>
      <w:proofErr w:type="spellStart"/>
      <w:r w:rsidR="003A3A70">
        <w:rPr>
          <w:sz w:val="22"/>
          <w:szCs w:val="22"/>
        </w:rPr>
        <w:t>ühisrahastusprojekti</w:t>
      </w:r>
      <w:proofErr w:type="spellEnd"/>
      <w:r w:rsidR="004514BE" w:rsidRPr="006626EA">
        <w:rPr>
          <w:sz w:val="22"/>
          <w:szCs w:val="22"/>
        </w:rPr>
        <w:t xml:space="preserve"> pakkumise kohta sätestatust.</w:t>
      </w:r>
      <w:r w:rsidR="003A3A70">
        <w:rPr>
          <w:sz w:val="22"/>
          <w:szCs w:val="22"/>
        </w:rPr>
        <w:t xml:space="preserve"> Samas ei käsitleta </w:t>
      </w:r>
      <w:proofErr w:type="spellStart"/>
      <w:r w:rsidR="00E7329E">
        <w:rPr>
          <w:sz w:val="22"/>
          <w:szCs w:val="22"/>
        </w:rPr>
        <w:t>ühisrahastusteenuse</w:t>
      </w:r>
      <w:proofErr w:type="spellEnd"/>
      <w:r w:rsidR="00E7329E">
        <w:rPr>
          <w:sz w:val="22"/>
          <w:szCs w:val="22"/>
        </w:rPr>
        <w:t xml:space="preserve"> osutajana klienti, kes endale kuuluvaid </w:t>
      </w:r>
      <w:proofErr w:type="spellStart"/>
      <w:r w:rsidR="00E7329E">
        <w:rPr>
          <w:sz w:val="22"/>
          <w:szCs w:val="22"/>
        </w:rPr>
        <w:t>ühisrahastusprojekte</w:t>
      </w:r>
      <w:proofErr w:type="spellEnd"/>
      <w:r w:rsidR="00E7329E">
        <w:rPr>
          <w:sz w:val="22"/>
          <w:szCs w:val="22"/>
        </w:rPr>
        <w:t xml:space="preserve"> finantsvahendusplatvormil omandab ja võõrandab, kuivõrd tegemist ei ole teenusega.</w:t>
      </w:r>
    </w:p>
    <w:p w14:paraId="7059817C" w14:textId="11952696" w:rsidR="00727986" w:rsidRDefault="00727986" w:rsidP="00670CE5">
      <w:pPr>
        <w:spacing w:before="0"/>
        <w:rPr>
          <w:sz w:val="22"/>
          <w:szCs w:val="22"/>
        </w:rPr>
      </w:pPr>
    </w:p>
    <w:p w14:paraId="0158A753" w14:textId="49F39BED" w:rsidR="00727986" w:rsidRPr="00727986" w:rsidRDefault="00727986" w:rsidP="00670CE5">
      <w:pPr>
        <w:spacing w:before="0"/>
        <w:rPr>
          <w:sz w:val="22"/>
          <w:szCs w:val="22"/>
        </w:rPr>
      </w:pPr>
      <w:r w:rsidRPr="00727986">
        <w:rPr>
          <w:b/>
          <w:sz w:val="22"/>
          <w:szCs w:val="22"/>
        </w:rPr>
        <w:t>Lõi</w:t>
      </w:r>
      <w:r w:rsidR="00F40151">
        <w:rPr>
          <w:b/>
          <w:sz w:val="22"/>
          <w:szCs w:val="22"/>
        </w:rPr>
        <w:t>g</w:t>
      </w:r>
      <w:r w:rsidRPr="00727986">
        <w:rPr>
          <w:b/>
          <w:sz w:val="22"/>
          <w:szCs w:val="22"/>
        </w:rPr>
        <w:t xml:space="preserve">e </w:t>
      </w:r>
      <w:r w:rsidR="00E7329E">
        <w:rPr>
          <w:b/>
          <w:sz w:val="22"/>
          <w:szCs w:val="22"/>
        </w:rPr>
        <w:t>7</w:t>
      </w:r>
      <w:r w:rsidRPr="00727986">
        <w:rPr>
          <w:b/>
          <w:sz w:val="22"/>
          <w:szCs w:val="22"/>
        </w:rPr>
        <w:t xml:space="preserve"> </w:t>
      </w:r>
      <w:r>
        <w:rPr>
          <w:sz w:val="22"/>
          <w:szCs w:val="22"/>
        </w:rPr>
        <w:t xml:space="preserve">täpsustab, et </w:t>
      </w:r>
      <w:proofErr w:type="spellStart"/>
      <w:r w:rsidR="00E7329E">
        <w:rPr>
          <w:sz w:val="22"/>
          <w:szCs w:val="22"/>
        </w:rPr>
        <w:t>ühisrahastusteenuse</w:t>
      </w:r>
      <w:proofErr w:type="spellEnd"/>
      <w:r w:rsidR="00747F84">
        <w:rPr>
          <w:sz w:val="22"/>
          <w:szCs w:val="22"/>
        </w:rPr>
        <w:t xml:space="preserve"> osutaja</w:t>
      </w:r>
      <w:r w:rsidRPr="00727986">
        <w:rPr>
          <w:sz w:val="22"/>
          <w:szCs w:val="22"/>
        </w:rPr>
        <w:t xml:space="preserve"> võib tegutseda üksnes</w:t>
      </w:r>
      <w:r>
        <w:rPr>
          <w:sz w:val="22"/>
          <w:szCs w:val="22"/>
        </w:rPr>
        <w:t xml:space="preserve"> osaühingu või aktsiaseltsina. </w:t>
      </w:r>
      <w:r w:rsidRPr="00727986">
        <w:rPr>
          <w:sz w:val="22"/>
          <w:szCs w:val="22"/>
        </w:rPr>
        <w:t>Sarnaselt teiste finantssektori ettevõtjatega ning eeskätt Finantsinspektsiooni järelevalve alla kuuluvate turuosalistega on teenuseosutaja poolt kasutatav äriühingu vorm piiratud osaühingu ja aktsiaseltsi</w:t>
      </w:r>
      <w:r w:rsidR="00D404AC">
        <w:rPr>
          <w:sz w:val="22"/>
          <w:szCs w:val="22"/>
        </w:rPr>
        <w:t>g</w:t>
      </w:r>
      <w:r w:rsidRPr="00727986">
        <w:rPr>
          <w:sz w:val="22"/>
          <w:szCs w:val="22"/>
        </w:rPr>
        <w:t xml:space="preserve">a, kuivõrd nimetatud äriühingute puhul on kõige täpsemini ja finantssektori ettevõtjale kohasemalt kindlaks määratud kohustuslikud juhtimise alused, osaluse omandamise ja osalusega seotud õiguste teostamine, vastutuse klauslid jm sätted. </w:t>
      </w:r>
    </w:p>
    <w:p w14:paraId="39993FD0" w14:textId="5AB44F45" w:rsidR="00787586" w:rsidRPr="005A55CA" w:rsidRDefault="00787586" w:rsidP="00670CE5">
      <w:pPr>
        <w:spacing w:before="0"/>
        <w:rPr>
          <w:b/>
          <w:sz w:val="22"/>
          <w:szCs w:val="22"/>
        </w:rPr>
      </w:pPr>
    </w:p>
    <w:p w14:paraId="4F3FCF48" w14:textId="758050C5" w:rsidR="00F47F20" w:rsidRPr="005A55CA" w:rsidRDefault="00F47F20" w:rsidP="00670CE5">
      <w:pPr>
        <w:spacing w:before="0"/>
        <w:rPr>
          <w:sz w:val="22"/>
          <w:szCs w:val="22"/>
        </w:rPr>
      </w:pPr>
      <w:r w:rsidRPr="005A55CA">
        <w:rPr>
          <w:b/>
          <w:sz w:val="22"/>
          <w:szCs w:val="22"/>
        </w:rPr>
        <w:t>Lõi</w:t>
      </w:r>
      <w:r w:rsidR="00E7329E">
        <w:rPr>
          <w:b/>
          <w:sz w:val="22"/>
          <w:szCs w:val="22"/>
        </w:rPr>
        <w:t xml:space="preserve">ge 8 </w:t>
      </w:r>
      <w:r w:rsidR="00E7329E" w:rsidRPr="00E7329E">
        <w:rPr>
          <w:bCs/>
          <w:sz w:val="22"/>
          <w:szCs w:val="22"/>
        </w:rPr>
        <w:t>sätestab</w:t>
      </w:r>
      <w:r w:rsidRPr="005A55CA">
        <w:rPr>
          <w:sz w:val="22"/>
          <w:szCs w:val="22"/>
        </w:rPr>
        <w:t xml:space="preserve">, et kui isik on üheaegselt nii </w:t>
      </w:r>
      <w:r w:rsidR="005E598E">
        <w:rPr>
          <w:sz w:val="22"/>
          <w:szCs w:val="22"/>
        </w:rPr>
        <w:t>rahastuse taotleja</w:t>
      </w:r>
      <w:r w:rsidRPr="005A55CA">
        <w:rPr>
          <w:sz w:val="22"/>
          <w:szCs w:val="22"/>
        </w:rPr>
        <w:t xml:space="preserve"> kui </w:t>
      </w:r>
      <w:proofErr w:type="spellStart"/>
      <w:r w:rsidR="00E7329E">
        <w:rPr>
          <w:sz w:val="22"/>
          <w:szCs w:val="22"/>
        </w:rPr>
        <w:t>ühisrahastusteenuse</w:t>
      </w:r>
      <w:proofErr w:type="spellEnd"/>
      <w:r w:rsidR="00A90EAF">
        <w:rPr>
          <w:sz w:val="22"/>
          <w:szCs w:val="22"/>
        </w:rPr>
        <w:t xml:space="preserve"> osutaja</w:t>
      </w:r>
      <w:r w:rsidRPr="005A55CA">
        <w:rPr>
          <w:sz w:val="22"/>
          <w:szCs w:val="22"/>
        </w:rPr>
        <w:t xml:space="preserve">, kohaldatakse talle </w:t>
      </w:r>
      <w:proofErr w:type="spellStart"/>
      <w:r w:rsidR="00E7329E">
        <w:rPr>
          <w:sz w:val="22"/>
          <w:szCs w:val="22"/>
        </w:rPr>
        <w:t>ühisrahastus</w:t>
      </w:r>
      <w:r w:rsidR="00A90EAF">
        <w:rPr>
          <w:sz w:val="22"/>
          <w:szCs w:val="22"/>
        </w:rPr>
        <w:t>teenuse</w:t>
      </w:r>
      <w:proofErr w:type="spellEnd"/>
      <w:r w:rsidR="00A90EAF">
        <w:rPr>
          <w:sz w:val="22"/>
          <w:szCs w:val="22"/>
        </w:rPr>
        <w:t xml:space="preserve"> osutaja</w:t>
      </w:r>
      <w:r w:rsidRPr="005A55CA">
        <w:rPr>
          <w:sz w:val="22"/>
          <w:szCs w:val="22"/>
        </w:rPr>
        <w:t xml:space="preserve"> kohta sätestatut. </w:t>
      </w:r>
      <w:r w:rsidR="00AB5286" w:rsidRPr="005A55CA">
        <w:rPr>
          <w:sz w:val="22"/>
          <w:szCs w:val="22"/>
        </w:rPr>
        <w:t xml:space="preserve">Erand sellest sättest oleks olukorras, kus </w:t>
      </w:r>
      <w:proofErr w:type="spellStart"/>
      <w:r w:rsidR="00E7329E">
        <w:rPr>
          <w:sz w:val="22"/>
          <w:szCs w:val="22"/>
        </w:rPr>
        <w:t>ühisrahastus</w:t>
      </w:r>
      <w:r w:rsidR="00A90EAF">
        <w:rPr>
          <w:sz w:val="22"/>
          <w:szCs w:val="22"/>
        </w:rPr>
        <w:t>teenuse</w:t>
      </w:r>
      <w:proofErr w:type="spellEnd"/>
      <w:r w:rsidR="00A90EAF">
        <w:rPr>
          <w:sz w:val="22"/>
          <w:szCs w:val="22"/>
        </w:rPr>
        <w:t xml:space="preserve"> osutaja</w:t>
      </w:r>
      <w:r w:rsidR="00AB5286" w:rsidRPr="005A55CA">
        <w:rPr>
          <w:sz w:val="22"/>
          <w:szCs w:val="22"/>
        </w:rPr>
        <w:t xml:space="preserve"> </w:t>
      </w:r>
      <w:r w:rsidR="005E598E">
        <w:rPr>
          <w:sz w:val="22"/>
          <w:szCs w:val="22"/>
        </w:rPr>
        <w:t>pakub</w:t>
      </w:r>
      <w:r w:rsidR="005E598E" w:rsidRPr="005A55CA">
        <w:rPr>
          <w:sz w:val="22"/>
          <w:szCs w:val="22"/>
        </w:rPr>
        <w:t xml:space="preserve"> </w:t>
      </w:r>
      <w:r w:rsidR="00AB5286" w:rsidRPr="005A55CA">
        <w:rPr>
          <w:sz w:val="22"/>
          <w:szCs w:val="22"/>
        </w:rPr>
        <w:t xml:space="preserve">ise endaga seotud </w:t>
      </w:r>
      <w:proofErr w:type="spellStart"/>
      <w:r w:rsidR="00E7329E">
        <w:rPr>
          <w:sz w:val="22"/>
          <w:szCs w:val="22"/>
        </w:rPr>
        <w:t>ühisrahastusprojekti</w:t>
      </w:r>
      <w:proofErr w:type="spellEnd"/>
      <w:r w:rsidR="00AB5286" w:rsidRPr="005A55CA">
        <w:rPr>
          <w:sz w:val="22"/>
          <w:szCs w:val="22"/>
        </w:rPr>
        <w:t xml:space="preserve">, </w:t>
      </w:r>
      <w:proofErr w:type="spellStart"/>
      <w:r w:rsidR="00AB5286" w:rsidRPr="005A55CA">
        <w:rPr>
          <w:sz w:val="22"/>
          <w:szCs w:val="22"/>
        </w:rPr>
        <w:t>misjuhul</w:t>
      </w:r>
      <w:proofErr w:type="spellEnd"/>
      <w:r w:rsidR="00AB5286" w:rsidRPr="005A55CA">
        <w:rPr>
          <w:sz w:val="22"/>
          <w:szCs w:val="22"/>
        </w:rPr>
        <w:t xml:space="preserve"> käsitletaks sellist </w:t>
      </w:r>
      <w:proofErr w:type="spellStart"/>
      <w:r w:rsidR="00E7329E">
        <w:rPr>
          <w:sz w:val="22"/>
          <w:szCs w:val="22"/>
        </w:rPr>
        <w:t>ühisrahastus</w:t>
      </w:r>
      <w:r w:rsidR="00CF20E2">
        <w:rPr>
          <w:sz w:val="22"/>
          <w:szCs w:val="22"/>
        </w:rPr>
        <w:t>teenuse</w:t>
      </w:r>
      <w:proofErr w:type="spellEnd"/>
      <w:r w:rsidR="00CF20E2">
        <w:rPr>
          <w:sz w:val="22"/>
          <w:szCs w:val="22"/>
        </w:rPr>
        <w:t xml:space="preserve"> osuta</w:t>
      </w:r>
      <w:r w:rsidR="00AB5286" w:rsidRPr="005A55CA">
        <w:rPr>
          <w:sz w:val="22"/>
          <w:szCs w:val="22"/>
        </w:rPr>
        <w:t xml:space="preserve">ja-poolset </w:t>
      </w:r>
      <w:r w:rsidR="005E598E">
        <w:rPr>
          <w:sz w:val="22"/>
          <w:szCs w:val="22"/>
        </w:rPr>
        <w:t>pakkumist</w:t>
      </w:r>
      <w:r w:rsidR="00AB5286" w:rsidRPr="005A55CA">
        <w:rPr>
          <w:sz w:val="22"/>
          <w:szCs w:val="22"/>
        </w:rPr>
        <w:t xml:space="preserve"> </w:t>
      </w:r>
      <w:proofErr w:type="spellStart"/>
      <w:r w:rsidR="00E7329E">
        <w:rPr>
          <w:sz w:val="22"/>
          <w:szCs w:val="22"/>
        </w:rPr>
        <w:t>ühisrahastusprojekti</w:t>
      </w:r>
      <w:proofErr w:type="spellEnd"/>
      <w:r w:rsidR="00AB5286" w:rsidRPr="005A55CA">
        <w:rPr>
          <w:sz w:val="22"/>
          <w:szCs w:val="22"/>
        </w:rPr>
        <w:t xml:space="preserve"> pakkumisena ning </w:t>
      </w:r>
      <w:proofErr w:type="spellStart"/>
      <w:r w:rsidR="00E7329E">
        <w:rPr>
          <w:sz w:val="22"/>
          <w:szCs w:val="22"/>
        </w:rPr>
        <w:t>ühisrahastus</w:t>
      </w:r>
      <w:r w:rsidR="005C7572">
        <w:rPr>
          <w:sz w:val="22"/>
          <w:szCs w:val="22"/>
        </w:rPr>
        <w:t>teenuse</w:t>
      </w:r>
      <w:proofErr w:type="spellEnd"/>
      <w:r w:rsidR="005C7572">
        <w:rPr>
          <w:sz w:val="22"/>
          <w:szCs w:val="22"/>
        </w:rPr>
        <w:t xml:space="preserve"> osutajale</w:t>
      </w:r>
      <w:r w:rsidR="00A90EAF" w:rsidRPr="005A55CA">
        <w:rPr>
          <w:sz w:val="22"/>
          <w:szCs w:val="22"/>
        </w:rPr>
        <w:t xml:space="preserve"> </w:t>
      </w:r>
      <w:r w:rsidR="00AB5286" w:rsidRPr="005A55CA">
        <w:rPr>
          <w:sz w:val="22"/>
          <w:szCs w:val="22"/>
        </w:rPr>
        <w:t xml:space="preserve">kohaldataks </w:t>
      </w:r>
      <w:r w:rsidR="005E598E">
        <w:rPr>
          <w:sz w:val="22"/>
          <w:szCs w:val="22"/>
        </w:rPr>
        <w:t>rahastuse taotleja</w:t>
      </w:r>
      <w:r w:rsidR="005E598E" w:rsidRPr="005A55CA">
        <w:rPr>
          <w:sz w:val="22"/>
          <w:szCs w:val="22"/>
        </w:rPr>
        <w:t xml:space="preserve"> </w:t>
      </w:r>
      <w:r w:rsidR="00AB5286" w:rsidRPr="005A55CA">
        <w:rPr>
          <w:sz w:val="22"/>
          <w:szCs w:val="22"/>
        </w:rPr>
        <w:t>kohta sätestatut.</w:t>
      </w:r>
      <w:r w:rsidR="00E26E7B" w:rsidRPr="005A55CA">
        <w:rPr>
          <w:sz w:val="22"/>
          <w:szCs w:val="22"/>
        </w:rPr>
        <w:t xml:space="preserve"> Nimetatud lõike eesmärk on eeskätt tagada </w:t>
      </w:r>
      <w:r w:rsidR="00E7329E">
        <w:rPr>
          <w:sz w:val="22"/>
          <w:szCs w:val="22"/>
        </w:rPr>
        <w:t>klientidele</w:t>
      </w:r>
      <w:r w:rsidR="00E26E7B" w:rsidRPr="005A55CA">
        <w:rPr>
          <w:sz w:val="22"/>
          <w:szCs w:val="22"/>
        </w:rPr>
        <w:t xml:space="preserve"> samaväärne kaitse (sh teabe andmise kohustuse täitmine) sõltumata sellest, kas pakkumise viib läbi </w:t>
      </w:r>
      <w:r w:rsidR="005E598E">
        <w:rPr>
          <w:sz w:val="22"/>
          <w:szCs w:val="22"/>
        </w:rPr>
        <w:t>rahastuse taotleja</w:t>
      </w:r>
      <w:r w:rsidR="005E598E" w:rsidRPr="005A55CA">
        <w:rPr>
          <w:sz w:val="22"/>
          <w:szCs w:val="22"/>
        </w:rPr>
        <w:t xml:space="preserve"> </w:t>
      </w:r>
      <w:r w:rsidR="00E26E7B" w:rsidRPr="005A55CA">
        <w:rPr>
          <w:sz w:val="22"/>
          <w:szCs w:val="22"/>
        </w:rPr>
        <w:t xml:space="preserve">ise või </w:t>
      </w:r>
      <w:proofErr w:type="spellStart"/>
      <w:r w:rsidR="00E7329E">
        <w:rPr>
          <w:sz w:val="22"/>
          <w:szCs w:val="22"/>
        </w:rPr>
        <w:t>ühisrahastus</w:t>
      </w:r>
      <w:r w:rsidR="00A90EAF">
        <w:rPr>
          <w:sz w:val="22"/>
          <w:szCs w:val="22"/>
        </w:rPr>
        <w:t>teenuse</w:t>
      </w:r>
      <w:proofErr w:type="spellEnd"/>
      <w:r w:rsidR="00A90EAF">
        <w:rPr>
          <w:sz w:val="22"/>
          <w:szCs w:val="22"/>
        </w:rPr>
        <w:t xml:space="preserve"> osuta</w:t>
      </w:r>
      <w:r w:rsidR="00E26E7B" w:rsidRPr="005A55CA">
        <w:rPr>
          <w:sz w:val="22"/>
          <w:szCs w:val="22"/>
        </w:rPr>
        <w:t>ja.</w:t>
      </w:r>
    </w:p>
    <w:p w14:paraId="3BFBAE16" w14:textId="60E97982" w:rsidR="00A16871" w:rsidRPr="005A55CA" w:rsidRDefault="00A16871" w:rsidP="00670CE5">
      <w:pPr>
        <w:spacing w:before="0"/>
        <w:rPr>
          <w:sz w:val="22"/>
          <w:szCs w:val="22"/>
        </w:rPr>
      </w:pPr>
    </w:p>
    <w:p w14:paraId="44541C27" w14:textId="4F3E7802" w:rsidR="005B47F0" w:rsidRPr="0072160D" w:rsidRDefault="005B47F0" w:rsidP="00670CE5">
      <w:pPr>
        <w:spacing w:before="0"/>
        <w:rPr>
          <w:color w:val="000000" w:themeColor="text1"/>
          <w:sz w:val="22"/>
          <w:szCs w:val="22"/>
        </w:rPr>
      </w:pPr>
      <w:r w:rsidRPr="005B47F0">
        <w:rPr>
          <w:b/>
          <w:color w:val="000000" w:themeColor="text1"/>
          <w:sz w:val="22"/>
          <w:szCs w:val="22"/>
        </w:rPr>
        <w:t xml:space="preserve">Lõike </w:t>
      </w:r>
      <w:r w:rsidR="00E7329E">
        <w:rPr>
          <w:b/>
          <w:color w:val="000000" w:themeColor="text1"/>
          <w:sz w:val="22"/>
          <w:szCs w:val="22"/>
        </w:rPr>
        <w:t>9</w:t>
      </w:r>
      <w:r w:rsidRPr="005B47F0">
        <w:rPr>
          <w:b/>
          <w:color w:val="000000" w:themeColor="text1"/>
          <w:sz w:val="22"/>
          <w:szCs w:val="22"/>
        </w:rPr>
        <w:t xml:space="preserve"> </w:t>
      </w:r>
      <w:r w:rsidRPr="005B47F0">
        <w:rPr>
          <w:color w:val="000000" w:themeColor="text1"/>
          <w:sz w:val="22"/>
          <w:szCs w:val="22"/>
        </w:rPr>
        <w:t>kohaselt peab rahastuse taotleja ühinguleping või põhikiri kindlaks määrama, et tema registrijärgne asukoht ja peakontor on Eestis</w:t>
      </w:r>
      <w:r w:rsidR="00355863">
        <w:rPr>
          <w:color w:val="000000" w:themeColor="text1"/>
          <w:sz w:val="22"/>
          <w:szCs w:val="22"/>
        </w:rPr>
        <w:t xml:space="preserve"> juhul</w:t>
      </w:r>
      <w:r w:rsidR="00987B62">
        <w:rPr>
          <w:color w:val="000000" w:themeColor="text1"/>
          <w:sz w:val="22"/>
          <w:szCs w:val="22"/>
        </w:rPr>
        <w:t>,</w:t>
      </w:r>
      <w:r w:rsidR="00355863">
        <w:rPr>
          <w:color w:val="000000" w:themeColor="text1"/>
          <w:sz w:val="22"/>
          <w:szCs w:val="22"/>
        </w:rPr>
        <w:t xml:space="preserve"> kui rahastuse taotleja kaasab ise või </w:t>
      </w:r>
      <w:proofErr w:type="spellStart"/>
      <w:r w:rsidR="00DA04DA">
        <w:rPr>
          <w:color w:val="000000" w:themeColor="text1"/>
          <w:sz w:val="22"/>
          <w:szCs w:val="22"/>
        </w:rPr>
        <w:t>ühisrahastusteenuse</w:t>
      </w:r>
      <w:proofErr w:type="spellEnd"/>
      <w:r w:rsidR="00355863">
        <w:rPr>
          <w:color w:val="000000" w:themeColor="text1"/>
          <w:sz w:val="22"/>
          <w:szCs w:val="22"/>
        </w:rPr>
        <w:t xml:space="preserve"> osutaja </w:t>
      </w:r>
      <w:r w:rsidR="00355863" w:rsidRPr="00907D58">
        <w:rPr>
          <w:color w:val="000000" w:themeColor="text1"/>
          <w:sz w:val="22"/>
          <w:szCs w:val="22"/>
        </w:rPr>
        <w:t>vahendusel rohkem kui üks miljon eurot</w:t>
      </w:r>
      <w:r w:rsidRPr="00907D58">
        <w:rPr>
          <w:color w:val="000000" w:themeColor="text1"/>
          <w:sz w:val="22"/>
          <w:szCs w:val="22"/>
        </w:rPr>
        <w:t xml:space="preserve">. Säte on seotud </w:t>
      </w:r>
      <w:r w:rsidR="00907D58" w:rsidRPr="00907D58">
        <w:rPr>
          <w:color w:val="000000" w:themeColor="text1"/>
          <w:sz w:val="22"/>
          <w:szCs w:val="22"/>
        </w:rPr>
        <w:t xml:space="preserve">ka </w:t>
      </w:r>
      <w:r w:rsidRPr="00907D58">
        <w:rPr>
          <w:color w:val="000000" w:themeColor="text1"/>
          <w:sz w:val="22"/>
          <w:szCs w:val="22"/>
        </w:rPr>
        <w:t xml:space="preserve">eelnõu § </w:t>
      </w:r>
      <w:r w:rsidR="00907D58" w:rsidRPr="00907D58">
        <w:rPr>
          <w:color w:val="000000" w:themeColor="text1"/>
          <w:sz w:val="22"/>
          <w:szCs w:val="22"/>
        </w:rPr>
        <w:t>68</w:t>
      </w:r>
      <w:r w:rsidRPr="00907D58">
        <w:rPr>
          <w:color w:val="000000" w:themeColor="text1"/>
          <w:sz w:val="22"/>
          <w:szCs w:val="22"/>
        </w:rPr>
        <w:t xml:space="preserve"> lg </w:t>
      </w:r>
      <w:r w:rsidR="00907D58" w:rsidRPr="00907D58">
        <w:rPr>
          <w:color w:val="000000" w:themeColor="text1"/>
          <w:sz w:val="22"/>
          <w:szCs w:val="22"/>
        </w:rPr>
        <w:t>8</w:t>
      </w:r>
      <w:r w:rsidRPr="00907D58">
        <w:rPr>
          <w:color w:val="000000" w:themeColor="text1"/>
          <w:sz w:val="22"/>
          <w:szCs w:val="22"/>
        </w:rPr>
        <w:t xml:space="preserve"> punktiga 4.</w:t>
      </w:r>
    </w:p>
    <w:p w14:paraId="6EF4E701" w14:textId="77777777" w:rsidR="00450087" w:rsidRPr="0015768F" w:rsidRDefault="00450087" w:rsidP="00670CE5">
      <w:pPr>
        <w:spacing w:before="0"/>
        <w:rPr>
          <w:color w:val="000000" w:themeColor="text1"/>
          <w:sz w:val="22"/>
          <w:szCs w:val="22"/>
        </w:rPr>
      </w:pPr>
    </w:p>
    <w:p w14:paraId="18DB5BCB" w14:textId="5E5B215D" w:rsidR="00450087" w:rsidRPr="004466B0" w:rsidRDefault="00522E84" w:rsidP="00670CE5">
      <w:pPr>
        <w:spacing w:before="0"/>
        <w:rPr>
          <w:b/>
          <w:color w:val="000000" w:themeColor="text1"/>
          <w:sz w:val="22"/>
          <w:szCs w:val="22"/>
        </w:rPr>
      </w:pPr>
      <w:r w:rsidRPr="003A4690">
        <w:rPr>
          <w:b/>
          <w:color w:val="000000" w:themeColor="text1"/>
          <w:sz w:val="22"/>
          <w:szCs w:val="22"/>
        </w:rPr>
        <w:t xml:space="preserve">Paragrahvis </w:t>
      </w:r>
      <w:r w:rsidR="00954785" w:rsidRPr="003A4690">
        <w:rPr>
          <w:b/>
          <w:color w:val="000000" w:themeColor="text1"/>
          <w:sz w:val="22"/>
          <w:szCs w:val="22"/>
        </w:rPr>
        <w:t>5</w:t>
      </w:r>
      <w:r w:rsidRPr="00E15E73">
        <w:rPr>
          <w:b/>
          <w:color w:val="000000" w:themeColor="text1"/>
          <w:sz w:val="22"/>
          <w:szCs w:val="22"/>
        </w:rPr>
        <w:t xml:space="preserve"> </w:t>
      </w:r>
      <w:r w:rsidRPr="00C102E2">
        <w:rPr>
          <w:color w:val="000000" w:themeColor="text1"/>
          <w:sz w:val="22"/>
          <w:szCs w:val="22"/>
        </w:rPr>
        <w:t>on loetletud m</w:t>
      </w:r>
      <w:r w:rsidR="00514D37" w:rsidRPr="004466B0">
        <w:rPr>
          <w:color w:val="000000" w:themeColor="text1"/>
          <w:sz w:val="22"/>
          <w:szCs w:val="22"/>
        </w:rPr>
        <w:t>uud seaduses kasutat</w:t>
      </w:r>
      <w:r w:rsidR="00994C0B" w:rsidRPr="004466B0">
        <w:rPr>
          <w:color w:val="000000" w:themeColor="text1"/>
          <w:sz w:val="22"/>
          <w:szCs w:val="22"/>
        </w:rPr>
        <w:t>ud</w:t>
      </w:r>
      <w:r w:rsidR="00514D37" w:rsidRPr="004466B0">
        <w:rPr>
          <w:color w:val="000000" w:themeColor="text1"/>
          <w:sz w:val="22"/>
          <w:szCs w:val="22"/>
        </w:rPr>
        <w:t xml:space="preserve"> terminid</w:t>
      </w:r>
      <w:r w:rsidRPr="004466B0">
        <w:rPr>
          <w:color w:val="000000" w:themeColor="text1"/>
          <w:sz w:val="22"/>
          <w:szCs w:val="22"/>
        </w:rPr>
        <w:t>, st terminid, mille tähendus on erinev võrreldes muudes seadustes kasutatavate samade terminitega või terminid, mis tuuakse Eesti seadusesse esmakordselt käesoleva seadusega.</w:t>
      </w:r>
    </w:p>
    <w:p w14:paraId="6C4A6CD8" w14:textId="77777777" w:rsidR="00A01936" w:rsidRPr="004466B0" w:rsidRDefault="00A01936" w:rsidP="00670CE5">
      <w:pPr>
        <w:spacing w:before="0"/>
        <w:rPr>
          <w:b/>
          <w:color w:val="000000" w:themeColor="text1"/>
          <w:sz w:val="22"/>
          <w:szCs w:val="22"/>
        </w:rPr>
      </w:pPr>
    </w:p>
    <w:p w14:paraId="6587D080" w14:textId="5189073B" w:rsidR="00450087" w:rsidRPr="004466B0" w:rsidRDefault="00D5609F" w:rsidP="00670CE5">
      <w:pPr>
        <w:spacing w:before="0"/>
        <w:rPr>
          <w:color w:val="000000" w:themeColor="text1"/>
          <w:sz w:val="22"/>
          <w:szCs w:val="22"/>
        </w:rPr>
      </w:pPr>
      <w:r w:rsidRPr="004466B0">
        <w:rPr>
          <w:b/>
          <w:color w:val="000000" w:themeColor="text1"/>
          <w:sz w:val="22"/>
          <w:szCs w:val="22"/>
        </w:rPr>
        <w:t>Lõikes</w:t>
      </w:r>
      <w:r w:rsidR="00450087" w:rsidRPr="004466B0">
        <w:rPr>
          <w:b/>
          <w:color w:val="000000" w:themeColor="text1"/>
          <w:sz w:val="22"/>
          <w:szCs w:val="22"/>
        </w:rPr>
        <w:t xml:space="preserve"> 1</w:t>
      </w:r>
      <w:r w:rsidR="00450087" w:rsidRPr="004466B0">
        <w:rPr>
          <w:color w:val="000000" w:themeColor="text1"/>
          <w:sz w:val="22"/>
          <w:szCs w:val="22"/>
        </w:rPr>
        <w:t xml:space="preserve"> </w:t>
      </w:r>
      <w:r w:rsidR="00B618B6" w:rsidRPr="004466B0">
        <w:rPr>
          <w:color w:val="000000" w:themeColor="text1"/>
          <w:sz w:val="22"/>
          <w:szCs w:val="22"/>
        </w:rPr>
        <w:t>on sätestatud avalikkuse mõiste. Käesoleva seaduse tähenduses mõistetakse avalikkust kui eelnevalt kindlaksmääramata isikute ringi. Väärtpaberite esmapakkumisel on täht</w:t>
      </w:r>
      <w:r w:rsidR="00E25B9D" w:rsidRPr="004466B0">
        <w:rPr>
          <w:color w:val="000000" w:themeColor="text1"/>
          <w:sz w:val="22"/>
          <w:szCs w:val="22"/>
        </w:rPr>
        <w:t>is hinnata</w:t>
      </w:r>
      <w:r w:rsidR="00B618B6" w:rsidRPr="004466B0">
        <w:rPr>
          <w:color w:val="000000" w:themeColor="text1"/>
          <w:sz w:val="22"/>
          <w:szCs w:val="22"/>
        </w:rPr>
        <w:t xml:space="preserve">, kas tegemist on avaliku pakkumisega, </w:t>
      </w:r>
      <w:r w:rsidR="004C0201" w:rsidRPr="004466B0">
        <w:rPr>
          <w:color w:val="000000" w:themeColor="text1"/>
          <w:sz w:val="22"/>
          <w:szCs w:val="22"/>
        </w:rPr>
        <w:t xml:space="preserve">kuivõrd väärtpaberite avaliku pakkumise määratlusest </w:t>
      </w:r>
      <w:r w:rsidR="00B618B6" w:rsidRPr="004466B0">
        <w:rPr>
          <w:color w:val="000000" w:themeColor="text1"/>
          <w:sz w:val="22"/>
          <w:szCs w:val="22"/>
        </w:rPr>
        <w:t xml:space="preserve">tulenevad emitendile teabedokumendi avalikustamise ja registreerimise kohustused. </w:t>
      </w:r>
      <w:r w:rsidR="002C64B8">
        <w:rPr>
          <w:sz w:val="22"/>
          <w:szCs w:val="22"/>
        </w:rPr>
        <w:t>E</w:t>
      </w:r>
      <w:r w:rsidR="00E25B9D" w:rsidRPr="004466B0">
        <w:rPr>
          <w:sz w:val="22"/>
          <w:szCs w:val="22"/>
        </w:rPr>
        <w:t xml:space="preserve">elnõus mõistetakse avalikkust </w:t>
      </w:r>
      <w:r w:rsidR="005A158F" w:rsidRPr="004466B0">
        <w:rPr>
          <w:sz w:val="22"/>
          <w:szCs w:val="22"/>
        </w:rPr>
        <w:t xml:space="preserve">lähtuvalt </w:t>
      </w:r>
      <w:proofErr w:type="spellStart"/>
      <w:r w:rsidR="00D404AC">
        <w:rPr>
          <w:sz w:val="22"/>
          <w:szCs w:val="22"/>
        </w:rPr>
        <w:t>KAS-is</w:t>
      </w:r>
      <w:proofErr w:type="spellEnd"/>
      <w:r w:rsidR="005A158F" w:rsidRPr="004466B0">
        <w:rPr>
          <w:sz w:val="22"/>
          <w:szCs w:val="22"/>
        </w:rPr>
        <w:t xml:space="preserve"> kasutatud määratlusest ning </w:t>
      </w:r>
      <w:r w:rsidR="00E25B9D" w:rsidRPr="004466B0">
        <w:rPr>
          <w:sz w:val="22"/>
          <w:szCs w:val="22"/>
        </w:rPr>
        <w:t xml:space="preserve">laiemalt võrreldes </w:t>
      </w:r>
      <w:r w:rsidR="00D404AC">
        <w:rPr>
          <w:sz w:val="22"/>
          <w:szCs w:val="22"/>
        </w:rPr>
        <w:t>VPTS-iga</w:t>
      </w:r>
      <w:r w:rsidR="00E25B9D" w:rsidRPr="004466B0">
        <w:rPr>
          <w:sz w:val="22"/>
          <w:szCs w:val="22"/>
        </w:rPr>
        <w:t>, st iga investeerimis</w:t>
      </w:r>
      <w:r w:rsidR="00DA04DA">
        <w:rPr>
          <w:sz w:val="22"/>
          <w:szCs w:val="22"/>
        </w:rPr>
        <w:t>projekti</w:t>
      </w:r>
      <w:r w:rsidR="00E25B9D" w:rsidRPr="004466B0">
        <w:rPr>
          <w:sz w:val="22"/>
          <w:szCs w:val="22"/>
        </w:rPr>
        <w:t xml:space="preserve"> pakkumi</w:t>
      </w:r>
      <w:r w:rsidR="002C64B8">
        <w:rPr>
          <w:sz w:val="22"/>
          <w:szCs w:val="22"/>
        </w:rPr>
        <w:t>st</w:t>
      </w:r>
      <w:r w:rsidR="00E25B9D" w:rsidRPr="004466B0">
        <w:rPr>
          <w:sz w:val="22"/>
          <w:szCs w:val="22"/>
        </w:rPr>
        <w:t xml:space="preserve">, mis on suunatud kindlaksmääramata isikute ringile, näiteks tehes </w:t>
      </w:r>
      <w:r w:rsidR="005E598E" w:rsidRPr="004466B0">
        <w:rPr>
          <w:sz w:val="22"/>
          <w:szCs w:val="22"/>
        </w:rPr>
        <w:t>rahastuse taotleja</w:t>
      </w:r>
      <w:r w:rsidR="00E25B9D" w:rsidRPr="004466B0">
        <w:rPr>
          <w:sz w:val="22"/>
          <w:szCs w:val="22"/>
        </w:rPr>
        <w:t xml:space="preserve"> või teenuseosutaja veebilehel kättesaadavaks teabe pakkumise kohta, tuleks käsitleda käesoleva seaduse tähenduses avaliku pakkumisena. </w:t>
      </w:r>
      <w:r w:rsidR="00E25B9D" w:rsidRPr="004466B0">
        <w:rPr>
          <w:color w:val="000000" w:themeColor="text1"/>
          <w:sz w:val="22"/>
          <w:szCs w:val="22"/>
        </w:rPr>
        <w:t xml:space="preserve">Määratlus hõlmab ka selliseid pakkumisi, </w:t>
      </w:r>
      <w:r w:rsidR="00994C0B" w:rsidRPr="004466B0">
        <w:rPr>
          <w:color w:val="000000" w:themeColor="text1"/>
          <w:sz w:val="22"/>
          <w:szCs w:val="22"/>
        </w:rPr>
        <w:t>kui investeerimis</w:t>
      </w:r>
      <w:r w:rsidR="00DA04DA">
        <w:rPr>
          <w:color w:val="000000" w:themeColor="text1"/>
          <w:sz w:val="22"/>
          <w:szCs w:val="22"/>
        </w:rPr>
        <w:t>projekti</w:t>
      </w:r>
      <w:r w:rsidR="00994C0B" w:rsidRPr="004466B0">
        <w:rPr>
          <w:color w:val="000000" w:themeColor="text1"/>
          <w:sz w:val="22"/>
          <w:szCs w:val="22"/>
        </w:rPr>
        <w:t xml:space="preserve"> kohta avaldatav</w:t>
      </w:r>
      <w:r w:rsidR="00E25B9D" w:rsidRPr="004466B0">
        <w:rPr>
          <w:color w:val="000000" w:themeColor="text1"/>
          <w:sz w:val="22"/>
          <w:szCs w:val="22"/>
        </w:rPr>
        <w:t xml:space="preserve"> teave edastatakse kindlaksmääramata isikutele näiteks juhuvalimi, sh teadmata </w:t>
      </w:r>
      <w:r w:rsidR="00994C0B" w:rsidRPr="004466B0">
        <w:rPr>
          <w:color w:val="000000" w:themeColor="text1"/>
          <w:sz w:val="22"/>
          <w:szCs w:val="22"/>
        </w:rPr>
        <w:t xml:space="preserve">isikutele või tundmatutele </w:t>
      </w:r>
      <w:r w:rsidR="00E25B9D" w:rsidRPr="004466B0">
        <w:rPr>
          <w:color w:val="000000" w:themeColor="text1"/>
          <w:sz w:val="22"/>
          <w:szCs w:val="22"/>
        </w:rPr>
        <w:t>telefoninumbritele helistamise, või teenuseosutaja veebilehel</w:t>
      </w:r>
      <w:r w:rsidR="00994C0B" w:rsidRPr="004466B0">
        <w:rPr>
          <w:color w:val="000000" w:themeColor="text1"/>
          <w:sz w:val="22"/>
          <w:szCs w:val="22"/>
        </w:rPr>
        <w:t xml:space="preserve"> teabe avalikustamise </w:t>
      </w:r>
      <w:r w:rsidR="004C0E9B">
        <w:rPr>
          <w:color w:val="000000" w:themeColor="text1"/>
          <w:sz w:val="22"/>
          <w:szCs w:val="22"/>
        </w:rPr>
        <w:t>teel</w:t>
      </w:r>
      <w:r w:rsidR="00E25B9D" w:rsidRPr="004466B0">
        <w:rPr>
          <w:color w:val="000000" w:themeColor="text1"/>
          <w:sz w:val="22"/>
          <w:szCs w:val="22"/>
        </w:rPr>
        <w:t>, isegi kui pakkumise kohta teabe</w:t>
      </w:r>
      <w:r w:rsidR="002C64B8">
        <w:rPr>
          <w:color w:val="000000" w:themeColor="text1"/>
          <w:sz w:val="22"/>
          <w:szCs w:val="22"/>
        </w:rPr>
        <w:t>le</w:t>
      </w:r>
      <w:r w:rsidR="00E25B9D" w:rsidRPr="004466B0">
        <w:rPr>
          <w:color w:val="000000" w:themeColor="text1"/>
          <w:sz w:val="22"/>
          <w:szCs w:val="22"/>
        </w:rPr>
        <w:t xml:space="preserve"> ligipääsemiseks on vajalik esmalt luua konto ning teostada isikusamasuse tuvastamine</w:t>
      </w:r>
      <w:r w:rsidR="00994C0B" w:rsidRPr="004466B0">
        <w:rPr>
          <w:color w:val="000000" w:themeColor="text1"/>
          <w:sz w:val="22"/>
          <w:szCs w:val="22"/>
        </w:rPr>
        <w:t xml:space="preserve"> või muud rahapesu ning terrorismi rahastamise tõkestamise hoolsusmeetmed</w:t>
      </w:r>
      <w:r w:rsidR="00E25B9D" w:rsidRPr="004466B0">
        <w:rPr>
          <w:color w:val="000000" w:themeColor="text1"/>
          <w:sz w:val="22"/>
          <w:szCs w:val="22"/>
        </w:rPr>
        <w:t>.</w:t>
      </w:r>
      <w:r w:rsidR="003B0369" w:rsidRPr="004466B0">
        <w:rPr>
          <w:color w:val="000000" w:themeColor="text1"/>
          <w:sz w:val="22"/>
          <w:szCs w:val="22"/>
        </w:rPr>
        <w:t xml:space="preserve"> </w:t>
      </w:r>
      <w:r w:rsidR="00994C0B" w:rsidRPr="004466B0">
        <w:rPr>
          <w:color w:val="000000" w:themeColor="text1"/>
          <w:sz w:val="22"/>
          <w:szCs w:val="22"/>
        </w:rPr>
        <w:t xml:space="preserve">Avalikkuse </w:t>
      </w:r>
      <w:r w:rsidR="0008625C" w:rsidRPr="004466B0">
        <w:rPr>
          <w:color w:val="000000" w:themeColor="text1"/>
          <w:sz w:val="22"/>
          <w:szCs w:val="22"/>
        </w:rPr>
        <w:t xml:space="preserve">all on mõeldud </w:t>
      </w:r>
      <w:r w:rsidR="00994C0B" w:rsidRPr="004466B0">
        <w:rPr>
          <w:color w:val="000000" w:themeColor="text1"/>
          <w:sz w:val="22"/>
          <w:szCs w:val="22"/>
        </w:rPr>
        <w:t>ka „registreeri huvi“ kontsepti</w:t>
      </w:r>
      <w:r w:rsidR="0008625C" w:rsidRPr="004466B0">
        <w:rPr>
          <w:color w:val="000000" w:themeColor="text1"/>
          <w:sz w:val="22"/>
          <w:szCs w:val="22"/>
        </w:rPr>
        <w:t xml:space="preserve">, kus esialgu ei edastata </w:t>
      </w:r>
      <w:r w:rsidR="00DA04DA">
        <w:rPr>
          <w:color w:val="000000" w:themeColor="text1"/>
          <w:sz w:val="22"/>
          <w:szCs w:val="22"/>
        </w:rPr>
        <w:t>kliendile</w:t>
      </w:r>
      <w:r w:rsidR="00DA04DA" w:rsidRPr="004466B0">
        <w:rPr>
          <w:color w:val="000000" w:themeColor="text1"/>
          <w:sz w:val="22"/>
          <w:szCs w:val="22"/>
        </w:rPr>
        <w:t xml:space="preserve"> </w:t>
      </w:r>
      <w:r w:rsidR="0008625C" w:rsidRPr="004466B0">
        <w:rPr>
          <w:color w:val="000000" w:themeColor="text1"/>
          <w:sz w:val="22"/>
          <w:szCs w:val="22"/>
        </w:rPr>
        <w:t xml:space="preserve">teabedokumenti või üldse terviklikku teavet pakkumise kohta, vaid kogutakse </w:t>
      </w:r>
      <w:r w:rsidR="00DA04DA">
        <w:rPr>
          <w:color w:val="000000" w:themeColor="text1"/>
          <w:sz w:val="22"/>
          <w:szCs w:val="22"/>
        </w:rPr>
        <w:t>klientide</w:t>
      </w:r>
      <w:r w:rsidR="0008625C" w:rsidRPr="004466B0">
        <w:rPr>
          <w:color w:val="000000" w:themeColor="text1"/>
          <w:sz w:val="22"/>
          <w:szCs w:val="22"/>
        </w:rPr>
        <w:t xml:space="preserve"> andmeid ning </w:t>
      </w:r>
      <w:r w:rsidR="0029208A">
        <w:rPr>
          <w:color w:val="000000" w:themeColor="text1"/>
          <w:sz w:val="22"/>
          <w:szCs w:val="22"/>
        </w:rPr>
        <w:t xml:space="preserve">juhul, kui </w:t>
      </w:r>
      <w:r w:rsidR="0008625C" w:rsidRPr="004466B0">
        <w:rPr>
          <w:color w:val="000000" w:themeColor="text1"/>
          <w:sz w:val="22"/>
          <w:szCs w:val="22"/>
        </w:rPr>
        <w:t>hiljem pakutakse investeerimis</w:t>
      </w:r>
      <w:r w:rsidR="00DA04DA">
        <w:rPr>
          <w:color w:val="000000" w:themeColor="text1"/>
          <w:sz w:val="22"/>
          <w:szCs w:val="22"/>
        </w:rPr>
        <w:t>projekti</w:t>
      </w:r>
      <w:r w:rsidR="0008625C" w:rsidRPr="004466B0">
        <w:rPr>
          <w:color w:val="000000" w:themeColor="text1"/>
          <w:sz w:val="22"/>
          <w:szCs w:val="22"/>
        </w:rPr>
        <w:t xml:space="preserve"> piiratud hulgal </w:t>
      </w:r>
      <w:r w:rsidR="00DA04DA">
        <w:rPr>
          <w:color w:val="000000" w:themeColor="text1"/>
          <w:sz w:val="22"/>
          <w:szCs w:val="22"/>
        </w:rPr>
        <w:t>klientidele</w:t>
      </w:r>
      <w:r w:rsidR="0008625C" w:rsidRPr="004466B0">
        <w:rPr>
          <w:color w:val="000000" w:themeColor="text1"/>
          <w:sz w:val="22"/>
          <w:szCs w:val="22"/>
        </w:rPr>
        <w:t>.</w:t>
      </w:r>
      <w:r w:rsidR="00994C0B" w:rsidRPr="004466B0">
        <w:rPr>
          <w:color w:val="000000" w:themeColor="text1"/>
          <w:sz w:val="22"/>
          <w:szCs w:val="22"/>
        </w:rPr>
        <w:t xml:space="preserve"> </w:t>
      </w:r>
      <w:r w:rsidR="003B0369" w:rsidRPr="004466B0">
        <w:rPr>
          <w:color w:val="000000" w:themeColor="text1"/>
          <w:sz w:val="22"/>
          <w:szCs w:val="22"/>
        </w:rPr>
        <w:t xml:space="preserve">Seevastu </w:t>
      </w:r>
      <w:r w:rsidR="003B0369" w:rsidRPr="004466B0">
        <w:rPr>
          <w:sz w:val="22"/>
          <w:szCs w:val="22"/>
        </w:rPr>
        <w:t>konkreetsetele ning eelnevalt kindlaksmäära</w:t>
      </w:r>
      <w:r w:rsidR="00994C0B" w:rsidRPr="004466B0">
        <w:rPr>
          <w:sz w:val="22"/>
          <w:szCs w:val="22"/>
        </w:rPr>
        <w:t>tud</w:t>
      </w:r>
      <w:r w:rsidR="003B0369" w:rsidRPr="004466B0">
        <w:rPr>
          <w:sz w:val="22"/>
          <w:szCs w:val="22"/>
        </w:rPr>
        <w:t xml:space="preserve"> isikutele</w:t>
      </w:r>
      <w:r w:rsidR="001C6777" w:rsidRPr="004466B0">
        <w:rPr>
          <w:sz w:val="22"/>
          <w:szCs w:val="22"/>
        </w:rPr>
        <w:t xml:space="preserve">, muuhulgas </w:t>
      </w:r>
      <w:r w:rsidR="005E598E" w:rsidRPr="004466B0">
        <w:rPr>
          <w:sz w:val="22"/>
          <w:szCs w:val="22"/>
        </w:rPr>
        <w:t>rahastuse taotleja</w:t>
      </w:r>
      <w:r w:rsidR="001C6777" w:rsidRPr="004466B0">
        <w:rPr>
          <w:sz w:val="22"/>
          <w:szCs w:val="22"/>
        </w:rPr>
        <w:t xml:space="preserve"> juhtorganite ja osalust omavate</w:t>
      </w:r>
      <w:r w:rsidR="002C64B8">
        <w:rPr>
          <w:sz w:val="22"/>
          <w:szCs w:val="22"/>
        </w:rPr>
        <w:t>le</w:t>
      </w:r>
      <w:r w:rsidR="001C6777" w:rsidRPr="004466B0">
        <w:rPr>
          <w:sz w:val="22"/>
          <w:szCs w:val="22"/>
        </w:rPr>
        <w:t xml:space="preserve"> isikutele</w:t>
      </w:r>
      <w:r w:rsidR="003B0369" w:rsidRPr="004466B0">
        <w:rPr>
          <w:sz w:val="22"/>
          <w:szCs w:val="22"/>
        </w:rPr>
        <w:t xml:space="preserve"> suunatud </w:t>
      </w:r>
      <w:r w:rsidR="003B0369" w:rsidRPr="004466B0">
        <w:rPr>
          <w:color w:val="000000" w:themeColor="text1"/>
          <w:sz w:val="22"/>
          <w:szCs w:val="22"/>
        </w:rPr>
        <w:t>pakkumi</w:t>
      </w:r>
      <w:r w:rsidR="001C6777" w:rsidRPr="004466B0">
        <w:rPr>
          <w:color w:val="000000" w:themeColor="text1"/>
          <w:sz w:val="22"/>
          <w:szCs w:val="22"/>
        </w:rPr>
        <w:t>st</w:t>
      </w:r>
      <w:r w:rsidR="0008625C" w:rsidRPr="004466B0">
        <w:rPr>
          <w:color w:val="000000" w:themeColor="text1"/>
          <w:sz w:val="22"/>
          <w:szCs w:val="22"/>
        </w:rPr>
        <w:t>,</w:t>
      </w:r>
      <w:r w:rsidR="003B0369" w:rsidRPr="004466B0">
        <w:rPr>
          <w:color w:val="000000" w:themeColor="text1"/>
          <w:sz w:val="22"/>
          <w:szCs w:val="22"/>
        </w:rPr>
        <w:t xml:space="preserve"> ei käsit</w:t>
      </w:r>
      <w:r w:rsidR="002C64B8">
        <w:rPr>
          <w:color w:val="000000" w:themeColor="text1"/>
          <w:sz w:val="22"/>
          <w:szCs w:val="22"/>
        </w:rPr>
        <w:t>a</w:t>
      </w:r>
      <w:r w:rsidR="003B0369" w:rsidRPr="004466B0">
        <w:rPr>
          <w:color w:val="000000" w:themeColor="text1"/>
          <w:sz w:val="22"/>
          <w:szCs w:val="22"/>
        </w:rPr>
        <w:t xml:space="preserve">ta avaliku pakkumisena. </w:t>
      </w:r>
    </w:p>
    <w:p w14:paraId="676FE27D" w14:textId="77777777" w:rsidR="009950C0" w:rsidRPr="003A4690" w:rsidRDefault="009950C0" w:rsidP="00D375E5">
      <w:pPr>
        <w:spacing w:before="0"/>
        <w:rPr>
          <w:color w:val="000000" w:themeColor="text1"/>
          <w:sz w:val="22"/>
          <w:szCs w:val="22"/>
        </w:rPr>
      </w:pPr>
    </w:p>
    <w:p w14:paraId="5C9DC39C" w14:textId="4F079532" w:rsidR="00F327B5" w:rsidRPr="004466B0" w:rsidRDefault="00F327B5" w:rsidP="00D375E5">
      <w:pPr>
        <w:rPr>
          <w:sz w:val="22"/>
          <w:szCs w:val="22"/>
        </w:rPr>
      </w:pPr>
      <w:r w:rsidRPr="00E15E73">
        <w:rPr>
          <w:color w:val="000000" w:themeColor="text1"/>
          <w:sz w:val="22"/>
          <w:szCs w:val="22"/>
        </w:rPr>
        <w:t>Finantsvahendusplatvorm (</w:t>
      </w:r>
      <w:r w:rsidR="00D5609F" w:rsidRPr="00C102E2">
        <w:rPr>
          <w:b/>
          <w:color w:val="000000" w:themeColor="text1"/>
          <w:sz w:val="22"/>
          <w:szCs w:val="22"/>
        </w:rPr>
        <w:t>lõige</w:t>
      </w:r>
      <w:r w:rsidRPr="004466B0">
        <w:rPr>
          <w:b/>
          <w:color w:val="000000" w:themeColor="text1"/>
          <w:sz w:val="22"/>
          <w:szCs w:val="22"/>
        </w:rPr>
        <w:t xml:space="preserve"> </w:t>
      </w:r>
      <w:r w:rsidR="00ED38B8">
        <w:rPr>
          <w:b/>
          <w:color w:val="000000" w:themeColor="text1"/>
          <w:sz w:val="22"/>
          <w:szCs w:val="22"/>
        </w:rPr>
        <w:t>2</w:t>
      </w:r>
      <w:r w:rsidRPr="004466B0">
        <w:rPr>
          <w:color w:val="000000" w:themeColor="text1"/>
          <w:sz w:val="22"/>
          <w:szCs w:val="22"/>
        </w:rPr>
        <w:t xml:space="preserve">) on </w:t>
      </w:r>
      <w:r w:rsidRPr="004466B0">
        <w:rPr>
          <w:sz w:val="22"/>
          <w:szCs w:val="22"/>
        </w:rPr>
        <w:t>tehniline lahendus või tehniliste lahenduste süsteem, mis võimaldab investeerimis</w:t>
      </w:r>
      <w:r w:rsidR="00ED38B8">
        <w:rPr>
          <w:sz w:val="22"/>
          <w:szCs w:val="22"/>
        </w:rPr>
        <w:t>projektides olevaid osalusi, nõudeid või muud vastavat vara</w:t>
      </w:r>
      <w:r w:rsidRPr="004466B0">
        <w:rPr>
          <w:sz w:val="22"/>
          <w:szCs w:val="22"/>
        </w:rPr>
        <w:t xml:space="preserve"> pidevalt ja korrapäraselt omandada. </w:t>
      </w:r>
      <w:r w:rsidR="00ED38B8">
        <w:rPr>
          <w:sz w:val="22"/>
          <w:szCs w:val="22"/>
        </w:rPr>
        <w:t xml:space="preserve">Mõiste hõlmab ka </w:t>
      </w:r>
      <w:proofErr w:type="spellStart"/>
      <w:r w:rsidR="00ED38B8">
        <w:rPr>
          <w:sz w:val="22"/>
          <w:szCs w:val="22"/>
        </w:rPr>
        <w:t>krüptovaraga</w:t>
      </w:r>
      <w:proofErr w:type="spellEnd"/>
      <w:r w:rsidR="00ED38B8">
        <w:rPr>
          <w:sz w:val="22"/>
          <w:szCs w:val="22"/>
        </w:rPr>
        <w:t xml:space="preserve"> seotud kauplemise platvormi, mis on </w:t>
      </w:r>
      <w:r w:rsidR="005E5858">
        <w:rPr>
          <w:sz w:val="22"/>
          <w:szCs w:val="22"/>
        </w:rPr>
        <w:t xml:space="preserve">käesoleva eelnõu tähenduses </w:t>
      </w:r>
      <w:r w:rsidR="00ED38B8">
        <w:rPr>
          <w:sz w:val="22"/>
          <w:szCs w:val="22"/>
        </w:rPr>
        <w:t>finantsvahendusplatvormi alaliik. F</w:t>
      </w:r>
      <w:r w:rsidRPr="004466B0">
        <w:rPr>
          <w:sz w:val="22"/>
          <w:szCs w:val="22"/>
        </w:rPr>
        <w:t xml:space="preserve">inantsvahendusplatvorm </w:t>
      </w:r>
      <w:r w:rsidR="00ED38B8">
        <w:rPr>
          <w:sz w:val="22"/>
          <w:szCs w:val="22"/>
        </w:rPr>
        <w:t xml:space="preserve">on </w:t>
      </w:r>
      <w:r w:rsidRPr="004466B0">
        <w:rPr>
          <w:sz w:val="22"/>
          <w:szCs w:val="22"/>
        </w:rPr>
        <w:t>selline tehniline lahendus, mille</w:t>
      </w:r>
      <w:r w:rsidR="00851B91">
        <w:rPr>
          <w:sz w:val="22"/>
          <w:szCs w:val="22"/>
        </w:rPr>
        <w:t xml:space="preserve"> kaudu</w:t>
      </w:r>
      <w:r w:rsidRPr="004466B0">
        <w:rPr>
          <w:sz w:val="22"/>
          <w:szCs w:val="22"/>
        </w:rPr>
        <w:t xml:space="preserve"> osutatakse </w:t>
      </w:r>
      <w:r w:rsidR="00851B91">
        <w:rPr>
          <w:sz w:val="22"/>
          <w:szCs w:val="22"/>
        </w:rPr>
        <w:t>eelnõu § 1 lõike 1 punktis 1, 2 või 4</w:t>
      </w:r>
      <w:r w:rsidRPr="004466B0">
        <w:rPr>
          <w:sz w:val="22"/>
          <w:szCs w:val="22"/>
        </w:rPr>
        <w:t xml:space="preserve"> </w:t>
      </w:r>
      <w:r w:rsidR="00851B91">
        <w:rPr>
          <w:sz w:val="22"/>
          <w:szCs w:val="22"/>
        </w:rPr>
        <w:t xml:space="preserve">nimetatud </w:t>
      </w:r>
      <w:r w:rsidRPr="004466B0">
        <w:rPr>
          <w:sz w:val="22"/>
          <w:szCs w:val="22"/>
        </w:rPr>
        <w:t>teenust, kusjuures finantsvahendusplatvormi määratluse alla lähevad kõik platvormid, millel on võimalik osaleda ja korraldada</w:t>
      </w:r>
      <w:r w:rsidR="00527EFB">
        <w:rPr>
          <w:sz w:val="22"/>
          <w:szCs w:val="22"/>
        </w:rPr>
        <w:t xml:space="preserve"> </w:t>
      </w:r>
      <w:r w:rsidR="00ED38B8">
        <w:rPr>
          <w:sz w:val="22"/>
          <w:szCs w:val="22"/>
        </w:rPr>
        <w:t>investeerimisprojektide</w:t>
      </w:r>
      <w:r w:rsidRPr="004466B0">
        <w:rPr>
          <w:sz w:val="22"/>
          <w:szCs w:val="22"/>
        </w:rPr>
        <w:t xml:space="preserve"> esmapakkumisi kui ka teha nimetatud instrumentidega </w:t>
      </w:r>
      <w:r w:rsidRPr="004466B0">
        <w:rPr>
          <w:sz w:val="22"/>
          <w:szCs w:val="22"/>
        </w:rPr>
        <w:lastRenderedPageBreak/>
        <w:t>tehinguid (sealhulgas edastada korraldusi teenuseosutajale tehingute tegemiseks) pärast esmapakkumist (st järelturul).</w:t>
      </w:r>
    </w:p>
    <w:p w14:paraId="62DE99F8" w14:textId="77777777" w:rsidR="00A01936" w:rsidRPr="004466B0" w:rsidRDefault="00A01936" w:rsidP="00D375E5">
      <w:pPr>
        <w:spacing w:before="0"/>
        <w:rPr>
          <w:sz w:val="22"/>
          <w:szCs w:val="22"/>
        </w:rPr>
      </w:pPr>
    </w:p>
    <w:p w14:paraId="30FFF26E" w14:textId="2215CCFD" w:rsidR="00C930A7" w:rsidRPr="004466B0" w:rsidRDefault="00111678" w:rsidP="00D375E5">
      <w:pPr>
        <w:spacing w:before="0"/>
        <w:rPr>
          <w:sz w:val="22"/>
          <w:szCs w:val="22"/>
        </w:rPr>
      </w:pPr>
      <w:r w:rsidRPr="004466B0">
        <w:rPr>
          <w:sz w:val="22"/>
          <w:szCs w:val="22"/>
        </w:rPr>
        <w:t>Investeerimisprojekt (</w:t>
      </w:r>
      <w:r w:rsidR="00D5609F" w:rsidRPr="004466B0">
        <w:rPr>
          <w:b/>
          <w:sz w:val="22"/>
          <w:szCs w:val="22"/>
        </w:rPr>
        <w:t>lõige</w:t>
      </w:r>
      <w:r w:rsidRPr="004466B0">
        <w:rPr>
          <w:b/>
          <w:sz w:val="22"/>
          <w:szCs w:val="22"/>
        </w:rPr>
        <w:t xml:space="preserve"> </w:t>
      </w:r>
      <w:r w:rsidR="00003696">
        <w:rPr>
          <w:b/>
          <w:sz w:val="22"/>
          <w:szCs w:val="22"/>
        </w:rPr>
        <w:t>3</w:t>
      </w:r>
      <w:r w:rsidRPr="004466B0">
        <w:rPr>
          <w:sz w:val="22"/>
          <w:szCs w:val="22"/>
        </w:rPr>
        <w:t>)</w:t>
      </w:r>
      <w:r w:rsidR="00136CB6" w:rsidRPr="004466B0">
        <w:rPr>
          <w:sz w:val="22"/>
          <w:szCs w:val="22"/>
        </w:rPr>
        <w:t xml:space="preserve"> </w:t>
      </w:r>
      <w:r w:rsidR="00954785" w:rsidRPr="004466B0">
        <w:rPr>
          <w:sz w:val="22"/>
          <w:szCs w:val="22"/>
        </w:rPr>
        <w:t>on rahastuse taotleja tegevus</w:t>
      </w:r>
      <w:r w:rsidR="00F327B5" w:rsidRPr="004466B0">
        <w:rPr>
          <w:sz w:val="22"/>
          <w:szCs w:val="22"/>
        </w:rPr>
        <w:t>te kavand või kirjeldus</w:t>
      </w:r>
      <w:r w:rsidR="00C936DE">
        <w:rPr>
          <w:sz w:val="22"/>
          <w:szCs w:val="22"/>
        </w:rPr>
        <w:t xml:space="preserve">, mida rahastuse taotleja soovib rahastada </w:t>
      </w:r>
      <w:r w:rsidR="00ED38B8">
        <w:rPr>
          <w:sz w:val="22"/>
          <w:szCs w:val="22"/>
        </w:rPr>
        <w:t>vastava vara</w:t>
      </w:r>
      <w:r w:rsidR="00C936DE">
        <w:rPr>
          <w:sz w:val="22"/>
          <w:szCs w:val="22"/>
        </w:rPr>
        <w:t xml:space="preserve"> pakkumise kaudu</w:t>
      </w:r>
      <w:r w:rsidR="00F327B5" w:rsidRPr="004466B0">
        <w:rPr>
          <w:sz w:val="22"/>
          <w:szCs w:val="22"/>
        </w:rPr>
        <w:t>.</w:t>
      </w:r>
      <w:r w:rsidR="00954785" w:rsidRPr="004466B0">
        <w:rPr>
          <w:sz w:val="22"/>
          <w:szCs w:val="22"/>
        </w:rPr>
        <w:t xml:space="preserve"> </w:t>
      </w:r>
      <w:r w:rsidR="00F327B5" w:rsidRPr="004466B0">
        <w:rPr>
          <w:sz w:val="22"/>
          <w:szCs w:val="22"/>
        </w:rPr>
        <w:t xml:space="preserve">Teisisõnu on tegemist rahastuse taotleja </w:t>
      </w:r>
      <w:r w:rsidR="00954785" w:rsidRPr="004466B0">
        <w:rPr>
          <w:sz w:val="22"/>
          <w:szCs w:val="22"/>
        </w:rPr>
        <w:t>äritegevus</w:t>
      </w:r>
      <w:r w:rsidR="00F327B5" w:rsidRPr="004466B0">
        <w:rPr>
          <w:sz w:val="22"/>
          <w:szCs w:val="22"/>
        </w:rPr>
        <w:t>e kirjeldusega</w:t>
      </w:r>
      <w:r w:rsidR="00954785" w:rsidRPr="004466B0">
        <w:rPr>
          <w:sz w:val="22"/>
          <w:szCs w:val="22"/>
        </w:rPr>
        <w:t>, millele finantseerimist</w:t>
      </w:r>
      <w:r w:rsidR="00F327B5" w:rsidRPr="004466B0">
        <w:rPr>
          <w:sz w:val="22"/>
          <w:szCs w:val="22"/>
        </w:rPr>
        <w:t xml:space="preserve"> otsitakse</w:t>
      </w:r>
      <w:r w:rsidR="00ED38B8">
        <w:rPr>
          <w:sz w:val="22"/>
          <w:szCs w:val="22"/>
        </w:rPr>
        <w:t xml:space="preserve">, pakkudes kliendile vastutasuks </w:t>
      </w:r>
      <w:proofErr w:type="spellStart"/>
      <w:r w:rsidR="00ED38B8">
        <w:rPr>
          <w:sz w:val="22"/>
          <w:szCs w:val="22"/>
        </w:rPr>
        <w:t>ühisrahastusprojekti</w:t>
      </w:r>
      <w:proofErr w:type="spellEnd"/>
      <w:r w:rsidR="00ED38B8">
        <w:rPr>
          <w:sz w:val="22"/>
          <w:szCs w:val="22"/>
        </w:rPr>
        <w:t xml:space="preserve"> või </w:t>
      </w:r>
      <w:proofErr w:type="spellStart"/>
      <w:r w:rsidR="00ED38B8">
        <w:rPr>
          <w:sz w:val="22"/>
          <w:szCs w:val="22"/>
        </w:rPr>
        <w:t>krüptovara</w:t>
      </w:r>
      <w:proofErr w:type="spellEnd"/>
      <w:r w:rsidR="00954785" w:rsidRPr="004466B0">
        <w:rPr>
          <w:sz w:val="22"/>
          <w:szCs w:val="22"/>
        </w:rPr>
        <w:t xml:space="preserve">. Investeerimisprojekti </w:t>
      </w:r>
      <w:r w:rsidR="00136CB6" w:rsidRPr="004466B0">
        <w:rPr>
          <w:sz w:val="22"/>
          <w:szCs w:val="22"/>
        </w:rPr>
        <w:t>mõiste on o</w:t>
      </w:r>
      <w:r w:rsidR="00C930A7" w:rsidRPr="004466B0">
        <w:rPr>
          <w:sz w:val="22"/>
          <w:szCs w:val="22"/>
        </w:rPr>
        <w:t xml:space="preserve">saliselt </w:t>
      </w:r>
      <w:r w:rsidR="004E1842" w:rsidRPr="004466B0">
        <w:rPr>
          <w:sz w:val="22"/>
          <w:szCs w:val="22"/>
        </w:rPr>
        <w:t xml:space="preserve">EL </w:t>
      </w:r>
      <w:proofErr w:type="spellStart"/>
      <w:r w:rsidR="00C930A7" w:rsidRPr="004466B0">
        <w:rPr>
          <w:sz w:val="22"/>
          <w:szCs w:val="22"/>
        </w:rPr>
        <w:t>ühisrahastusmääruse</w:t>
      </w:r>
      <w:proofErr w:type="spellEnd"/>
      <w:r w:rsidR="00C930A7" w:rsidRPr="004466B0">
        <w:rPr>
          <w:sz w:val="22"/>
          <w:szCs w:val="22"/>
        </w:rPr>
        <w:t xml:space="preserve"> artikli 2 </w:t>
      </w:r>
      <w:r w:rsidR="004E1842" w:rsidRPr="004466B0">
        <w:rPr>
          <w:sz w:val="22"/>
          <w:szCs w:val="22"/>
        </w:rPr>
        <w:t xml:space="preserve">lõike 1 </w:t>
      </w:r>
      <w:r w:rsidR="00C930A7" w:rsidRPr="004466B0">
        <w:rPr>
          <w:sz w:val="22"/>
          <w:szCs w:val="22"/>
        </w:rPr>
        <w:t xml:space="preserve">punktist </w:t>
      </w:r>
      <w:r w:rsidR="004E1842" w:rsidRPr="004466B0">
        <w:rPr>
          <w:sz w:val="22"/>
          <w:szCs w:val="22"/>
        </w:rPr>
        <w:t>l</w:t>
      </w:r>
      <w:r w:rsidR="004E1842" w:rsidRPr="006626EA">
        <w:rPr>
          <w:sz w:val="22"/>
          <w:szCs w:val="22"/>
        </w:rPr>
        <w:t xml:space="preserve"> </w:t>
      </w:r>
      <w:r w:rsidR="00C930A7" w:rsidRPr="006626EA">
        <w:rPr>
          <w:sz w:val="22"/>
          <w:szCs w:val="22"/>
        </w:rPr>
        <w:t>üle võetud sõnastus</w:t>
      </w:r>
      <w:r w:rsidR="004E1842" w:rsidRPr="006626EA">
        <w:rPr>
          <w:sz w:val="22"/>
          <w:szCs w:val="22"/>
        </w:rPr>
        <w:t xml:space="preserve"> („</w:t>
      </w:r>
      <w:proofErr w:type="spellStart"/>
      <w:r w:rsidR="004E1842" w:rsidRPr="006626EA">
        <w:rPr>
          <w:sz w:val="22"/>
          <w:szCs w:val="22"/>
        </w:rPr>
        <w:t>ühisrahastusprojekt</w:t>
      </w:r>
      <w:proofErr w:type="spellEnd"/>
      <w:r w:rsidR="004E1842" w:rsidRPr="006626EA">
        <w:rPr>
          <w:sz w:val="22"/>
          <w:szCs w:val="22"/>
        </w:rPr>
        <w:t>“ – äritegevus, mida projektiomanik soovib rahast</w:t>
      </w:r>
      <w:r w:rsidR="002C64B8">
        <w:rPr>
          <w:sz w:val="22"/>
          <w:szCs w:val="22"/>
        </w:rPr>
        <w:t xml:space="preserve">ada </w:t>
      </w:r>
      <w:proofErr w:type="spellStart"/>
      <w:r w:rsidR="002C64B8">
        <w:rPr>
          <w:sz w:val="22"/>
          <w:szCs w:val="22"/>
        </w:rPr>
        <w:t>ühisrahastuspakkumise</w:t>
      </w:r>
      <w:proofErr w:type="spellEnd"/>
      <w:r w:rsidR="002C64B8">
        <w:rPr>
          <w:sz w:val="22"/>
          <w:szCs w:val="22"/>
        </w:rPr>
        <w:t xml:space="preserve"> kaudu</w:t>
      </w:r>
      <w:r w:rsidR="004E1842" w:rsidRPr="0015768F">
        <w:rPr>
          <w:sz w:val="22"/>
          <w:szCs w:val="22"/>
        </w:rPr>
        <w:t>)</w:t>
      </w:r>
      <w:r w:rsidR="00954785" w:rsidRPr="0015768F">
        <w:rPr>
          <w:sz w:val="22"/>
          <w:szCs w:val="22"/>
        </w:rPr>
        <w:t>,</w:t>
      </w:r>
      <w:r w:rsidR="00C930A7" w:rsidRPr="003A4690">
        <w:rPr>
          <w:sz w:val="22"/>
          <w:szCs w:val="22"/>
        </w:rPr>
        <w:t xml:space="preserve"> </w:t>
      </w:r>
      <w:r w:rsidR="002C64B8">
        <w:rPr>
          <w:sz w:val="22"/>
          <w:szCs w:val="22"/>
        </w:rPr>
        <w:t>eelnõus</w:t>
      </w:r>
      <w:r w:rsidR="00C930A7" w:rsidRPr="00E15E73">
        <w:rPr>
          <w:sz w:val="22"/>
          <w:szCs w:val="22"/>
        </w:rPr>
        <w:t xml:space="preserve"> on tegemist mõnevõrra laiema määratlusega, e</w:t>
      </w:r>
      <w:r w:rsidR="00C930A7" w:rsidRPr="00C102E2">
        <w:rPr>
          <w:sz w:val="22"/>
          <w:szCs w:val="22"/>
        </w:rPr>
        <w:t xml:space="preserve">t investeerimisprojekti mõiste hõlmaks ka </w:t>
      </w:r>
      <w:proofErr w:type="spellStart"/>
      <w:r w:rsidR="00ED38B8">
        <w:rPr>
          <w:sz w:val="22"/>
          <w:szCs w:val="22"/>
        </w:rPr>
        <w:t>ühisrahastusprojektide</w:t>
      </w:r>
      <w:proofErr w:type="spellEnd"/>
      <w:r w:rsidR="00C930A7" w:rsidRPr="00C102E2">
        <w:rPr>
          <w:sz w:val="22"/>
          <w:szCs w:val="22"/>
        </w:rPr>
        <w:t xml:space="preserve"> </w:t>
      </w:r>
      <w:r w:rsidR="00D5609F" w:rsidRPr="004466B0">
        <w:rPr>
          <w:sz w:val="22"/>
          <w:szCs w:val="22"/>
        </w:rPr>
        <w:t xml:space="preserve">ja </w:t>
      </w:r>
      <w:proofErr w:type="spellStart"/>
      <w:r w:rsidR="00ED38B8">
        <w:rPr>
          <w:sz w:val="22"/>
          <w:szCs w:val="22"/>
        </w:rPr>
        <w:t>krüptovara</w:t>
      </w:r>
      <w:proofErr w:type="spellEnd"/>
      <w:r w:rsidR="00D5609F" w:rsidRPr="004466B0">
        <w:rPr>
          <w:sz w:val="22"/>
          <w:szCs w:val="22"/>
        </w:rPr>
        <w:t xml:space="preserve"> </w:t>
      </w:r>
      <w:r w:rsidR="00C930A7" w:rsidRPr="004466B0">
        <w:rPr>
          <w:sz w:val="22"/>
          <w:szCs w:val="22"/>
        </w:rPr>
        <w:t>pakkumisi</w:t>
      </w:r>
      <w:r w:rsidR="00D5609F" w:rsidRPr="004466B0">
        <w:rPr>
          <w:sz w:val="22"/>
          <w:szCs w:val="22"/>
        </w:rPr>
        <w:t>,</w:t>
      </w:r>
      <w:r w:rsidR="00C930A7" w:rsidRPr="004466B0">
        <w:rPr>
          <w:sz w:val="22"/>
          <w:szCs w:val="22"/>
        </w:rPr>
        <w:t xml:space="preserve"> ning ka selliseid pakkumisi, mida rahastatakse </w:t>
      </w:r>
      <w:proofErr w:type="spellStart"/>
      <w:r w:rsidR="00C930A7" w:rsidRPr="004466B0">
        <w:rPr>
          <w:sz w:val="22"/>
          <w:szCs w:val="22"/>
        </w:rPr>
        <w:t>ühisrahastusprojekti</w:t>
      </w:r>
      <w:proofErr w:type="spellEnd"/>
      <w:r w:rsidR="00C930A7" w:rsidRPr="004466B0">
        <w:rPr>
          <w:sz w:val="22"/>
          <w:szCs w:val="22"/>
        </w:rPr>
        <w:t xml:space="preserve"> raames.</w:t>
      </w:r>
    </w:p>
    <w:p w14:paraId="695DEB17" w14:textId="77777777" w:rsidR="00A01936" w:rsidRPr="005A55CA" w:rsidRDefault="00A01936" w:rsidP="00D375E5">
      <w:pPr>
        <w:spacing w:before="0"/>
        <w:rPr>
          <w:sz w:val="22"/>
          <w:szCs w:val="22"/>
        </w:rPr>
      </w:pPr>
    </w:p>
    <w:p w14:paraId="7A467CA8" w14:textId="4D1ABAA1" w:rsidR="00B450FF" w:rsidRPr="005A55CA" w:rsidRDefault="00B450FF" w:rsidP="00D375E5">
      <w:pPr>
        <w:spacing w:before="0"/>
        <w:rPr>
          <w:sz w:val="22"/>
          <w:szCs w:val="22"/>
        </w:rPr>
      </w:pPr>
      <w:r w:rsidRPr="005A55CA">
        <w:rPr>
          <w:sz w:val="22"/>
          <w:szCs w:val="22"/>
        </w:rPr>
        <w:t xml:space="preserve">Kogenud </w:t>
      </w:r>
      <w:r w:rsidR="00003696">
        <w:rPr>
          <w:sz w:val="22"/>
          <w:szCs w:val="22"/>
        </w:rPr>
        <w:t>klient</w:t>
      </w:r>
      <w:r w:rsidRPr="005A55CA">
        <w:rPr>
          <w:sz w:val="22"/>
          <w:szCs w:val="22"/>
        </w:rPr>
        <w:t xml:space="preserve"> (</w:t>
      </w:r>
      <w:r w:rsidRPr="005A55CA">
        <w:rPr>
          <w:b/>
          <w:sz w:val="22"/>
          <w:szCs w:val="22"/>
        </w:rPr>
        <w:t xml:space="preserve">lõige </w:t>
      </w:r>
      <w:r w:rsidR="00003696">
        <w:rPr>
          <w:b/>
          <w:sz w:val="22"/>
          <w:szCs w:val="22"/>
        </w:rPr>
        <w:t>4</w:t>
      </w:r>
      <w:r w:rsidRPr="005A55CA">
        <w:rPr>
          <w:sz w:val="22"/>
          <w:szCs w:val="22"/>
        </w:rPr>
        <w:t xml:space="preserve">) on kutseline investor väärtpaberituru seaduse § 6 </w:t>
      </w:r>
      <w:r w:rsidR="00003696">
        <w:rPr>
          <w:sz w:val="22"/>
          <w:szCs w:val="22"/>
        </w:rPr>
        <w:t xml:space="preserve">lõike 2 </w:t>
      </w:r>
      <w:r w:rsidRPr="005A55CA">
        <w:rPr>
          <w:sz w:val="22"/>
          <w:szCs w:val="22"/>
        </w:rPr>
        <w:t xml:space="preserve">tähenduses. </w:t>
      </w:r>
      <w:r w:rsidR="0044343B">
        <w:rPr>
          <w:sz w:val="22"/>
          <w:szCs w:val="22"/>
        </w:rPr>
        <w:t xml:space="preserve">Lõike </w:t>
      </w:r>
      <w:r w:rsidR="00003696">
        <w:rPr>
          <w:sz w:val="22"/>
          <w:szCs w:val="22"/>
        </w:rPr>
        <w:t>4</w:t>
      </w:r>
      <w:r w:rsidR="0044343B">
        <w:rPr>
          <w:sz w:val="22"/>
          <w:szCs w:val="22"/>
        </w:rPr>
        <w:t xml:space="preserve"> teise lause kohaselt </w:t>
      </w:r>
      <w:r w:rsidR="00003696">
        <w:rPr>
          <w:sz w:val="22"/>
          <w:szCs w:val="22"/>
        </w:rPr>
        <w:t xml:space="preserve">sama lõike esimeses lauses nimetamata klient mittekogenud klient. Kogenud ja mittekogenud kliendi eristamine on oluline teatud teenuse osutamise aspektide juures, vt ka §-d </w:t>
      </w:r>
      <w:r w:rsidR="00907D58">
        <w:rPr>
          <w:sz w:val="22"/>
          <w:szCs w:val="22"/>
        </w:rPr>
        <w:t>52, 53 ja 6</w:t>
      </w:r>
      <w:r w:rsidR="00907D58" w:rsidRPr="00907D58">
        <w:rPr>
          <w:sz w:val="22"/>
          <w:szCs w:val="22"/>
        </w:rPr>
        <w:t>2</w:t>
      </w:r>
      <w:r w:rsidR="00003696" w:rsidRPr="00907D58">
        <w:rPr>
          <w:sz w:val="22"/>
          <w:szCs w:val="22"/>
        </w:rPr>
        <w:t>.</w:t>
      </w:r>
    </w:p>
    <w:p w14:paraId="193C1373" w14:textId="77777777" w:rsidR="00B450FF" w:rsidRPr="005A55CA" w:rsidRDefault="00B450FF" w:rsidP="00D375E5">
      <w:pPr>
        <w:spacing w:before="0"/>
        <w:rPr>
          <w:sz w:val="22"/>
          <w:szCs w:val="22"/>
        </w:rPr>
      </w:pPr>
    </w:p>
    <w:p w14:paraId="3F0F947C" w14:textId="35DE9457" w:rsidR="00C930A7" w:rsidRPr="005A55CA" w:rsidRDefault="0044343B" w:rsidP="00D375E5">
      <w:pPr>
        <w:spacing w:before="0"/>
        <w:rPr>
          <w:sz w:val="22"/>
          <w:szCs w:val="22"/>
        </w:rPr>
      </w:pPr>
      <w:r>
        <w:rPr>
          <w:b/>
          <w:sz w:val="22"/>
          <w:szCs w:val="22"/>
        </w:rPr>
        <w:t>L</w:t>
      </w:r>
      <w:r w:rsidR="00B450FF" w:rsidRPr="005A55CA">
        <w:rPr>
          <w:b/>
          <w:sz w:val="22"/>
          <w:szCs w:val="22"/>
        </w:rPr>
        <w:t xml:space="preserve">õige </w:t>
      </w:r>
      <w:r w:rsidR="00003696">
        <w:rPr>
          <w:b/>
          <w:sz w:val="22"/>
          <w:szCs w:val="22"/>
        </w:rPr>
        <w:t>5</w:t>
      </w:r>
      <w:r w:rsidR="005E4362" w:rsidRPr="005A55CA">
        <w:rPr>
          <w:sz w:val="22"/>
          <w:szCs w:val="22"/>
        </w:rPr>
        <w:t xml:space="preserve"> </w:t>
      </w:r>
      <w:r>
        <w:rPr>
          <w:sz w:val="22"/>
          <w:szCs w:val="22"/>
        </w:rPr>
        <w:t xml:space="preserve">sätestab kliendi </w:t>
      </w:r>
      <w:r w:rsidR="00077BFA" w:rsidRPr="005A55CA">
        <w:rPr>
          <w:sz w:val="22"/>
          <w:szCs w:val="22"/>
        </w:rPr>
        <w:t>mõiste</w:t>
      </w:r>
      <w:r>
        <w:rPr>
          <w:sz w:val="22"/>
          <w:szCs w:val="22"/>
        </w:rPr>
        <w:t xml:space="preserve">. Selle kohaselt mõeldakse kliendi all </w:t>
      </w:r>
      <w:r w:rsidR="00003696">
        <w:rPr>
          <w:sz w:val="22"/>
          <w:szCs w:val="22"/>
        </w:rPr>
        <w:t xml:space="preserve">iga isikut, kellele teenuseosutaja osutab </w:t>
      </w:r>
      <w:r w:rsidRPr="0044343B">
        <w:rPr>
          <w:bCs/>
          <w:sz w:val="22"/>
          <w:szCs w:val="22"/>
        </w:rPr>
        <w:t xml:space="preserve">käesoleva seaduse § 1 lõike 1 </w:t>
      </w:r>
      <w:r w:rsidR="00DD0EF1">
        <w:rPr>
          <w:bCs/>
          <w:sz w:val="22"/>
          <w:szCs w:val="22"/>
        </w:rPr>
        <w:t xml:space="preserve">punktis 2 ja 4 </w:t>
      </w:r>
      <w:r w:rsidRPr="0044343B">
        <w:rPr>
          <w:bCs/>
          <w:sz w:val="22"/>
          <w:szCs w:val="22"/>
        </w:rPr>
        <w:t>nimetatud teenuse kasutaja</w:t>
      </w:r>
      <w:r>
        <w:rPr>
          <w:bCs/>
          <w:sz w:val="22"/>
          <w:szCs w:val="22"/>
        </w:rPr>
        <w:t>t</w:t>
      </w:r>
      <w:r w:rsidRPr="0044343B">
        <w:rPr>
          <w:bCs/>
          <w:sz w:val="22"/>
          <w:szCs w:val="22"/>
        </w:rPr>
        <w:t xml:space="preserve">, </w:t>
      </w:r>
      <w:r w:rsidR="00003696">
        <w:rPr>
          <w:bCs/>
          <w:sz w:val="22"/>
          <w:szCs w:val="22"/>
        </w:rPr>
        <w:t xml:space="preserve">samuti isikut, kellele soovitakse teenust osutada, kuid kellega ei ole veel lepingulisse suhtesse asututud. </w:t>
      </w:r>
      <w:r>
        <w:rPr>
          <w:bCs/>
          <w:sz w:val="22"/>
          <w:szCs w:val="22"/>
        </w:rPr>
        <w:t xml:space="preserve">Sõnastus on sarnane ka EL </w:t>
      </w:r>
      <w:proofErr w:type="spellStart"/>
      <w:r>
        <w:rPr>
          <w:bCs/>
          <w:sz w:val="22"/>
          <w:szCs w:val="22"/>
        </w:rPr>
        <w:t>ühisrahastusmääruses</w:t>
      </w:r>
      <w:proofErr w:type="spellEnd"/>
      <w:r>
        <w:rPr>
          <w:bCs/>
          <w:sz w:val="22"/>
          <w:szCs w:val="22"/>
        </w:rPr>
        <w:t xml:space="preserve"> sätestatud kliendi mõistega (artikkel 2 lõike 1 punkt g), mille kohaselt on </w:t>
      </w:r>
      <w:r>
        <w:rPr>
          <w:sz w:val="22"/>
          <w:szCs w:val="22"/>
        </w:rPr>
        <w:t xml:space="preserve">„klient“ </w:t>
      </w:r>
      <w:r w:rsidRPr="0044343B">
        <w:rPr>
          <w:sz w:val="22"/>
          <w:szCs w:val="22"/>
        </w:rPr>
        <w:t xml:space="preserve">potentsiaalne või tegelik investor või projektiomanik, kellele </w:t>
      </w:r>
      <w:proofErr w:type="spellStart"/>
      <w:r w:rsidRPr="0044343B">
        <w:rPr>
          <w:sz w:val="22"/>
          <w:szCs w:val="22"/>
        </w:rPr>
        <w:t>ühisrahastusteenuse</w:t>
      </w:r>
      <w:proofErr w:type="spellEnd"/>
      <w:r w:rsidRPr="0044343B">
        <w:rPr>
          <w:sz w:val="22"/>
          <w:szCs w:val="22"/>
        </w:rPr>
        <w:t xml:space="preserve"> osutaja osutab või kavatseb osutada </w:t>
      </w:r>
      <w:proofErr w:type="spellStart"/>
      <w:r w:rsidRPr="0044343B">
        <w:rPr>
          <w:sz w:val="22"/>
          <w:szCs w:val="22"/>
        </w:rPr>
        <w:t>ühisrahastusteenuseid</w:t>
      </w:r>
      <w:proofErr w:type="spellEnd"/>
      <w:r>
        <w:rPr>
          <w:sz w:val="22"/>
          <w:szCs w:val="22"/>
        </w:rPr>
        <w:t>.</w:t>
      </w:r>
      <w:r w:rsidR="00DD0EF1">
        <w:rPr>
          <w:sz w:val="22"/>
          <w:szCs w:val="22"/>
        </w:rPr>
        <w:t xml:space="preserve"> Samas on </w:t>
      </w:r>
      <w:r w:rsidR="00C66ABA">
        <w:rPr>
          <w:sz w:val="22"/>
          <w:szCs w:val="22"/>
        </w:rPr>
        <w:t xml:space="preserve">EL </w:t>
      </w:r>
      <w:proofErr w:type="spellStart"/>
      <w:r w:rsidR="00DD0EF1">
        <w:rPr>
          <w:sz w:val="22"/>
          <w:szCs w:val="22"/>
        </w:rPr>
        <w:t>ühisrahastusmääruse</w:t>
      </w:r>
      <w:proofErr w:type="spellEnd"/>
      <w:r w:rsidR="00DD0EF1">
        <w:rPr>
          <w:sz w:val="22"/>
          <w:szCs w:val="22"/>
        </w:rPr>
        <w:t xml:space="preserve"> nimetatud sätet käsitletud </w:t>
      </w:r>
      <w:r w:rsidR="00C66ABA">
        <w:rPr>
          <w:sz w:val="22"/>
          <w:szCs w:val="22"/>
        </w:rPr>
        <w:t>eelnõus</w:t>
      </w:r>
      <w:r w:rsidR="00DD0EF1">
        <w:rPr>
          <w:sz w:val="22"/>
          <w:szCs w:val="22"/>
        </w:rPr>
        <w:t xml:space="preserve"> laiemalt, et kliendi mõistega oleksid hõlmatud ka teiste </w:t>
      </w:r>
      <w:r w:rsidR="00C66ABA">
        <w:rPr>
          <w:sz w:val="22"/>
          <w:szCs w:val="22"/>
        </w:rPr>
        <w:t>eelnõus</w:t>
      </w:r>
      <w:r w:rsidR="00DD0EF1">
        <w:rPr>
          <w:sz w:val="22"/>
          <w:szCs w:val="22"/>
        </w:rPr>
        <w:t xml:space="preserve"> sätestatud teenuste kasutajad.</w:t>
      </w:r>
    </w:p>
    <w:p w14:paraId="1AB7CF16" w14:textId="1C1B13C2" w:rsidR="00E80E2A" w:rsidRPr="005A55CA" w:rsidRDefault="00E80E2A" w:rsidP="00D375E5">
      <w:pPr>
        <w:spacing w:before="0"/>
        <w:rPr>
          <w:sz w:val="22"/>
          <w:szCs w:val="22"/>
        </w:rPr>
      </w:pPr>
    </w:p>
    <w:p w14:paraId="55D1A948" w14:textId="6F9E8940" w:rsidR="00E80E2A" w:rsidRDefault="00E80E2A" w:rsidP="00D375E5">
      <w:pPr>
        <w:spacing w:before="0"/>
        <w:rPr>
          <w:sz w:val="22"/>
          <w:szCs w:val="22"/>
        </w:rPr>
      </w:pPr>
      <w:r w:rsidRPr="005A55CA">
        <w:rPr>
          <w:b/>
          <w:sz w:val="22"/>
          <w:szCs w:val="22"/>
        </w:rPr>
        <w:t xml:space="preserve">Lõikes </w:t>
      </w:r>
      <w:r w:rsidR="00003696">
        <w:rPr>
          <w:b/>
          <w:sz w:val="22"/>
          <w:szCs w:val="22"/>
        </w:rPr>
        <w:t>6</w:t>
      </w:r>
      <w:r w:rsidRPr="005A55CA">
        <w:rPr>
          <w:b/>
          <w:sz w:val="22"/>
          <w:szCs w:val="22"/>
        </w:rPr>
        <w:t xml:space="preserve"> </w:t>
      </w:r>
      <w:r w:rsidRPr="005A55CA">
        <w:rPr>
          <w:sz w:val="22"/>
          <w:szCs w:val="22"/>
        </w:rPr>
        <w:t xml:space="preserve">on esitatud </w:t>
      </w:r>
      <w:r w:rsidR="00003696">
        <w:rPr>
          <w:sz w:val="22"/>
          <w:szCs w:val="22"/>
        </w:rPr>
        <w:t>rahastuse taotleja mõiste</w:t>
      </w:r>
      <w:r w:rsidR="00EF11F7">
        <w:rPr>
          <w:sz w:val="22"/>
          <w:szCs w:val="22"/>
        </w:rPr>
        <w:t xml:space="preserve">, mille kohaselt rahastuse taotleja on füüsiline või juriidiline isik, kes taotleb ise või </w:t>
      </w:r>
      <w:proofErr w:type="spellStart"/>
      <w:r w:rsidR="00EF11F7">
        <w:rPr>
          <w:sz w:val="22"/>
          <w:szCs w:val="22"/>
        </w:rPr>
        <w:t>ühisrahastusteenuse</w:t>
      </w:r>
      <w:proofErr w:type="spellEnd"/>
      <w:r w:rsidR="00EF11F7">
        <w:rPr>
          <w:sz w:val="22"/>
          <w:szCs w:val="22"/>
        </w:rPr>
        <w:t xml:space="preserve"> osutaja abil rahalisi või rahaliselt hinnatavaid vahendeid. Rahastuse taotleja määratlus hõlmab ka EL </w:t>
      </w:r>
      <w:proofErr w:type="spellStart"/>
      <w:r w:rsidR="00EF11F7">
        <w:rPr>
          <w:sz w:val="22"/>
          <w:szCs w:val="22"/>
        </w:rPr>
        <w:t>ühisrahastusmääruses</w:t>
      </w:r>
      <w:proofErr w:type="spellEnd"/>
      <w:r w:rsidR="00EF11F7">
        <w:rPr>
          <w:sz w:val="22"/>
          <w:szCs w:val="22"/>
        </w:rPr>
        <w:t xml:space="preserve"> sätestatud emitendi ja projektiomaniku mõisteid</w:t>
      </w:r>
      <w:r w:rsidR="009E5A2E" w:rsidRPr="009E5A2E">
        <w:rPr>
          <w:rStyle w:val="FootnoteReference"/>
          <w:b w:val="0"/>
          <w:bCs w:val="0"/>
          <w:sz w:val="22"/>
          <w:szCs w:val="22"/>
        </w:rPr>
        <w:footnoteReference w:id="49"/>
      </w:r>
      <w:r w:rsidR="00EF11F7">
        <w:rPr>
          <w:sz w:val="22"/>
          <w:szCs w:val="22"/>
        </w:rPr>
        <w:t xml:space="preserve">, eeskätt selleks, et tagada vastutuse kohaldamine </w:t>
      </w:r>
      <w:proofErr w:type="spellStart"/>
      <w:r w:rsidR="00EF11F7">
        <w:rPr>
          <w:sz w:val="22"/>
          <w:szCs w:val="22"/>
        </w:rPr>
        <w:t>viimatinimetatud</w:t>
      </w:r>
      <w:proofErr w:type="spellEnd"/>
      <w:r w:rsidR="00EF11F7">
        <w:rPr>
          <w:sz w:val="22"/>
          <w:szCs w:val="22"/>
        </w:rPr>
        <w:t xml:space="preserve"> isikutele kooskõlas EL </w:t>
      </w:r>
      <w:proofErr w:type="spellStart"/>
      <w:r w:rsidR="00EF11F7">
        <w:rPr>
          <w:sz w:val="22"/>
          <w:szCs w:val="22"/>
        </w:rPr>
        <w:t>ühisrahastusmäärusega</w:t>
      </w:r>
      <w:proofErr w:type="spellEnd"/>
      <w:r w:rsidR="00003696">
        <w:rPr>
          <w:sz w:val="22"/>
          <w:szCs w:val="22"/>
        </w:rPr>
        <w:t xml:space="preserve">. </w:t>
      </w:r>
    </w:p>
    <w:p w14:paraId="71A30CAF" w14:textId="7DB2AA4C" w:rsidR="002C64B8" w:rsidRDefault="002C64B8" w:rsidP="00D375E5">
      <w:pPr>
        <w:spacing w:before="0"/>
        <w:rPr>
          <w:sz w:val="22"/>
          <w:szCs w:val="22"/>
        </w:rPr>
      </w:pPr>
    </w:p>
    <w:p w14:paraId="4A3C2B6E" w14:textId="5957393A" w:rsidR="002C64B8" w:rsidRPr="00EF11F7" w:rsidRDefault="002C64B8" w:rsidP="00D375E5">
      <w:pPr>
        <w:spacing w:before="0"/>
        <w:rPr>
          <w:sz w:val="22"/>
          <w:szCs w:val="22"/>
        </w:rPr>
      </w:pPr>
      <w:r w:rsidRPr="002C64B8">
        <w:rPr>
          <w:b/>
          <w:sz w:val="22"/>
          <w:szCs w:val="22"/>
        </w:rPr>
        <w:t xml:space="preserve">Lõike </w:t>
      </w:r>
      <w:r w:rsidR="00EF11F7">
        <w:rPr>
          <w:b/>
          <w:sz w:val="22"/>
          <w:szCs w:val="22"/>
        </w:rPr>
        <w:t>7</w:t>
      </w:r>
      <w:r w:rsidRPr="002C64B8">
        <w:rPr>
          <w:b/>
          <w:sz w:val="22"/>
          <w:szCs w:val="22"/>
        </w:rPr>
        <w:t xml:space="preserve"> </w:t>
      </w:r>
      <w:r w:rsidRPr="002C64B8">
        <w:rPr>
          <w:sz w:val="22"/>
          <w:szCs w:val="22"/>
        </w:rPr>
        <w:t>järgi lähtutakse olulise osaluse, isiku kontrollitava äriühingu, hääleõiguse kuuluvuse ja märkimisväärse seose määramisel väärtpaberituru seaduse §-des 8</w:t>
      </w:r>
      <w:r w:rsidRPr="002C64B8">
        <w:rPr>
          <w:sz w:val="22"/>
          <w:szCs w:val="22"/>
          <w:vertAlign w:val="superscript"/>
        </w:rPr>
        <w:t>2</w:t>
      </w:r>
      <w:r w:rsidRPr="002C64B8">
        <w:rPr>
          <w:sz w:val="22"/>
          <w:szCs w:val="22"/>
        </w:rPr>
        <w:t>, 9, 10 ja 72</w:t>
      </w:r>
      <w:r w:rsidRPr="002C64B8">
        <w:rPr>
          <w:sz w:val="22"/>
          <w:szCs w:val="22"/>
          <w:vertAlign w:val="superscript"/>
        </w:rPr>
        <w:t>1</w:t>
      </w:r>
      <w:r w:rsidRPr="002C64B8">
        <w:rPr>
          <w:sz w:val="22"/>
          <w:szCs w:val="22"/>
        </w:rPr>
        <w:t> sätestatust. Nimetatud täiendus on vajalik eelkõige seaduse 4. peatüki sisustamisel.</w:t>
      </w:r>
      <w:r w:rsidR="00EF11F7">
        <w:rPr>
          <w:sz w:val="22"/>
          <w:szCs w:val="22"/>
        </w:rPr>
        <w:t xml:space="preserve"> Samuti väldib viitamine VPTS-</w:t>
      </w:r>
      <w:proofErr w:type="spellStart"/>
      <w:r w:rsidR="00EF11F7">
        <w:rPr>
          <w:sz w:val="22"/>
          <w:szCs w:val="22"/>
        </w:rPr>
        <w:t>ile</w:t>
      </w:r>
      <w:proofErr w:type="spellEnd"/>
      <w:r w:rsidR="00EF11F7">
        <w:rPr>
          <w:sz w:val="22"/>
          <w:szCs w:val="22"/>
        </w:rPr>
        <w:t xml:space="preserve"> ebavajalikke kordamisi ja viiteid olulise osaluse nö üldsätetele (</w:t>
      </w:r>
      <w:r w:rsidR="00C025D5">
        <w:rPr>
          <w:sz w:val="22"/>
          <w:szCs w:val="22"/>
        </w:rPr>
        <w:t xml:space="preserve">VPTS </w:t>
      </w:r>
      <w:r w:rsidR="00EF11F7">
        <w:rPr>
          <w:sz w:val="22"/>
          <w:szCs w:val="22"/>
        </w:rPr>
        <w:t>§ 8</w:t>
      </w:r>
      <w:r w:rsidR="00EF11F7">
        <w:rPr>
          <w:sz w:val="22"/>
          <w:szCs w:val="22"/>
          <w:vertAlign w:val="superscript"/>
        </w:rPr>
        <w:t>2</w:t>
      </w:r>
      <w:r w:rsidR="00EF11F7">
        <w:rPr>
          <w:sz w:val="22"/>
          <w:szCs w:val="22"/>
        </w:rPr>
        <w:t xml:space="preserve">, 9, 10). </w:t>
      </w:r>
    </w:p>
    <w:p w14:paraId="25415871" w14:textId="77777777" w:rsidR="00A01936" w:rsidRPr="005A55CA" w:rsidRDefault="00A01936" w:rsidP="00D375E5">
      <w:pPr>
        <w:spacing w:before="0"/>
        <w:rPr>
          <w:sz w:val="22"/>
          <w:szCs w:val="22"/>
        </w:rPr>
      </w:pPr>
    </w:p>
    <w:p w14:paraId="075986CF" w14:textId="023B515F" w:rsidR="003F2E28" w:rsidRPr="005A55CA" w:rsidRDefault="00D62C21" w:rsidP="00D375E5">
      <w:pPr>
        <w:spacing w:before="0"/>
        <w:rPr>
          <w:color w:val="000000" w:themeColor="text1"/>
          <w:sz w:val="22"/>
          <w:szCs w:val="22"/>
        </w:rPr>
      </w:pPr>
      <w:r w:rsidRPr="005A55CA">
        <w:rPr>
          <w:b/>
          <w:color w:val="000000" w:themeColor="text1"/>
          <w:sz w:val="22"/>
          <w:szCs w:val="22"/>
        </w:rPr>
        <w:t xml:space="preserve">Paragrahvi </w:t>
      </w:r>
      <w:r w:rsidR="00B450FF" w:rsidRPr="005A55CA">
        <w:rPr>
          <w:b/>
          <w:color w:val="000000" w:themeColor="text1"/>
          <w:sz w:val="22"/>
          <w:szCs w:val="22"/>
        </w:rPr>
        <w:t>6</w:t>
      </w:r>
      <w:r w:rsidRPr="005A55CA">
        <w:rPr>
          <w:color w:val="000000" w:themeColor="text1"/>
          <w:sz w:val="22"/>
          <w:szCs w:val="22"/>
        </w:rPr>
        <w:t xml:space="preserve"> </w:t>
      </w:r>
      <w:r w:rsidR="00B92453">
        <w:rPr>
          <w:color w:val="000000" w:themeColor="text1"/>
          <w:sz w:val="22"/>
          <w:szCs w:val="22"/>
        </w:rPr>
        <w:t xml:space="preserve">esimese </w:t>
      </w:r>
      <w:r w:rsidRPr="005A55CA">
        <w:rPr>
          <w:color w:val="000000" w:themeColor="text1"/>
          <w:sz w:val="22"/>
          <w:szCs w:val="22"/>
        </w:rPr>
        <w:t xml:space="preserve">nelja lõike näol on tegemist finantsjärelevalvesubjektide kohta kehtestatud </w:t>
      </w:r>
      <w:proofErr w:type="spellStart"/>
      <w:r w:rsidRPr="005A55CA">
        <w:rPr>
          <w:color w:val="000000" w:themeColor="text1"/>
          <w:sz w:val="22"/>
          <w:szCs w:val="22"/>
        </w:rPr>
        <w:t>üldnormidega</w:t>
      </w:r>
      <w:proofErr w:type="spellEnd"/>
      <w:r w:rsidRPr="005A55CA">
        <w:rPr>
          <w:color w:val="000000" w:themeColor="text1"/>
          <w:sz w:val="22"/>
          <w:szCs w:val="22"/>
        </w:rPr>
        <w:t xml:space="preserve">, mille sarnased on </w:t>
      </w:r>
      <w:r w:rsidR="00C66ABA">
        <w:rPr>
          <w:color w:val="000000" w:themeColor="text1"/>
          <w:sz w:val="22"/>
          <w:szCs w:val="22"/>
        </w:rPr>
        <w:t>kehtestatud</w:t>
      </w:r>
      <w:r w:rsidR="00C66ABA" w:rsidRPr="005A55CA">
        <w:rPr>
          <w:color w:val="000000" w:themeColor="text1"/>
          <w:sz w:val="22"/>
          <w:szCs w:val="22"/>
        </w:rPr>
        <w:t xml:space="preserve"> </w:t>
      </w:r>
      <w:r w:rsidRPr="005A55CA">
        <w:rPr>
          <w:color w:val="000000" w:themeColor="text1"/>
          <w:sz w:val="22"/>
          <w:szCs w:val="22"/>
        </w:rPr>
        <w:t xml:space="preserve">kõikides analoogsetes finantsjärelevalvesubjektide </w:t>
      </w:r>
      <w:r w:rsidR="00B547BE" w:rsidRPr="005A55CA">
        <w:rPr>
          <w:color w:val="000000" w:themeColor="text1"/>
          <w:sz w:val="22"/>
          <w:szCs w:val="22"/>
        </w:rPr>
        <w:t>kohta käivates eri</w:t>
      </w:r>
      <w:r w:rsidRPr="005A55CA">
        <w:rPr>
          <w:color w:val="000000" w:themeColor="text1"/>
          <w:sz w:val="22"/>
          <w:szCs w:val="22"/>
        </w:rPr>
        <w:t>seadustes.</w:t>
      </w:r>
    </w:p>
    <w:p w14:paraId="55BFD237" w14:textId="77777777" w:rsidR="00B450FF" w:rsidRPr="005A55CA" w:rsidRDefault="00B450FF" w:rsidP="00D375E5">
      <w:pPr>
        <w:spacing w:before="0"/>
        <w:rPr>
          <w:b/>
          <w:color w:val="000000" w:themeColor="text1"/>
          <w:sz w:val="22"/>
          <w:szCs w:val="22"/>
        </w:rPr>
      </w:pPr>
    </w:p>
    <w:p w14:paraId="13AAF7A2" w14:textId="61FDA83C" w:rsidR="009950C0" w:rsidRPr="005A55CA" w:rsidRDefault="009950C0" w:rsidP="00D375E5">
      <w:pPr>
        <w:spacing w:before="0"/>
        <w:rPr>
          <w:color w:val="000000" w:themeColor="text1"/>
          <w:sz w:val="22"/>
          <w:szCs w:val="22"/>
        </w:rPr>
      </w:pPr>
      <w:r w:rsidRPr="005A55CA">
        <w:rPr>
          <w:b/>
          <w:color w:val="000000" w:themeColor="text1"/>
          <w:sz w:val="22"/>
          <w:szCs w:val="22"/>
        </w:rPr>
        <w:t>Lõike 1</w:t>
      </w:r>
      <w:r w:rsidRPr="005A55CA">
        <w:rPr>
          <w:color w:val="000000" w:themeColor="text1"/>
          <w:sz w:val="22"/>
          <w:szCs w:val="22"/>
        </w:rPr>
        <w:t xml:space="preserve"> kohaselt peab äriühing käesoleva seaduse paragrahvis 1 lõike 1 </w:t>
      </w:r>
      <w:r w:rsidR="00C11A70">
        <w:rPr>
          <w:color w:val="000000" w:themeColor="text1"/>
          <w:sz w:val="22"/>
          <w:szCs w:val="22"/>
        </w:rPr>
        <w:t xml:space="preserve">punktides </w:t>
      </w:r>
      <w:r w:rsidR="00D961C1">
        <w:rPr>
          <w:color w:val="000000" w:themeColor="text1"/>
          <w:sz w:val="22"/>
          <w:szCs w:val="22"/>
        </w:rPr>
        <w:t xml:space="preserve">2 ja 4 </w:t>
      </w:r>
      <w:r w:rsidRPr="005A55CA">
        <w:rPr>
          <w:color w:val="000000" w:themeColor="text1"/>
          <w:sz w:val="22"/>
          <w:szCs w:val="22"/>
        </w:rPr>
        <w:t xml:space="preserve">nimetatud teenuste osutamiseks eelnevalt tegevusluba taotlema. </w:t>
      </w:r>
      <w:proofErr w:type="spellStart"/>
      <w:r w:rsidR="005E5858">
        <w:rPr>
          <w:color w:val="000000" w:themeColor="text1"/>
          <w:sz w:val="22"/>
          <w:szCs w:val="22"/>
        </w:rPr>
        <w:t>Ühisrahastusprojektide</w:t>
      </w:r>
      <w:proofErr w:type="spellEnd"/>
      <w:r w:rsidRPr="005A55CA">
        <w:rPr>
          <w:color w:val="000000" w:themeColor="text1"/>
          <w:sz w:val="22"/>
          <w:szCs w:val="22"/>
        </w:rPr>
        <w:t xml:space="preserve"> pakkumisel (kui </w:t>
      </w:r>
      <w:proofErr w:type="spellStart"/>
      <w:r w:rsidR="005E5858">
        <w:rPr>
          <w:color w:val="000000" w:themeColor="text1"/>
          <w:sz w:val="22"/>
          <w:szCs w:val="22"/>
        </w:rPr>
        <w:t>ühisrahastusprojekti</w:t>
      </w:r>
      <w:proofErr w:type="spellEnd"/>
      <w:r w:rsidRPr="005A55CA">
        <w:rPr>
          <w:color w:val="000000" w:themeColor="text1"/>
          <w:sz w:val="22"/>
          <w:szCs w:val="22"/>
        </w:rPr>
        <w:t xml:space="preserve"> </w:t>
      </w:r>
      <w:r w:rsidR="005E5858">
        <w:rPr>
          <w:color w:val="000000" w:themeColor="text1"/>
          <w:sz w:val="22"/>
          <w:szCs w:val="22"/>
        </w:rPr>
        <w:t>pakub</w:t>
      </w:r>
      <w:r w:rsidRPr="005A55CA">
        <w:rPr>
          <w:color w:val="000000" w:themeColor="text1"/>
          <w:sz w:val="22"/>
          <w:szCs w:val="22"/>
        </w:rPr>
        <w:t xml:space="preserve"> rahastuse taotleja ise) </w:t>
      </w:r>
      <w:r w:rsidR="006626EA">
        <w:rPr>
          <w:color w:val="000000" w:themeColor="text1"/>
          <w:sz w:val="22"/>
          <w:szCs w:val="22"/>
        </w:rPr>
        <w:t>ja</w:t>
      </w:r>
      <w:r w:rsidR="006626EA" w:rsidRPr="005A55CA">
        <w:rPr>
          <w:color w:val="000000" w:themeColor="text1"/>
          <w:sz w:val="22"/>
          <w:szCs w:val="22"/>
        </w:rPr>
        <w:t xml:space="preserve"> </w:t>
      </w:r>
      <w:r w:rsidRPr="005A55CA">
        <w:rPr>
          <w:color w:val="000000" w:themeColor="text1"/>
          <w:sz w:val="22"/>
          <w:szCs w:val="22"/>
        </w:rPr>
        <w:t xml:space="preserve">finantstuluta </w:t>
      </w:r>
      <w:proofErr w:type="spellStart"/>
      <w:r w:rsidRPr="005A55CA">
        <w:rPr>
          <w:color w:val="000000" w:themeColor="text1"/>
          <w:sz w:val="22"/>
          <w:szCs w:val="22"/>
        </w:rPr>
        <w:t>ühisrahastusteenuse</w:t>
      </w:r>
      <w:proofErr w:type="spellEnd"/>
      <w:r w:rsidRPr="005A55CA">
        <w:rPr>
          <w:color w:val="000000" w:themeColor="text1"/>
          <w:sz w:val="22"/>
          <w:szCs w:val="22"/>
        </w:rPr>
        <w:t xml:space="preserve"> osutamisel ei ole vajalik taotleda tegevusluba käesoleva peatüki alusel</w:t>
      </w:r>
      <w:r w:rsidR="00C11A70">
        <w:rPr>
          <w:color w:val="000000" w:themeColor="text1"/>
          <w:sz w:val="22"/>
          <w:szCs w:val="22"/>
        </w:rPr>
        <w:t>.</w:t>
      </w:r>
      <w:r w:rsidR="00D961C1">
        <w:rPr>
          <w:color w:val="000000" w:themeColor="text1"/>
          <w:sz w:val="22"/>
          <w:szCs w:val="22"/>
        </w:rPr>
        <w:t xml:space="preserve"> </w:t>
      </w:r>
      <w:r w:rsidR="00C11A70">
        <w:rPr>
          <w:color w:val="000000" w:themeColor="text1"/>
          <w:sz w:val="22"/>
          <w:szCs w:val="22"/>
        </w:rPr>
        <w:t>S</w:t>
      </w:r>
      <w:r w:rsidR="00D961C1">
        <w:rPr>
          <w:color w:val="000000" w:themeColor="text1"/>
          <w:sz w:val="22"/>
          <w:szCs w:val="22"/>
        </w:rPr>
        <w:t xml:space="preserve">ätte kohaldamisalasse kuuluvad vastavalt </w:t>
      </w:r>
      <w:proofErr w:type="spellStart"/>
      <w:r w:rsidR="005E5858">
        <w:rPr>
          <w:color w:val="000000" w:themeColor="text1"/>
          <w:sz w:val="22"/>
          <w:szCs w:val="22"/>
        </w:rPr>
        <w:t>krüptovarateenuste</w:t>
      </w:r>
      <w:proofErr w:type="spellEnd"/>
      <w:r w:rsidR="005E5858">
        <w:rPr>
          <w:color w:val="000000" w:themeColor="text1"/>
          <w:sz w:val="22"/>
          <w:szCs w:val="22"/>
        </w:rPr>
        <w:t xml:space="preserve"> ja </w:t>
      </w:r>
      <w:proofErr w:type="spellStart"/>
      <w:r w:rsidR="00D961C1">
        <w:rPr>
          <w:color w:val="000000" w:themeColor="text1"/>
          <w:sz w:val="22"/>
          <w:szCs w:val="22"/>
        </w:rPr>
        <w:t>ühisrahastusteenuste</w:t>
      </w:r>
      <w:proofErr w:type="spellEnd"/>
      <w:r w:rsidR="00D961C1">
        <w:rPr>
          <w:color w:val="000000" w:themeColor="text1"/>
          <w:sz w:val="22"/>
          <w:szCs w:val="22"/>
        </w:rPr>
        <w:t xml:space="preserve"> osutamine (niivõrd kui osutatavad </w:t>
      </w:r>
      <w:proofErr w:type="spellStart"/>
      <w:r w:rsidR="00D961C1">
        <w:rPr>
          <w:color w:val="000000" w:themeColor="text1"/>
          <w:sz w:val="22"/>
          <w:szCs w:val="22"/>
        </w:rPr>
        <w:t>ühisrahastusteenused</w:t>
      </w:r>
      <w:proofErr w:type="spellEnd"/>
      <w:r w:rsidR="00D961C1">
        <w:rPr>
          <w:color w:val="000000" w:themeColor="text1"/>
          <w:sz w:val="22"/>
          <w:szCs w:val="22"/>
        </w:rPr>
        <w:t xml:space="preserve"> ei ole hõlmatud EL </w:t>
      </w:r>
      <w:proofErr w:type="spellStart"/>
      <w:r w:rsidR="00D961C1">
        <w:rPr>
          <w:color w:val="000000" w:themeColor="text1"/>
          <w:sz w:val="22"/>
          <w:szCs w:val="22"/>
        </w:rPr>
        <w:t>ühisrahastusmäärusega</w:t>
      </w:r>
      <w:proofErr w:type="spellEnd"/>
      <w:r w:rsidR="00D961C1">
        <w:rPr>
          <w:color w:val="000000" w:themeColor="text1"/>
          <w:sz w:val="22"/>
          <w:szCs w:val="22"/>
        </w:rPr>
        <w:t>)</w:t>
      </w:r>
      <w:r w:rsidR="005E5858">
        <w:rPr>
          <w:color w:val="000000" w:themeColor="text1"/>
          <w:sz w:val="22"/>
          <w:szCs w:val="22"/>
        </w:rPr>
        <w:t>.</w:t>
      </w:r>
    </w:p>
    <w:p w14:paraId="46FB6959" w14:textId="77777777" w:rsidR="00B450FF" w:rsidRPr="005A55CA" w:rsidRDefault="00B450FF" w:rsidP="00D375E5">
      <w:pPr>
        <w:spacing w:before="0"/>
        <w:rPr>
          <w:b/>
          <w:color w:val="000000" w:themeColor="text1"/>
          <w:sz w:val="22"/>
          <w:szCs w:val="22"/>
        </w:rPr>
      </w:pPr>
    </w:p>
    <w:p w14:paraId="0442461B" w14:textId="0CACE57A" w:rsidR="003F2E28" w:rsidRPr="005A55CA" w:rsidRDefault="003F2E28" w:rsidP="00D375E5">
      <w:pPr>
        <w:spacing w:before="0"/>
        <w:rPr>
          <w:color w:val="000000" w:themeColor="text1"/>
          <w:sz w:val="22"/>
          <w:szCs w:val="22"/>
        </w:rPr>
      </w:pPr>
      <w:r w:rsidRPr="005A55CA">
        <w:rPr>
          <w:b/>
          <w:color w:val="000000" w:themeColor="text1"/>
          <w:sz w:val="22"/>
          <w:szCs w:val="22"/>
        </w:rPr>
        <w:t>Lõikes 2</w:t>
      </w:r>
      <w:r w:rsidRPr="005A55CA">
        <w:rPr>
          <w:color w:val="000000" w:themeColor="text1"/>
          <w:sz w:val="22"/>
          <w:szCs w:val="22"/>
        </w:rPr>
        <w:t xml:space="preserve"> toodu kohaselt väljastab tegevusloa ja tunnistab tegevusloa kehtetuks Finantsinspektsioon oma otsusega. </w:t>
      </w:r>
    </w:p>
    <w:p w14:paraId="7A98D0A8" w14:textId="77777777" w:rsidR="00B450FF" w:rsidRPr="005A55CA" w:rsidRDefault="00B450FF" w:rsidP="00D375E5">
      <w:pPr>
        <w:spacing w:before="0"/>
        <w:rPr>
          <w:b/>
          <w:color w:val="000000" w:themeColor="text1"/>
          <w:sz w:val="22"/>
          <w:szCs w:val="22"/>
        </w:rPr>
      </w:pPr>
    </w:p>
    <w:p w14:paraId="5675D94C" w14:textId="2F5FCBAE" w:rsidR="001C714E" w:rsidRPr="005A55CA" w:rsidRDefault="00A3149A" w:rsidP="00D375E5">
      <w:pPr>
        <w:spacing w:before="0"/>
        <w:rPr>
          <w:color w:val="000000" w:themeColor="text1"/>
          <w:sz w:val="22"/>
          <w:szCs w:val="22"/>
        </w:rPr>
      </w:pPr>
      <w:r w:rsidRPr="005A55CA">
        <w:rPr>
          <w:b/>
          <w:color w:val="000000" w:themeColor="text1"/>
          <w:sz w:val="22"/>
          <w:szCs w:val="22"/>
        </w:rPr>
        <w:t xml:space="preserve">Lõike 3 </w:t>
      </w:r>
      <w:r w:rsidRPr="005A55CA">
        <w:rPr>
          <w:color w:val="000000" w:themeColor="text1"/>
          <w:sz w:val="22"/>
          <w:szCs w:val="22"/>
        </w:rPr>
        <w:t>järgi tuleb teenuseosutajal viivitamata teavitada Finantsinspektsiooni</w:t>
      </w:r>
      <w:r w:rsidR="00A50BB1">
        <w:rPr>
          <w:color w:val="000000" w:themeColor="text1"/>
          <w:sz w:val="22"/>
          <w:szCs w:val="22"/>
        </w:rPr>
        <w:t>,</w:t>
      </w:r>
      <w:r w:rsidRPr="005A55CA">
        <w:rPr>
          <w:color w:val="000000" w:themeColor="text1"/>
          <w:sz w:val="22"/>
          <w:szCs w:val="22"/>
        </w:rPr>
        <w:t xml:space="preserve"> kui tegevusloa aluseks olnud tingimused ei ole enam täidetud. Alates nimetatud teate esitamisest peab teenuseosutaja </w:t>
      </w:r>
      <w:r w:rsidR="00EF11F7">
        <w:rPr>
          <w:color w:val="000000" w:themeColor="text1"/>
          <w:sz w:val="22"/>
          <w:szCs w:val="22"/>
        </w:rPr>
        <w:t xml:space="preserve">viivitamatult viima oma tegevuse vastavusse tegevusloa saamise aluseks olnud tingimuste ja seaduse </w:t>
      </w:r>
      <w:r w:rsidR="00EF11F7">
        <w:rPr>
          <w:color w:val="000000" w:themeColor="text1"/>
          <w:sz w:val="22"/>
          <w:szCs w:val="22"/>
        </w:rPr>
        <w:lastRenderedPageBreak/>
        <w:t xml:space="preserve">nõuetega või </w:t>
      </w:r>
      <w:r w:rsidRPr="005A55CA">
        <w:rPr>
          <w:color w:val="000000" w:themeColor="text1"/>
          <w:sz w:val="22"/>
          <w:szCs w:val="22"/>
        </w:rPr>
        <w:t xml:space="preserve">30 päeva jooksul taotlema tegevusloa kehtetuks tunnistamist ja lõpetama </w:t>
      </w:r>
      <w:r w:rsidR="00A50BB1">
        <w:rPr>
          <w:color w:val="000000" w:themeColor="text1"/>
          <w:sz w:val="22"/>
          <w:szCs w:val="22"/>
        </w:rPr>
        <w:t xml:space="preserve">vastava </w:t>
      </w:r>
      <w:r w:rsidRPr="005A55CA">
        <w:rPr>
          <w:color w:val="000000" w:themeColor="text1"/>
          <w:sz w:val="22"/>
          <w:szCs w:val="22"/>
        </w:rPr>
        <w:t xml:space="preserve">teenuse osutamise. </w:t>
      </w:r>
    </w:p>
    <w:p w14:paraId="2BB88B54" w14:textId="77777777" w:rsidR="00B450FF" w:rsidRPr="005A55CA" w:rsidRDefault="00B450FF" w:rsidP="00D375E5">
      <w:pPr>
        <w:spacing w:before="0"/>
        <w:rPr>
          <w:b/>
          <w:color w:val="000000" w:themeColor="text1"/>
          <w:sz w:val="22"/>
          <w:szCs w:val="22"/>
        </w:rPr>
      </w:pPr>
    </w:p>
    <w:p w14:paraId="6D662186" w14:textId="06DDA1E3" w:rsidR="00A3149A" w:rsidRDefault="001C714E" w:rsidP="00D375E5">
      <w:pPr>
        <w:spacing w:before="0"/>
        <w:rPr>
          <w:b/>
          <w:color w:val="000000" w:themeColor="text1"/>
          <w:sz w:val="22"/>
          <w:szCs w:val="22"/>
        </w:rPr>
      </w:pPr>
      <w:r w:rsidRPr="005A55CA">
        <w:rPr>
          <w:b/>
          <w:color w:val="000000" w:themeColor="text1"/>
          <w:sz w:val="22"/>
          <w:szCs w:val="22"/>
        </w:rPr>
        <w:t xml:space="preserve">Lõike 4 </w:t>
      </w:r>
      <w:r w:rsidRPr="005A55CA">
        <w:rPr>
          <w:color w:val="000000" w:themeColor="text1"/>
          <w:sz w:val="22"/>
          <w:szCs w:val="22"/>
        </w:rPr>
        <w:t>kohaselt on käesoleva seaduse alusel antud teenuse osutamise tegevusl</w:t>
      </w:r>
      <w:r w:rsidR="000E531E">
        <w:rPr>
          <w:color w:val="000000" w:themeColor="text1"/>
          <w:sz w:val="22"/>
          <w:szCs w:val="22"/>
        </w:rPr>
        <w:t>uba</w:t>
      </w:r>
      <w:r w:rsidRPr="005A55CA">
        <w:rPr>
          <w:color w:val="000000" w:themeColor="text1"/>
          <w:sz w:val="22"/>
          <w:szCs w:val="22"/>
        </w:rPr>
        <w:t xml:space="preserve"> tähtajatu ja </w:t>
      </w:r>
      <w:r w:rsidR="000E531E">
        <w:rPr>
          <w:color w:val="000000" w:themeColor="text1"/>
          <w:sz w:val="22"/>
          <w:szCs w:val="22"/>
        </w:rPr>
        <w:t xml:space="preserve">ei ole üleantav teisele isikule. </w:t>
      </w:r>
      <w:r w:rsidR="00A3149A" w:rsidRPr="005A55CA">
        <w:rPr>
          <w:b/>
          <w:color w:val="000000" w:themeColor="text1"/>
          <w:sz w:val="22"/>
          <w:szCs w:val="22"/>
        </w:rPr>
        <w:t xml:space="preserve"> </w:t>
      </w:r>
    </w:p>
    <w:p w14:paraId="01C74DA7" w14:textId="77777777" w:rsidR="00D62C21" w:rsidRPr="005A55CA" w:rsidRDefault="00D62C21" w:rsidP="00D375E5">
      <w:pPr>
        <w:spacing w:before="0"/>
        <w:rPr>
          <w:color w:val="000000" w:themeColor="text1"/>
          <w:sz w:val="22"/>
          <w:szCs w:val="22"/>
        </w:rPr>
      </w:pPr>
    </w:p>
    <w:p w14:paraId="378AE7C2" w14:textId="26D31B76" w:rsidR="00D62C21" w:rsidRPr="005A55CA" w:rsidRDefault="009E51AF" w:rsidP="00D375E5">
      <w:pPr>
        <w:spacing w:before="0"/>
        <w:rPr>
          <w:color w:val="000000" w:themeColor="text1"/>
          <w:sz w:val="22"/>
          <w:szCs w:val="22"/>
        </w:rPr>
      </w:pPr>
      <w:r w:rsidRPr="005A55CA">
        <w:rPr>
          <w:b/>
          <w:color w:val="000000" w:themeColor="text1"/>
          <w:sz w:val="22"/>
          <w:szCs w:val="22"/>
        </w:rPr>
        <w:t xml:space="preserve">Paragrahv </w:t>
      </w:r>
      <w:r w:rsidR="00A45F92" w:rsidRPr="005A55CA">
        <w:rPr>
          <w:b/>
          <w:color w:val="000000" w:themeColor="text1"/>
          <w:sz w:val="22"/>
          <w:szCs w:val="22"/>
        </w:rPr>
        <w:t>7</w:t>
      </w:r>
      <w:r w:rsidR="00A2444D" w:rsidRPr="005A55CA">
        <w:rPr>
          <w:b/>
          <w:color w:val="000000" w:themeColor="text1"/>
          <w:sz w:val="22"/>
          <w:szCs w:val="22"/>
        </w:rPr>
        <w:t xml:space="preserve"> </w:t>
      </w:r>
      <w:r w:rsidR="00A2444D" w:rsidRPr="005A55CA">
        <w:rPr>
          <w:color w:val="000000" w:themeColor="text1"/>
          <w:sz w:val="22"/>
          <w:szCs w:val="22"/>
        </w:rPr>
        <w:t xml:space="preserve">sätestab protseduuri tegevusloa taotlemiseks. </w:t>
      </w:r>
      <w:r w:rsidR="00F57BCA" w:rsidRPr="005A55CA">
        <w:rPr>
          <w:color w:val="000000" w:themeColor="text1"/>
          <w:sz w:val="22"/>
          <w:szCs w:val="22"/>
        </w:rPr>
        <w:t xml:space="preserve">Tegevusloa taotlemiseks tuleb esitada Finantsinspektsioonile dokumendid, mis kinnitavad teenuseosutajale seatud nõuete täitmist. Näiteks tuleb esitada </w:t>
      </w:r>
      <w:r w:rsidR="00346DBF" w:rsidRPr="005A55CA">
        <w:rPr>
          <w:color w:val="000000" w:themeColor="text1"/>
          <w:sz w:val="22"/>
          <w:szCs w:val="22"/>
        </w:rPr>
        <w:t xml:space="preserve">põhikiri, </w:t>
      </w:r>
      <w:r w:rsidR="00346DBF" w:rsidRPr="0015768F">
        <w:rPr>
          <w:color w:val="000000" w:themeColor="text1"/>
          <w:sz w:val="22"/>
          <w:szCs w:val="22"/>
        </w:rPr>
        <w:t xml:space="preserve">aktsia- või osakapitali </w:t>
      </w:r>
      <w:proofErr w:type="spellStart"/>
      <w:r w:rsidR="00346DBF" w:rsidRPr="0015768F">
        <w:rPr>
          <w:color w:val="000000" w:themeColor="text1"/>
          <w:sz w:val="22"/>
          <w:szCs w:val="22"/>
        </w:rPr>
        <w:t>sissemaksmist</w:t>
      </w:r>
      <w:proofErr w:type="spellEnd"/>
      <w:r w:rsidR="00346DBF" w:rsidRPr="0015768F">
        <w:rPr>
          <w:color w:val="000000" w:themeColor="text1"/>
          <w:sz w:val="22"/>
          <w:szCs w:val="22"/>
        </w:rPr>
        <w:t xml:space="preserve"> ning omavahendite olemasolu tõendavad dokumendid, äriplaan, </w:t>
      </w:r>
      <w:proofErr w:type="spellStart"/>
      <w:r w:rsidR="00346DBF" w:rsidRPr="0015768F">
        <w:rPr>
          <w:color w:val="000000" w:themeColor="text1"/>
          <w:sz w:val="22"/>
          <w:szCs w:val="22"/>
        </w:rPr>
        <w:t>sise</w:t>
      </w:r>
      <w:proofErr w:type="spellEnd"/>
      <w:r w:rsidR="00346DBF" w:rsidRPr="0015768F">
        <w:rPr>
          <w:color w:val="000000" w:themeColor="text1"/>
          <w:sz w:val="22"/>
          <w:szCs w:val="22"/>
        </w:rPr>
        <w:t>-eeskirjad</w:t>
      </w:r>
      <w:r w:rsidR="00A50BB1" w:rsidRPr="0015768F">
        <w:rPr>
          <w:color w:val="000000" w:themeColor="text1"/>
          <w:sz w:val="22"/>
          <w:szCs w:val="22"/>
        </w:rPr>
        <w:t xml:space="preserve"> või nende projektid, raamatupidamise </w:t>
      </w:r>
      <w:proofErr w:type="spellStart"/>
      <w:r w:rsidR="00A50BB1" w:rsidRPr="0015768F">
        <w:rPr>
          <w:color w:val="000000" w:themeColor="text1"/>
          <w:sz w:val="22"/>
          <w:szCs w:val="22"/>
        </w:rPr>
        <w:t>sise</w:t>
      </w:r>
      <w:proofErr w:type="spellEnd"/>
      <w:r w:rsidR="00A50BB1" w:rsidRPr="0015768F">
        <w:rPr>
          <w:color w:val="000000" w:themeColor="text1"/>
          <w:sz w:val="22"/>
          <w:szCs w:val="22"/>
        </w:rPr>
        <w:t xml:space="preserve">-eeskirjad, andmed </w:t>
      </w:r>
      <w:proofErr w:type="spellStart"/>
      <w:r w:rsidR="00A50BB1" w:rsidRPr="0015768F">
        <w:rPr>
          <w:color w:val="000000" w:themeColor="text1"/>
          <w:sz w:val="22"/>
          <w:szCs w:val="22"/>
        </w:rPr>
        <w:t>infotehnoloofiliste</w:t>
      </w:r>
      <w:proofErr w:type="spellEnd"/>
      <w:r w:rsidR="00A50BB1" w:rsidRPr="0015768F">
        <w:rPr>
          <w:color w:val="000000" w:themeColor="text1"/>
          <w:sz w:val="22"/>
          <w:szCs w:val="22"/>
        </w:rPr>
        <w:t xml:space="preserve"> süsteemide ja tehnoloogiliste vahendite koht</w:t>
      </w:r>
      <w:r w:rsidR="00A50BB1" w:rsidRPr="003A4690">
        <w:rPr>
          <w:color w:val="000000" w:themeColor="text1"/>
          <w:sz w:val="22"/>
          <w:szCs w:val="22"/>
        </w:rPr>
        <w:t>a, turvapoliitika või –eeskirjad, sisekontrollieeskirjad ja protseduurireeglid, organisatsioonilise struktuuri kirjeldus</w:t>
      </w:r>
      <w:r w:rsidR="00346DBF" w:rsidRPr="003A4690">
        <w:rPr>
          <w:color w:val="000000" w:themeColor="text1"/>
          <w:sz w:val="22"/>
          <w:szCs w:val="22"/>
        </w:rPr>
        <w:t xml:space="preserve"> jne (</w:t>
      </w:r>
      <w:r w:rsidR="00346DBF" w:rsidRPr="00E15E73">
        <w:rPr>
          <w:b/>
          <w:color w:val="000000" w:themeColor="text1"/>
          <w:sz w:val="22"/>
          <w:szCs w:val="22"/>
        </w:rPr>
        <w:t>lõige 1)</w:t>
      </w:r>
      <w:r w:rsidR="00346DBF" w:rsidRPr="00E15E73">
        <w:rPr>
          <w:color w:val="000000" w:themeColor="text1"/>
          <w:sz w:val="22"/>
          <w:szCs w:val="22"/>
        </w:rPr>
        <w:t xml:space="preserve">. </w:t>
      </w:r>
      <w:r w:rsidR="003F2E28" w:rsidRPr="00C102E2">
        <w:rPr>
          <w:color w:val="000000" w:themeColor="text1"/>
          <w:sz w:val="22"/>
          <w:szCs w:val="22"/>
        </w:rPr>
        <w:t xml:space="preserve">Ühe erisusena võrreldes muude finantsjärelevalvesubjektide kohta kehtestatud eriseadustega on lõike 1 </w:t>
      </w:r>
      <w:r w:rsidR="003F2E28" w:rsidRPr="004466B0">
        <w:rPr>
          <w:color w:val="000000" w:themeColor="text1"/>
          <w:sz w:val="22"/>
          <w:szCs w:val="22"/>
        </w:rPr>
        <w:t xml:space="preserve">punktis </w:t>
      </w:r>
      <w:r w:rsidR="008A67D5" w:rsidRPr="004466B0">
        <w:rPr>
          <w:color w:val="000000" w:themeColor="text1"/>
          <w:sz w:val="22"/>
          <w:szCs w:val="22"/>
        </w:rPr>
        <w:t>1</w:t>
      </w:r>
      <w:r w:rsidR="007E2C8C">
        <w:rPr>
          <w:color w:val="000000" w:themeColor="text1"/>
          <w:sz w:val="22"/>
          <w:szCs w:val="22"/>
        </w:rPr>
        <w:t>7</w:t>
      </w:r>
      <w:r w:rsidR="003F2E28" w:rsidRPr="0015768F">
        <w:rPr>
          <w:color w:val="000000" w:themeColor="text1"/>
          <w:sz w:val="22"/>
          <w:szCs w:val="22"/>
        </w:rPr>
        <w:t xml:space="preserve"> ette nähtud tegevusloa taotleja kohustus esitada iga maksekonto andmed (sh maksekonto IBAN ja krediidi-, makse- või e-raha asutus, mille juures konto on avatud)</w:t>
      </w:r>
      <w:r w:rsidR="00A45F92" w:rsidRPr="003A4690">
        <w:rPr>
          <w:color w:val="000000" w:themeColor="text1"/>
          <w:sz w:val="22"/>
          <w:szCs w:val="22"/>
        </w:rPr>
        <w:t xml:space="preserve">, ning </w:t>
      </w:r>
      <w:proofErr w:type="spellStart"/>
      <w:r w:rsidR="007E2C8C">
        <w:rPr>
          <w:color w:val="000000" w:themeColor="text1"/>
          <w:sz w:val="22"/>
          <w:szCs w:val="22"/>
        </w:rPr>
        <w:t>krüptovara</w:t>
      </w:r>
      <w:proofErr w:type="spellEnd"/>
      <w:r w:rsidR="00A45F92" w:rsidRPr="003A4690">
        <w:rPr>
          <w:color w:val="000000" w:themeColor="text1"/>
          <w:sz w:val="22"/>
          <w:szCs w:val="22"/>
        </w:rPr>
        <w:t xml:space="preserve"> rahakoti või muu </w:t>
      </w:r>
      <w:r w:rsidR="00BB1078">
        <w:rPr>
          <w:color w:val="000000" w:themeColor="text1"/>
          <w:sz w:val="22"/>
          <w:szCs w:val="22"/>
        </w:rPr>
        <w:t>vahendi kordumatu</w:t>
      </w:r>
      <w:r w:rsidR="00A45F92" w:rsidRPr="003A4690">
        <w:rPr>
          <w:color w:val="000000" w:themeColor="text1"/>
          <w:sz w:val="22"/>
          <w:szCs w:val="22"/>
        </w:rPr>
        <w:t xml:space="preserve"> tunnus, mida teenuseosutaja kasutab kliendilt raha või rahaliste vahendite vastuvõtmiseks või hoiustamiseks</w:t>
      </w:r>
      <w:r w:rsidR="003F2E28" w:rsidRPr="00E15E73">
        <w:rPr>
          <w:color w:val="000000" w:themeColor="text1"/>
          <w:sz w:val="22"/>
          <w:szCs w:val="22"/>
        </w:rPr>
        <w:t xml:space="preserve">. Nimetatud andmete edastamine Finantsinspektsioonile on vajalik, et viimasel oleks võimalik saada ülevaadet teenuseosutaja klientide </w:t>
      </w:r>
      <w:r w:rsidR="002E1744" w:rsidRPr="00E15E73">
        <w:rPr>
          <w:color w:val="000000" w:themeColor="text1"/>
          <w:sz w:val="22"/>
          <w:szCs w:val="22"/>
        </w:rPr>
        <w:t>seadusest tulenevate vara hoidmise nõuete järgimise kohta ning seeläbi kai</w:t>
      </w:r>
      <w:r w:rsidR="002E1744" w:rsidRPr="004466B0">
        <w:rPr>
          <w:color w:val="000000" w:themeColor="text1"/>
          <w:sz w:val="22"/>
          <w:szCs w:val="22"/>
        </w:rPr>
        <w:t xml:space="preserve">tsta teenuseosutaja klientide huve. </w:t>
      </w:r>
      <w:r w:rsidR="00C11A70">
        <w:rPr>
          <w:color w:val="000000" w:themeColor="text1"/>
          <w:sz w:val="22"/>
          <w:szCs w:val="22"/>
        </w:rPr>
        <w:t>U</w:t>
      </w:r>
      <w:r w:rsidR="002E1744" w:rsidRPr="004466B0">
        <w:rPr>
          <w:color w:val="000000" w:themeColor="text1"/>
          <w:sz w:val="22"/>
          <w:szCs w:val="22"/>
        </w:rPr>
        <w:t>ue maksekonto</w:t>
      </w:r>
      <w:r w:rsidR="00A45F92" w:rsidRPr="005A55CA">
        <w:rPr>
          <w:color w:val="000000" w:themeColor="text1"/>
          <w:sz w:val="22"/>
          <w:szCs w:val="22"/>
        </w:rPr>
        <w:t xml:space="preserve">, </w:t>
      </w:r>
      <w:proofErr w:type="spellStart"/>
      <w:r w:rsidR="007E2C8C">
        <w:rPr>
          <w:color w:val="000000" w:themeColor="text1"/>
          <w:sz w:val="22"/>
          <w:szCs w:val="22"/>
        </w:rPr>
        <w:t>krüptovara</w:t>
      </w:r>
      <w:proofErr w:type="spellEnd"/>
      <w:r w:rsidR="00A45F92" w:rsidRPr="005A55CA">
        <w:rPr>
          <w:color w:val="000000" w:themeColor="text1"/>
          <w:sz w:val="22"/>
          <w:szCs w:val="22"/>
        </w:rPr>
        <w:t xml:space="preserve"> rahakoti või muu sarnase meetme</w:t>
      </w:r>
      <w:r w:rsidR="002E1744" w:rsidRPr="005A55CA">
        <w:rPr>
          <w:color w:val="000000" w:themeColor="text1"/>
          <w:sz w:val="22"/>
          <w:szCs w:val="22"/>
        </w:rPr>
        <w:t xml:space="preserve"> avamisel tegevusloa taotlejale või tegevusluba omavale juriidilisele isikule tuleb sellekohased andmed edastada viivitamata Finantsinspektsioonile (vt allpool </w:t>
      </w:r>
      <w:r w:rsidR="00A45F92" w:rsidRPr="005A55CA">
        <w:rPr>
          <w:color w:val="000000" w:themeColor="text1"/>
          <w:sz w:val="22"/>
          <w:szCs w:val="22"/>
        </w:rPr>
        <w:t xml:space="preserve">paragrahvi </w:t>
      </w:r>
      <w:r w:rsidR="00F129CD">
        <w:rPr>
          <w:color w:val="000000" w:themeColor="text1"/>
          <w:sz w:val="22"/>
          <w:szCs w:val="22"/>
        </w:rPr>
        <w:t xml:space="preserve">9 </w:t>
      </w:r>
      <w:r w:rsidR="00A45F92" w:rsidRPr="005A55CA">
        <w:rPr>
          <w:color w:val="000000" w:themeColor="text1"/>
          <w:sz w:val="22"/>
          <w:szCs w:val="22"/>
        </w:rPr>
        <w:t xml:space="preserve">lõiget </w:t>
      </w:r>
      <w:r w:rsidR="00F129CD">
        <w:rPr>
          <w:color w:val="000000" w:themeColor="text1"/>
          <w:sz w:val="22"/>
          <w:szCs w:val="22"/>
        </w:rPr>
        <w:t>5</w:t>
      </w:r>
      <w:r w:rsidR="002E1744" w:rsidRPr="005A55CA">
        <w:rPr>
          <w:color w:val="000000" w:themeColor="text1"/>
          <w:sz w:val="22"/>
          <w:szCs w:val="22"/>
        </w:rPr>
        <w:t>).</w:t>
      </w:r>
    </w:p>
    <w:p w14:paraId="39CF3B12" w14:textId="77777777" w:rsidR="00111678" w:rsidRPr="005A55CA" w:rsidRDefault="00111678" w:rsidP="00D375E5">
      <w:pPr>
        <w:spacing w:before="0"/>
        <w:rPr>
          <w:color w:val="000000" w:themeColor="text1"/>
          <w:sz w:val="22"/>
          <w:szCs w:val="22"/>
        </w:rPr>
      </w:pPr>
    </w:p>
    <w:p w14:paraId="3A9FBCA1" w14:textId="0BD14248" w:rsidR="00582AF1" w:rsidRPr="000D5325" w:rsidRDefault="00D62C21" w:rsidP="00D375E5">
      <w:pPr>
        <w:autoSpaceDE w:val="0"/>
        <w:autoSpaceDN w:val="0"/>
        <w:adjustRightInd w:val="0"/>
        <w:spacing w:before="0"/>
        <w:rPr>
          <w:color w:val="000000" w:themeColor="text1"/>
          <w:sz w:val="22"/>
          <w:szCs w:val="22"/>
        </w:rPr>
      </w:pPr>
      <w:r w:rsidRPr="00D726BC">
        <w:rPr>
          <w:b/>
          <w:color w:val="000000" w:themeColor="text1"/>
          <w:sz w:val="22"/>
          <w:szCs w:val="22"/>
        </w:rPr>
        <w:t>Lõikes 2</w:t>
      </w:r>
      <w:r w:rsidRPr="005A55CA">
        <w:rPr>
          <w:color w:val="000000" w:themeColor="text1"/>
          <w:sz w:val="22"/>
          <w:szCs w:val="22"/>
        </w:rPr>
        <w:t xml:space="preserve"> on selgitatud tegevusloa taotlemisel esitatava turvapoliitika kirjelduse sisu. Kuivõrd käesolevas seaduses sätestatud teenuste näol on tegemist valdavalt elektroonilistel süsteemidel põhinevate teenustega, mille puhul on iseäranis oluline süsteemide turvalisus ja ka klientide </w:t>
      </w:r>
      <w:r w:rsidRPr="000D5325">
        <w:rPr>
          <w:color w:val="000000" w:themeColor="text1"/>
          <w:sz w:val="22"/>
          <w:szCs w:val="22"/>
        </w:rPr>
        <w:t xml:space="preserve">andmete kaitse, siis tuleb tegevusloa taotlejal erilist rõhku asetada </w:t>
      </w:r>
      <w:r w:rsidR="00346DBF" w:rsidRPr="000D5325">
        <w:rPr>
          <w:color w:val="000000" w:themeColor="text1"/>
          <w:sz w:val="22"/>
          <w:szCs w:val="22"/>
        </w:rPr>
        <w:t>teenuse osutamisel kasutatavate lahendustega seotud riskide hindamisele ja maandamisele (</w:t>
      </w:r>
      <w:r w:rsidR="00346DBF" w:rsidRPr="000D5325">
        <w:rPr>
          <w:b/>
          <w:color w:val="000000" w:themeColor="text1"/>
          <w:sz w:val="22"/>
          <w:szCs w:val="22"/>
        </w:rPr>
        <w:t xml:space="preserve">lõige 2 punkt 1) </w:t>
      </w:r>
      <w:r w:rsidR="00346DBF" w:rsidRPr="000D5325">
        <w:rPr>
          <w:color w:val="000000" w:themeColor="text1"/>
          <w:sz w:val="22"/>
          <w:szCs w:val="22"/>
        </w:rPr>
        <w:t>ja teenuseosutaja valduses olevate andmete turvalisus (</w:t>
      </w:r>
      <w:r w:rsidR="00346DBF" w:rsidRPr="000D5325">
        <w:rPr>
          <w:b/>
          <w:color w:val="000000" w:themeColor="text1"/>
          <w:sz w:val="22"/>
          <w:szCs w:val="22"/>
        </w:rPr>
        <w:t>lõige 2 punkt 2</w:t>
      </w:r>
      <w:r w:rsidR="00346DBF" w:rsidRPr="000D5325">
        <w:rPr>
          <w:color w:val="000000" w:themeColor="text1"/>
          <w:sz w:val="22"/>
          <w:szCs w:val="22"/>
        </w:rPr>
        <w:t xml:space="preserve">). </w:t>
      </w:r>
      <w:r w:rsidR="00673B55" w:rsidRPr="000D5325">
        <w:rPr>
          <w:color w:val="000000" w:themeColor="text1"/>
          <w:sz w:val="22"/>
          <w:szCs w:val="22"/>
        </w:rPr>
        <w:t xml:space="preserve">Lisaks lõike 2 punktides 1-2 nimetatud teabele peab tegevusloa taotlemisel </w:t>
      </w:r>
      <w:proofErr w:type="spellStart"/>
      <w:r w:rsidR="00673B55" w:rsidRPr="000D5325">
        <w:rPr>
          <w:color w:val="000000" w:themeColor="text1"/>
          <w:sz w:val="22"/>
          <w:szCs w:val="22"/>
        </w:rPr>
        <w:t>esitatatud</w:t>
      </w:r>
      <w:proofErr w:type="spellEnd"/>
      <w:r w:rsidR="00673B55" w:rsidRPr="000D5325">
        <w:rPr>
          <w:color w:val="000000" w:themeColor="text1"/>
          <w:sz w:val="22"/>
          <w:szCs w:val="22"/>
        </w:rPr>
        <w:t xml:space="preserve"> turvapoliitika või –</w:t>
      </w:r>
      <w:proofErr w:type="spellStart"/>
      <w:r w:rsidR="00673B55" w:rsidRPr="000D5325">
        <w:rPr>
          <w:color w:val="000000" w:themeColor="text1"/>
          <w:sz w:val="22"/>
          <w:szCs w:val="22"/>
        </w:rPr>
        <w:t>eekirjade</w:t>
      </w:r>
      <w:proofErr w:type="spellEnd"/>
      <w:r w:rsidR="00673B55" w:rsidRPr="000D5325">
        <w:rPr>
          <w:color w:val="000000" w:themeColor="text1"/>
          <w:sz w:val="22"/>
          <w:szCs w:val="22"/>
        </w:rPr>
        <w:t xml:space="preserve"> kirjeldus sisaldama </w:t>
      </w:r>
      <w:r w:rsidR="00582AF1" w:rsidRPr="000D5325">
        <w:rPr>
          <w:color w:val="000000" w:themeColor="text1"/>
          <w:sz w:val="22"/>
          <w:szCs w:val="22"/>
        </w:rPr>
        <w:t>ülevaadet</w:t>
      </w:r>
      <w:r w:rsidR="00673B55" w:rsidRPr="000D5325">
        <w:rPr>
          <w:color w:val="000000" w:themeColor="text1"/>
          <w:sz w:val="22"/>
          <w:szCs w:val="22"/>
        </w:rPr>
        <w:t xml:space="preserve"> </w:t>
      </w:r>
      <w:r w:rsidR="000D5325" w:rsidRPr="000D5325">
        <w:rPr>
          <w:sz w:val="22"/>
          <w:szCs w:val="22"/>
        </w:rPr>
        <w:t xml:space="preserve">tegevusloa </w:t>
      </w:r>
      <w:r w:rsidR="00673B55" w:rsidRPr="000D5325">
        <w:rPr>
          <w:color w:val="000000" w:themeColor="text1"/>
          <w:sz w:val="22"/>
          <w:szCs w:val="22"/>
        </w:rPr>
        <w:t>taotleja poolt kasutusel olevate tehnoloogiliste lahen</w:t>
      </w:r>
      <w:r w:rsidR="00D229AD" w:rsidRPr="000D5325">
        <w:rPr>
          <w:color w:val="000000" w:themeColor="text1"/>
          <w:sz w:val="22"/>
          <w:szCs w:val="22"/>
        </w:rPr>
        <w:t>d</w:t>
      </w:r>
      <w:r w:rsidR="00673B55" w:rsidRPr="000D5325">
        <w:rPr>
          <w:color w:val="000000" w:themeColor="text1"/>
          <w:sz w:val="22"/>
          <w:szCs w:val="22"/>
        </w:rPr>
        <w:t xml:space="preserve">uste ja </w:t>
      </w:r>
      <w:proofErr w:type="spellStart"/>
      <w:r w:rsidR="00673B55" w:rsidRPr="000D5325">
        <w:rPr>
          <w:color w:val="000000" w:themeColor="text1"/>
          <w:sz w:val="22"/>
          <w:szCs w:val="22"/>
        </w:rPr>
        <w:t>küberturvalisuse</w:t>
      </w:r>
      <w:proofErr w:type="spellEnd"/>
      <w:r w:rsidR="00673B55" w:rsidRPr="000D5325">
        <w:rPr>
          <w:color w:val="000000" w:themeColor="text1"/>
          <w:sz w:val="22"/>
          <w:szCs w:val="22"/>
        </w:rPr>
        <w:t xml:space="preserve"> tagamise kohta</w:t>
      </w:r>
      <w:r w:rsidR="00214DC1">
        <w:rPr>
          <w:color w:val="000000" w:themeColor="text1"/>
          <w:sz w:val="22"/>
          <w:szCs w:val="22"/>
        </w:rPr>
        <w:t xml:space="preserve"> (</w:t>
      </w:r>
      <w:r w:rsidR="00214DC1">
        <w:rPr>
          <w:b/>
          <w:bCs/>
          <w:color w:val="000000" w:themeColor="text1"/>
          <w:sz w:val="22"/>
          <w:szCs w:val="22"/>
        </w:rPr>
        <w:t>lõige 2 punkt 3</w:t>
      </w:r>
      <w:r w:rsidR="00214DC1">
        <w:rPr>
          <w:color w:val="000000" w:themeColor="text1"/>
          <w:sz w:val="22"/>
          <w:szCs w:val="22"/>
        </w:rPr>
        <w:t>)</w:t>
      </w:r>
      <w:r w:rsidR="00673B55" w:rsidRPr="000D5325">
        <w:rPr>
          <w:color w:val="000000" w:themeColor="text1"/>
          <w:sz w:val="22"/>
          <w:szCs w:val="22"/>
        </w:rPr>
        <w:t xml:space="preserve">. </w:t>
      </w:r>
    </w:p>
    <w:p w14:paraId="76EB8FD7" w14:textId="77777777" w:rsidR="00582AF1" w:rsidRPr="000D5325" w:rsidRDefault="00582AF1" w:rsidP="00D375E5">
      <w:pPr>
        <w:autoSpaceDE w:val="0"/>
        <w:autoSpaceDN w:val="0"/>
        <w:adjustRightInd w:val="0"/>
        <w:spacing w:before="0"/>
        <w:rPr>
          <w:color w:val="000000" w:themeColor="text1"/>
          <w:sz w:val="22"/>
          <w:szCs w:val="22"/>
        </w:rPr>
      </w:pPr>
    </w:p>
    <w:p w14:paraId="415717FA" w14:textId="7EEEA86D" w:rsidR="00DD023C" w:rsidRPr="005A55CA" w:rsidRDefault="00582AF1" w:rsidP="00D375E5">
      <w:pPr>
        <w:autoSpaceDE w:val="0"/>
        <w:autoSpaceDN w:val="0"/>
        <w:adjustRightInd w:val="0"/>
        <w:spacing w:before="0"/>
        <w:rPr>
          <w:color w:val="000000" w:themeColor="text1"/>
          <w:sz w:val="22"/>
          <w:szCs w:val="22"/>
        </w:rPr>
      </w:pPr>
      <w:r w:rsidRPr="000D5325">
        <w:rPr>
          <w:b/>
          <w:color w:val="000000" w:themeColor="text1"/>
          <w:sz w:val="22"/>
          <w:szCs w:val="22"/>
        </w:rPr>
        <w:t xml:space="preserve">Lõike 3 </w:t>
      </w:r>
      <w:r w:rsidRPr="000D5325">
        <w:rPr>
          <w:color w:val="000000" w:themeColor="text1"/>
          <w:sz w:val="22"/>
          <w:szCs w:val="22"/>
        </w:rPr>
        <w:t xml:space="preserve">kohaselt võib Finantsinspektsioon nõuda sõltumatu eksperdi hinnangut </w:t>
      </w:r>
      <w:r w:rsidR="000D5325" w:rsidRPr="000D5325">
        <w:rPr>
          <w:sz w:val="22"/>
          <w:szCs w:val="22"/>
        </w:rPr>
        <w:t xml:space="preserve">tegevusloa </w:t>
      </w:r>
      <w:r w:rsidRPr="000D5325">
        <w:rPr>
          <w:color w:val="000000" w:themeColor="text1"/>
          <w:sz w:val="22"/>
          <w:szCs w:val="22"/>
        </w:rPr>
        <w:t>taotleja</w:t>
      </w:r>
      <w:r>
        <w:rPr>
          <w:color w:val="000000" w:themeColor="text1"/>
          <w:sz w:val="22"/>
          <w:szCs w:val="22"/>
        </w:rPr>
        <w:t xml:space="preserve"> kasutatavate tehnoloogiliste lahenduste ja </w:t>
      </w:r>
      <w:proofErr w:type="spellStart"/>
      <w:r>
        <w:rPr>
          <w:color w:val="000000" w:themeColor="text1"/>
          <w:sz w:val="22"/>
          <w:szCs w:val="22"/>
        </w:rPr>
        <w:t>küberturvalisuse</w:t>
      </w:r>
      <w:proofErr w:type="spellEnd"/>
      <w:r>
        <w:rPr>
          <w:color w:val="000000" w:themeColor="text1"/>
          <w:sz w:val="22"/>
          <w:szCs w:val="22"/>
        </w:rPr>
        <w:t xml:space="preserve"> tagamise kohta. Nimetatud eksperdi näol ei pea t</w:t>
      </w:r>
      <w:r w:rsidR="00673B55">
        <w:rPr>
          <w:color w:val="000000" w:themeColor="text1"/>
          <w:sz w:val="22"/>
          <w:szCs w:val="22"/>
        </w:rPr>
        <w:t xml:space="preserve">egemist olema tingimata kvalifitseeritud IT-audiitoriga, kuid hinnangu andnud ekspert peab </w:t>
      </w:r>
      <w:r w:rsidR="00CC43DF">
        <w:rPr>
          <w:color w:val="000000" w:themeColor="text1"/>
          <w:sz w:val="22"/>
          <w:szCs w:val="22"/>
        </w:rPr>
        <w:t xml:space="preserve">tundma teenuseosutaja valdkonda, </w:t>
      </w:r>
      <w:r w:rsidR="00673B55">
        <w:rPr>
          <w:color w:val="000000" w:themeColor="text1"/>
          <w:sz w:val="22"/>
          <w:szCs w:val="22"/>
        </w:rPr>
        <w:t xml:space="preserve">suutma kontrollida turvapoliitika või –eeskirjade sisu ning nende praktikas rakendamist; samuti seda, et eeskirjades toodu on kas tegelikult taotlejal kasutusel või on taotleja võimeline eeskirjades nimetatud </w:t>
      </w:r>
      <w:proofErr w:type="spellStart"/>
      <w:r w:rsidR="00673B55">
        <w:rPr>
          <w:color w:val="000000" w:themeColor="text1"/>
          <w:sz w:val="22"/>
          <w:szCs w:val="22"/>
        </w:rPr>
        <w:t>meemeid</w:t>
      </w:r>
      <w:proofErr w:type="spellEnd"/>
      <w:r w:rsidR="00673B55">
        <w:rPr>
          <w:color w:val="000000" w:themeColor="text1"/>
          <w:sz w:val="22"/>
          <w:szCs w:val="22"/>
        </w:rPr>
        <w:t xml:space="preserve"> rakendama. </w:t>
      </w:r>
      <w:r w:rsidR="00CC43DF">
        <w:rPr>
          <w:color w:val="000000" w:themeColor="text1"/>
          <w:sz w:val="22"/>
          <w:szCs w:val="22"/>
        </w:rPr>
        <w:t xml:space="preserve">Samuti ei ole tegemist nõudega kohustuslikus korras esitada vastava sõltumatu eksperdi hinnang, vaid Finantsinspektsioonile antud õigusega nimetatud hinnangut küsida, kui tegevusloa taotleja poolt esitatud </w:t>
      </w:r>
      <w:proofErr w:type="spellStart"/>
      <w:r w:rsidR="00CC43DF">
        <w:rPr>
          <w:color w:val="000000" w:themeColor="text1"/>
          <w:sz w:val="22"/>
          <w:szCs w:val="22"/>
        </w:rPr>
        <w:t>sise</w:t>
      </w:r>
      <w:proofErr w:type="spellEnd"/>
      <w:r w:rsidR="00CC43DF">
        <w:rPr>
          <w:color w:val="000000" w:themeColor="text1"/>
          <w:sz w:val="22"/>
          <w:szCs w:val="22"/>
        </w:rPr>
        <w:t xml:space="preserve">-eeskirjadest (sh turvapoliitika või -eeskirjade kirjeldusest) ei ole </w:t>
      </w:r>
      <w:r w:rsidR="00D81DAF">
        <w:rPr>
          <w:color w:val="000000" w:themeColor="text1"/>
          <w:sz w:val="22"/>
          <w:szCs w:val="22"/>
        </w:rPr>
        <w:t>piisavalt</w:t>
      </w:r>
      <w:r w:rsidR="00CC43DF">
        <w:rPr>
          <w:color w:val="000000" w:themeColor="text1"/>
          <w:sz w:val="22"/>
          <w:szCs w:val="22"/>
        </w:rPr>
        <w:t xml:space="preserve"> selge, </w:t>
      </w:r>
      <w:r w:rsidR="00D81DAF">
        <w:rPr>
          <w:color w:val="000000" w:themeColor="text1"/>
          <w:sz w:val="22"/>
          <w:szCs w:val="22"/>
        </w:rPr>
        <w:t>et taotleja poolt kasutusel olevad või kasutusele võetavad süsteemid on kooskõlas käesoleva seaduse nõuetega.</w:t>
      </w:r>
      <w:r w:rsidR="00CC43DF">
        <w:rPr>
          <w:color w:val="000000" w:themeColor="text1"/>
          <w:sz w:val="22"/>
          <w:szCs w:val="22"/>
        </w:rPr>
        <w:t xml:space="preserve"> </w:t>
      </w:r>
    </w:p>
    <w:p w14:paraId="5F820C65" w14:textId="70A3DE28" w:rsidR="00160D55" w:rsidRPr="005A55CA" w:rsidRDefault="00160D55" w:rsidP="00D375E5">
      <w:pPr>
        <w:autoSpaceDE w:val="0"/>
        <w:autoSpaceDN w:val="0"/>
        <w:adjustRightInd w:val="0"/>
        <w:spacing w:before="0"/>
        <w:rPr>
          <w:color w:val="000000" w:themeColor="text1"/>
          <w:sz w:val="22"/>
          <w:szCs w:val="22"/>
        </w:rPr>
      </w:pPr>
    </w:p>
    <w:p w14:paraId="7A0D96BF" w14:textId="0228EC8F" w:rsidR="00214DC1" w:rsidRPr="00214DC1" w:rsidRDefault="00DC0D36" w:rsidP="00D375E5">
      <w:pPr>
        <w:autoSpaceDE w:val="0"/>
        <w:autoSpaceDN w:val="0"/>
        <w:adjustRightInd w:val="0"/>
        <w:spacing w:before="0"/>
        <w:rPr>
          <w:bCs/>
          <w:color w:val="000000" w:themeColor="text1"/>
          <w:sz w:val="22"/>
          <w:szCs w:val="22"/>
        </w:rPr>
      </w:pPr>
      <w:r w:rsidRPr="005A55CA">
        <w:rPr>
          <w:b/>
          <w:color w:val="000000" w:themeColor="text1"/>
          <w:sz w:val="22"/>
          <w:szCs w:val="22"/>
        </w:rPr>
        <w:t xml:space="preserve">Lõike 4 </w:t>
      </w:r>
      <w:r w:rsidR="00214DC1">
        <w:rPr>
          <w:bCs/>
          <w:color w:val="000000" w:themeColor="text1"/>
          <w:sz w:val="22"/>
          <w:szCs w:val="22"/>
        </w:rPr>
        <w:t xml:space="preserve">kohaselt peab </w:t>
      </w:r>
      <w:proofErr w:type="spellStart"/>
      <w:r w:rsidR="00214DC1">
        <w:rPr>
          <w:bCs/>
          <w:color w:val="000000" w:themeColor="text1"/>
          <w:sz w:val="22"/>
          <w:szCs w:val="22"/>
        </w:rPr>
        <w:t>krüptovarateenuse</w:t>
      </w:r>
      <w:proofErr w:type="spellEnd"/>
      <w:r w:rsidR="00214DC1">
        <w:rPr>
          <w:bCs/>
          <w:color w:val="000000" w:themeColor="text1"/>
          <w:sz w:val="22"/>
          <w:szCs w:val="22"/>
        </w:rPr>
        <w:t xml:space="preserve"> tegevusloa taotlemisel tegevusloa taotleja esitama kirjelduse seaduse 6. peatüki </w:t>
      </w:r>
      <w:r w:rsidR="008A0850">
        <w:rPr>
          <w:bCs/>
          <w:color w:val="000000" w:themeColor="text1"/>
          <w:sz w:val="22"/>
          <w:szCs w:val="22"/>
        </w:rPr>
        <w:t>4</w:t>
      </w:r>
      <w:r w:rsidR="00214DC1">
        <w:rPr>
          <w:bCs/>
          <w:color w:val="000000" w:themeColor="text1"/>
          <w:sz w:val="22"/>
          <w:szCs w:val="22"/>
        </w:rPr>
        <w:t>. jaos toodud asjakohaste nõuete täitmise kohta.</w:t>
      </w:r>
      <w:r w:rsidR="00B92019">
        <w:rPr>
          <w:bCs/>
          <w:color w:val="000000" w:themeColor="text1"/>
          <w:sz w:val="22"/>
          <w:szCs w:val="22"/>
        </w:rPr>
        <w:t xml:space="preserve"> </w:t>
      </w:r>
      <w:r w:rsidR="00CC43DF">
        <w:rPr>
          <w:bCs/>
          <w:color w:val="000000" w:themeColor="text1"/>
          <w:sz w:val="22"/>
          <w:szCs w:val="22"/>
        </w:rPr>
        <w:t xml:space="preserve">Tegemist on viitega sama seaduse § 54-59, mis sätestavad täpsemad tegevusnõuded vastavatele </w:t>
      </w:r>
      <w:proofErr w:type="spellStart"/>
      <w:r w:rsidR="00CC43DF">
        <w:rPr>
          <w:bCs/>
          <w:color w:val="000000" w:themeColor="text1"/>
          <w:sz w:val="22"/>
          <w:szCs w:val="22"/>
        </w:rPr>
        <w:t>krüptovarateenuste</w:t>
      </w:r>
      <w:proofErr w:type="spellEnd"/>
      <w:r w:rsidR="00CC43DF">
        <w:rPr>
          <w:bCs/>
          <w:color w:val="000000" w:themeColor="text1"/>
          <w:sz w:val="22"/>
          <w:szCs w:val="22"/>
        </w:rPr>
        <w:t xml:space="preserve"> osutajatele. </w:t>
      </w:r>
    </w:p>
    <w:p w14:paraId="6DDD54AC" w14:textId="77777777" w:rsidR="00214DC1" w:rsidRDefault="00214DC1" w:rsidP="00D375E5">
      <w:pPr>
        <w:autoSpaceDE w:val="0"/>
        <w:autoSpaceDN w:val="0"/>
        <w:adjustRightInd w:val="0"/>
        <w:spacing w:before="0"/>
        <w:rPr>
          <w:b/>
          <w:color w:val="000000" w:themeColor="text1"/>
          <w:sz w:val="22"/>
          <w:szCs w:val="22"/>
        </w:rPr>
      </w:pPr>
    </w:p>
    <w:p w14:paraId="598EA7BB" w14:textId="7EDF0559" w:rsidR="00160D55" w:rsidRPr="005A55CA" w:rsidRDefault="00B638CC" w:rsidP="00D375E5">
      <w:pPr>
        <w:autoSpaceDE w:val="0"/>
        <w:autoSpaceDN w:val="0"/>
        <w:adjustRightInd w:val="0"/>
        <w:spacing w:before="0"/>
        <w:rPr>
          <w:color w:val="000000" w:themeColor="text1"/>
          <w:sz w:val="22"/>
          <w:szCs w:val="22"/>
        </w:rPr>
      </w:pPr>
      <w:r>
        <w:rPr>
          <w:b/>
          <w:bCs/>
          <w:color w:val="000000" w:themeColor="text1"/>
          <w:sz w:val="22"/>
          <w:szCs w:val="22"/>
        </w:rPr>
        <w:t xml:space="preserve">Lõike 5 </w:t>
      </w:r>
      <w:r w:rsidR="00DC0D36" w:rsidRPr="005A55CA">
        <w:rPr>
          <w:color w:val="000000" w:themeColor="text1"/>
          <w:sz w:val="22"/>
          <w:szCs w:val="22"/>
        </w:rPr>
        <w:t>kohaselt tuleb</w:t>
      </w:r>
      <w:r w:rsidR="00DC0D36" w:rsidRPr="00A50BB1">
        <w:rPr>
          <w:color w:val="000000" w:themeColor="text1"/>
          <w:sz w:val="22"/>
          <w:szCs w:val="22"/>
        </w:rPr>
        <w:t xml:space="preserve"> t</w:t>
      </w:r>
      <w:r w:rsidR="00160D55" w:rsidRPr="00A50BB1">
        <w:rPr>
          <w:color w:val="000000" w:themeColor="text1"/>
          <w:sz w:val="22"/>
          <w:szCs w:val="22"/>
        </w:rPr>
        <w:t>egevusloa</w:t>
      </w:r>
      <w:r w:rsidR="00160D55" w:rsidRPr="005A55CA">
        <w:rPr>
          <w:color w:val="000000" w:themeColor="text1"/>
          <w:sz w:val="22"/>
          <w:szCs w:val="22"/>
        </w:rPr>
        <w:t xml:space="preserve"> taotlusele lisada ka taotleja kinnitus, et tegevusloa taotleja juht</w:t>
      </w:r>
      <w:r>
        <w:rPr>
          <w:color w:val="000000" w:themeColor="text1"/>
          <w:sz w:val="22"/>
          <w:szCs w:val="22"/>
        </w:rPr>
        <w:t>organite liikmeid ei ole karistatud</w:t>
      </w:r>
      <w:r w:rsidR="00160D55" w:rsidRPr="005A55CA">
        <w:rPr>
          <w:color w:val="000000" w:themeColor="text1"/>
          <w:sz w:val="22"/>
          <w:szCs w:val="22"/>
        </w:rPr>
        <w:t xml:space="preserve"> </w:t>
      </w:r>
      <w:r w:rsidR="008C5B32" w:rsidRPr="005A55CA">
        <w:rPr>
          <w:sz w:val="22"/>
          <w:szCs w:val="22"/>
        </w:rPr>
        <w:t xml:space="preserve">äriühinguõiguse, maksejõuetusõiguse, finantsteenuseid käsitlevate õigusaktide, rahapesu- ja terrorismivastaste õigusaktide, pettuse või ametialase vastutuse valdkonnas kehtiva </w:t>
      </w:r>
      <w:r>
        <w:rPr>
          <w:sz w:val="22"/>
          <w:szCs w:val="22"/>
        </w:rPr>
        <w:t xml:space="preserve">riigisisese õiguse alusel. </w:t>
      </w:r>
      <w:r w:rsidR="00FC3B3C">
        <w:rPr>
          <w:sz w:val="22"/>
          <w:szCs w:val="22"/>
        </w:rPr>
        <w:t xml:space="preserve">Siia hulka kuuluvad </w:t>
      </w:r>
      <w:r w:rsidR="0013024F">
        <w:rPr>
          <w:sz w:val="22"/>
          <w:szCs w:val="22"/>
        </w:rPr>
        <w:t>muuhulgas (kuid mitte ainult):</w:t>
      </w:r>
      <w:r w:rsidR="00FC3B3C">
        <w:rPr>
          <w:sz w:val="22"/>
          <w:szCs w:val="22"/>
        </w:rPr>
        <w:t xml:space="preserve"> karistusseadustiku</w:t>
      </w:r>
      <w:r w:rsidR="0013024F">
        <w:rPr>
          <w:sz w:val="22"/>
          <w:szCs w:val="22"/>
        </w:rPr>
        <w:t xml:space="preserve"> 21. peatüki 1.-7. jaos</w:t>
      </w:r>
      <w:r w:rsidR="00FC3B3C">
        <w:rPr>
          <w:sz w:val="22"/>
          <w:szCs w:val="22"/>
        </w:rPr>
        <w:t xml:space="preserve">, </w:t>
      </w:r>
      <w:proofErr w:type="spellStart"/>
      <w:r w:rsidR="00FC3B3C">
        <w:rPr>
          <w:sz w:val="22"/>
          <w:szCs w:val="22"/>
        </w:rPr>
        <w:t>RahaPTS</w:t>
      </w:r>
      <w:proofErr w:type="spellEnd"/>
      <w:r w:rsidR="00FC3B3C">
        <w:rPr>
          <w:sz w:val="22"/>
          <w:szCs w:val="22"/>
        </w:rPr>
        <w:t>-i</w:t>
      </w:r>
      <w:r w:rsidR="0013024F">
        <w:rPr>
          <w:sz w:val="22"/>
          <w:szCs w:val="22"/>
        </w:rPr>
        <w:t xml:space="preserve"> 10. peatükis</w:t>
      </w:r>
      <w:r w:rsidR="00FC3B3C">
        <w:rPr>
          <w:sz w:val="22"/>
          <w:szCs w:val="22"/>
        </w:rPr>
        <w:t xml:space="preserve">, </w:t>
      </w:r>
      <w:r w:rsidR="006B63D3">
        <w:rPr>
          <w:sz w:val="22"/>
          <w:szCs w:val="22"/>
        </w:rPr>
        <w:t>rahvusvahelise sanktsiooni seaduse</w:t>
      </w:r>
      <w:r w:rsidR="0013024F">
        <w:rPr>
          <w:sz w:val="22"/>
          <w:szCs w:val="22"/>
        </w:rPr>
        <w:t xml:space="preserve"> 6. peatükis, erinevate finantssektori eriseaduste (KAS, VPTS, KAVS, IFS, MERAS, jne) vastavates vastutuse peatükkides ette nähtud süütegude eest karistatust. </w:t>
      </w:r>
      <w:r w:rsidR="006B63D3">
        <w:rPr>
          <w:sz w:val="22"/>
          <w:szCs w:val="22"/>
        </w:rPr>
        <w:t>Ametialase vastutuse all mõeldakse karistusseadustiku 17. peatükis sätestatud süütegude eest karistatust</w:t>
      </w:r>
      <w:r w:rsidR="001E3B8A">
        <w:rPr>
          <w:sz w:val="22"/>
          <w:szCs w:val="22"/>
        </w:rPr>
        <w:t xml:space="preserve"> ning neid karistusi, mille määrab kohus, st mitte distsiplinaarsüütegusid</w:t>
      </w:r>
      <w:r w:rsidR="006B63D3">
        <w:rPr>
          <w:sz w:val="22"/>
          <w:szCs w:val="22"/>
        </w:rPr>
        <w:t>.</w:t>
      </w:r>
      <w:r w:rsidR="001E3B8A">
        <w:rPr>
          <w:sz w:val="22"/>
          <w:szCs w:val="22"/>
        </w:rPr>
        <w:t xml:space="preserve"> Süütegude (st mitte ainult kuritegude, vaid ka väärtegude) </w:t>
      </w:r>
      <w:r w:rsidR="001E3B8A">
        <w:rPr>
          <w:sz w:val="22"/>
          <w:szCs w:val="22"/>
        </w:rPr>
        <w:lastRenderedPageBreak/>
        <w:t>hõlmamise vajadus tuleneb sellest, et näiteks finantsteenuste õigusaktides on karistused valdavalt ette nähtud väärteona.</w:t>
      </w:r>
      <w:r w:rsidR="00DC0D36" w:rsidRPr="005A55CA">
        <w:rPr>
          <w:sz w:val="22"/>
          <w:szCs w:val="22"/>
        </w:rPr>
        <w:t xml:space="preserve"> </w:t>
      </w:r>
    </w:p>
    <w:p w14:paraId="692B4182" w14:textId="77777777" w:rsidR="00DD023C" w:rsidRPr="005A55CA" w:rsidRDefault="00DD023C" w:rsidP="00D375E5">
      <w:pPr>
        <w:autoSpaceDE w:val="0"/>
        <w:autoSpaceDN w:val="0"/>
        <w:adjustRightInd w:val="0"/>
        <w:spacing w:before="0"/>
        <w:rPr>
          <w:color w:val="000000" w:themeColor="text1"/>
          <w:sz w:val="22"/>
          <w:szCs w:val="22"/>
        </w:rPr>
      </w:pPr>
    </w:p>
    <w:p w14:paraId="44BBE6B8" w14:textId="4CDD3339" w:rsidR="009950C0" w:rsidRDefault="009950C0" w:rsidP="00D375E5">
      <w:pPr>
        <w:spacing w:before="0"/>
        <w:rPr>
          <w:sz w:val="22"/>
          <w:szCs w:val="22"/>
        </w:rPr>
      </w:pPr>
      <w:r w:rsidRPr="005A55CA">
        <w:rPr>
          <w:b/>
          <w:sz w:val="22"/>
          <w:szCs w:val="22"/>
        </w:rPr>
        <w:t xml:space="preserve">Lõike </w:t>
      </w:r>
      <w:r w:rsidR="00B0617A">
        <w:rPr>
          <w:b/>
          <w:sz w:val="22"/>
          <w:szCs w:val="22"/>
        </w:rPr>
        <w:t>6</w:t>
      </w:r>
      <w:r w:rsidRPr="005A55CA">
        <w:rPr>
          <w:b/>
          <w:sz w:val="22"/>
          <w:szCs w:val="22"/>
        </w:rPr>
        <w:t xml:space="preserve"> </w:t>
      </w:r>
      <w:r w:rsidRPr="005A55CA">
        <w:rPr>
          <w:sz w:val="22"/>
          <w:szCs w:val="22"/>
        </w:rPr>
        <w:t xml:space="preserve">järgi tuleb juhul, kui taotleja juhtorgani liige, prokurist, tegelik kasusaaja või füüsilisest isikust omanik on välisriigi kodanik, taotlejal esitada nimetatud välisriigi kodaniku kohta tema päritoluriigi ning iga kodakondsusjärgse riigi kohta karistusregistri väljavõtted ning dokumentide koopiad. Nimetatud käsitlus ühtib </w:t>
      </w:r>
      <w:proofErr w:type="spellStart"/>
      <w:r w:rsidRPr="005A55CA">
        <w:rPr>
          <w:sz w:val="22"/>
          <w:szCs w:val="22"/>
        </w:rPr>
        <w:t>RahaPTS</w:t>
      </w:r>
      <w:proofErr w:type="spellEnd"/>
      <w:r w:rsidRPr="005A55CA">
        <w:rPr>
          <w:sz w:val="22"/>
          <w:szCs w:val="22"/>
        </w:rPr>
        <w:t xml:space="preserve">-i (vt </w:t>
      </w:r>
      <w:proofErr w:type="spellStart"/>
      <w:r w:rsidRPr="005A55CA">
        <w:rPr>
          <w:sz w:val="22"/>
          <w:szCs w:val="22"/>
        </w:rPr>
        <w:t>RahaPTS</w:t>
      </w:r>
      <w:proofErr w:type="spellEnd"/>
      <w:r w:rsidRPr="005A55CA">
        <w:rPr>
          <w:sz w:val="22"/>
          <w:szCs w:val="22"/>
        </w:rPr>
        <w:t xml:space="preserve"> § 70 lõige 3 punktid 8 ja 9) kui ka erinevates finantssektori ettevõtjate kohta kehtestatud eriseadustes sisalduvate tegevusloa taotlemise </w:t>
      </w:r>
      <w:proofErr w:type="spellStart"/>
      <w:r w:rsidRPr="005A55CA">
        <w:rPr>
          <w:sz w:val="22"/>
          <w:szCs w:val="22"/>
        </w:rPr>
        <w:t>sätega</w:t>
      </w:r>
      <w:proofErr w:type="spellEnd"/>
      <w:r w:rsidRPr="005A55CA">
        <w:rPr>
          <w:sz w:val="22"/>
          <w:szCs w:val="22"/>
        </w:rPr>
        <w:t xml:space="preserve">. </w:t>
      </w:r>
    </w:p>
    <w:p w14:paraId="35188D62" w14:textId="0D1D5F8F" w:rsidR="00582AF1" w:rsidRDefault="00582AF1" w:rsidP="00D375E5">
      <w:pPr>
        <w:spacing w:before="0"/>
        <w:rPr>
          <w:sz w:val="22"/>
          <w:szCs w:val="22"/>
        </w:rPr>
      </w:pPr>
    </w:p>
    <w:p w14:paraId="57DE5105" w14:textId="5D02F057" w:rsidR="00582AF1" w:rsidRPr="00D66633" w:rsidRDefault="00582AF1" w:rsidP="00D375E5">
      <w:pPr>
        <w:spacing w:before="0"/>
        <w:rPr>
          <w:sz w:val="22"/>
          <w:szCs w:val="22"/>
        </w:rPr>
      </w:pPr>
      <w:r>
        <w:rPr>
          <w:b/>
          <w:sz w:val="22"/>
          <w:szCs w:val="22"/>
        </w:rPr>
        <w:t xml:space="preserve">Lõike </w:t>
      </w:r>
      <w:r w:rsidR="00B0617A">
        <w:rPr>
          <w:b/>
          <w:sz w:val="22"/>
          <w:szCs w:val="22"/>
        </w:rPr>
        <w:t>7</w:t>
      </w:r>
      <w:r>
        <w:rPr>
          <w:b/>
          <w:sz w:val="22"/>
          <w:szCs w:val="22"/>
        </w:rPr>
        <w:t xml:space="preserve"> </w:t>
      </w:r>
      <w:r>
        <w:rPr>
          <w:sz w:val="22"/>
          <w:szCs w:val="22"/>
        </w:rPr>
        <w:t xml:space="preserve">kohaselt on </w:t>
      </w:r>
      <w:r w:rsidR="00D229AD">
        <w:rPr>
          <w:sz w:val="22"/>
          <w:szCs w:val="22"/>
        </w:rPr>
        <w:t>isik</w:t>
      </w:r>
      <w:r>
        <w:rPr>
          <w:sz w:val="22"/>
          <w:szCs w:val="22"/>
        </w:rPr>
        <w:t xml:space="preserve">ul, kellele on väljastatud tegevusluba EL </w:t>
      </w:r>
      <w:proofErr w:type="spellStart"/>
      <w:r>
        <w:rPr>
          <w:sz w:val="22"/>
          <w:szCs w:val="22"/>
        </w:rPr>
        <w:t>ühisrahastusmääruse</w:t>
      </w:r>
      <w:proofErr w:type="spellEnd"/>
      <w:r>
        <w:rPr>
          <w:sz w:val="22"/>
          <w:szCs w:val="22"/>
        </w:rPr>
        <w:t xml:space="preserve"> alusel, vajalik taotleda käesolevas seaduse alusel täiendav tegevusluba, esitades selleks samas lõikes loetletud andmed ja dokumendid. Nimetatud andmed ja dokumendid tagavad EL </w:t>
      </w:r>
      <w:proofErr w:type="spellStart"/>
      <w:r>
        <w:rPr>
          <w:sz w:val="22"/>
          <w:szCs w:val="22"/>
        </w:rPr>
        <w:t>ühisrahastusmääruse</w:t>
      </w:r>
      <w:proofErr w:type="spellEnd"/>
      <w:r>
        <w:rPr>
          <w:sz w:val="22"/>
          <w:szCs w:val="22"/>
        </w:rPr>
        <w:t xml:space="preserve"> alusel tegevusloa saanud ettevõtja tegevuse kooskõla käesoleva seadusega; samuti ei nõuta </w:t>
      </w:r>
      <w:r w:rsidR="00A10290">
        <w:rPr>
          <w:sz w:val="22"/>
          <w:szCs w:val="22"/>
        </w:rPr>
        <w:t xml:space="preserve">tegevusloa taotlemisel </w:t>
      </w:r>
      <w:r>
        <w:rPr>
          <w:sz w:val="22"/>
          <w:szCs w:val="22"/>
        </w:rPr>
        <w:t xml:space="preserve">selliste andmete ja dokumentide esitamist, mis finantsjärelevalve teostajal on juba olemas vastavalt EL </w:t>
      </w:r>
      <w:proofErr w:type="spellStart"/>
      <w:r>
        <w:rPr>
          <w:sz w:val="22"/>
          <w:szCs w:val="22"/>
        </w:rPr>
        <w:t>ühisrahastusmääruses</w:t>
      </w:r>
      <w:proofErr w:type="spellEnd"/>
      <w:r>
        <w:rPr>
          <w:sz w:val="22"/>
          <w:szCs w:val="22"/>
        </w:rPr>
        <w:t xml:space="preserve"> nõutule. </w:t>
      </w:r>
    </w:p>
    <w:p w14:paraId="26182F6E" w14:textId="77777777" w:rsidR="0035002D" w:rsidRPr="005A55CA" w:rsidRDefault="0035002D" w:rsidP="00D375E5">
      <w:pPr>
        <w:spacing w:before="0"/>
        <w:rPr>
          <w:color w:val="000000" w:themeColor="text1"/>
          <w:sz w:val="22"/>
          <w:szCs w:val="22"/>
        </w:rPr>
      </w:pPr>
    </w:p>
    <w:p w14:paraId="77B25EEB" w14:textId="1C1C6B4A" w:rsidR="00C844D9" w:rsidRPr="005A55CA" w:rsidRDefault="009E51AF" w:rsidP="00D375E5">
      <w:pPr>
        <w:autoSpaceDE w:val="0"/>
        <w:autoSpaceDN w:val="0"/>
        <w:adjustRightInd w:val="0"/>
        <w:spacing w:before="0"/>
        <w:rPr>
          <w:color w:val="000000" w:themeColor="text1"/>
          <w:sz w:val="22"/>
          <w:szCs w:val="22"/>
        </w:rPr>
      </w:pPr>
      <w:r w:rsidRPr="005A55CA">
        <w:rPr>
          <w:b/>
          <w:color w:val="000000" w:themeColor="text1"/>
          <w:sz w:val="22"/>
          <w:szCs w:val="22"/>
        </w:rPr>
        <w:t xml:space="preserve">Paragrahv </w:t>
      </w:r>
      <w:r w:rsidR="003A0FCC" w:rsidRPr="005A55CA">
        <w:rPr>
          <w:b/>
          <w:color w:val="000000" w:themeColor="text1"/>
          <w:sz w:val="22"/>
          <w:szCs w:val="22"/>
        </w:rPr>
        <w:t>8</w:t>
      </w:r>
      <w:r w:rsidRPr="005A55CA">
        <w:rPr>
          <w:b/>
          <w:color w:val="000000" w:themeColor="text1"/>
          <w:sz w:val="22"/>
          <w:szCs w:val="22"/>
        </w:rPr>
        <w:t xml:space="preserve"> </w:t>
      </w:r>
      <w:r w:rsidRPr="005A55CA">
        <w:rPr>
          <w:color w:val="000000" w:themeColor="text1"/>
          <w:sz w:val="22"/>
          <w:szCs w:val="22"/>
        </w:rPr>
        <w:t xml:space="preserve">avab äriplaani sisu eraldi paragrahvina. </w:t>
      </w:r>
      <w:r w:rsidR="00C844D9" w:rsidRPr="005A55CA">
        <w:rPr>
          <w:color w:val="000000" w:themeColor="text1"/>
          <w:sz w:val="22"/>
          <w:szCs w:val="22"/>
        </w:rPr>
        <w:t xml:space="preserve">Üheks kõige olulisemaks teenuseosutaja tegevust hindavaks dokumendiks on äriplaan, mistõttu on eelnõus ka äriplaani sisu eraldi paragrahvis täpselt avatud. Vähemalt kolme aasta kohta esitatav äriplaan peab kajastama näiteks </w:t>
      </w:r>
      <w:r w:rsidR="00561997" w:rsidRPr="005A55CA">
        <w:rPr>
          <w:color w:val="000000" w:themeColor="text1"/>
          <w:sz w:val="22"/>
          <w:szCs w:val="22"/>
        </w:rPr>
        <w:t>teenuseosutaja</w:t>
      </w:r>
      <w:r w:rsidR="00C844D9" w:rsidRPr="005A55CA">
        <w:rPr>
          <w:color w:val="000000" w:themeColor="text1"/>
          <w:sz w:val="22"/>
          <w:szCs w:val="22"/>
        </w:rPr>
        <w:t xml:space="preserve"> majandusnäitajate prognoosi</w:t>
      </w:r>
      <w:r w:rsidR="00561997" w:rsidRPr="005A55CA">
        <w:rPr>
          <w:color w:val="000000" w:themeColor="text1"/>
          <w:sz w:val="22"/>
          <w:szCs w:val="22"/>
        </w:rPr>
        <w:t xml:space="preserve">, juhtimisstruktuuri ja tehnilise korralduse taset </w:t>
      </w:r>
      <w:r w:rsidR="00561997" w:rsidRPr="005A55CA">
        <w:rPr>
          <w:b/>
          <w:color w:val="000000" w:themeColor="text1"/>
          <w:sz w:val="22"/>
          <w:szCs w:val="22"/>
        </w:rPr>
        <w:t>(lõi</w:t>
      </w:r>
      <w:r w:rsidR="001F70A9" w:rsidRPr="005A55CA">
        <w:rPr>
          <w:b/>
          <w:color w:val="000000" w:themeColor="text1"/>
          <w:sz w:val="22"/>
          <w:szCs w:val="22"/>
        </w:rPr>
        <w:t>ked 1 ja</w:t>
      </w:r>
      <w:r w:rsidR="00561997" w:rsidRPr="005A55CA">
        <w:rPr>
          <w:b/>
          <w:color w:val="000000" w:themeColor="text1"/>
          <w:sz w:val="22"/>
          <w:szCs w:val="22"/>
        </w:rPr>
        <w:t xml:space="preserve"> 2</w:t>
      </w:r>
      <w:r w:rsidR="00561997" w:rsidRPr="005A55CA">
        <w:rPr>
          <w:color w:val="000000" w:themeColor="text1"/>
          <w:sz w:val="22"/>
          <w:szCs w:val="22"/>
        </w:rPr>
        <w:t xml:space="preserve">). </w:t>
      </w:r>
      <w:r w:rsidR="001F70A9" w:rsidRPr="005A55CA">
        <w:rPr>
          <w:color w:val="000000" w:themeColor="text1"/>
          <w:sz w:val="22"/>
          <w:szCs w:val="22"/>
        </w:rPr>
        <w:t>Lisaks on Finantsinspektsioonil õigus nõuda äriplaani täiendamist, kui taotleja finantsnäitajad ja muud andmed ei ole usaldusväärsed, kui omavahendite minimaalsuurus ei vasta õigusaktidega kehtestatud nõuetele või kui äriplaani põhjal ei ole võimalik veenduda taotleja suutlikkuses rakendada usaldusväärseks tegutsemiseks kohaseid ja proportsionaalseid süsteeme, vahendeid ja protseduure (</w:t>
      </w:r>
      <w:r w:rsidR="001F70A9" w:rsidRPr="005A55CA">
        <w:rPr>
          <w:b/>
          <w:color w:val="000000" w:themeColor="text1"/>
          <w:sz w:val="22"/>
          <w:szCs w:val="22"/>
        </w:rPr>
        <w:t>lõige 3)</w:t>
      </w:r>
      <w:r w:rsidR="001F70A9" w:rsidRPr="005A55CA">
        <w:rPr>
          <w:color w:val="000000" w:themeColor="text1"/>
          <w:sz w:val="22"/>
          <w:szCs w:val="22"/>
        </w:rPr>
        <w:t>.</w:t>
      </w:r>
    </w:p>
    <w:p w14:paraId="3DFD41AA" w14:textId="77777777" w:rsidR="00561997" w:rsidRPr="005A55CA" w:rsidRDefault="00561997" w:rsidP="00D375E5">
      <w:pPr>
        <w:autoSpaceDE w:val="0"/>
        <w:autoSpaceDN w:val="0"/>
        <w:adjustRightInd w:val="0"/>
        <w:spacing w:before="0"/>
        <w:jc w:val="left"/>
        <w:rPr>
          <w:rFonts w:eastAsiaTheme="minorHAnsi"/>
          <w:sz w:val="22"/>
          <w:szCs w:val="22"/>
          <w:lang w:eastAsia="en-US"/>
        </w:rPr>
      </w:pPr>
    </w:p>
    <w:p w14:paraId="3A667699" w14:textId="101452CD" w:rsidR="00B54A28" w:rsidRPr="00B54A28" w:rsidRDefault="002F3F1B" w:rsidP="00D375E5">
      <w:pPr>
        <w:autoSpaceDE w:val="0"/>
        <w:autoSpaceDN w:val="0"/>
        <w:adjustRightInd w:val="0"/>
        <w:spacing w:before="0"/>
        <w:rPr>
          <w:color w:val="000000" w:themeColor="text1"/>
          <w:sz w:val="22"/>
          <w:szCs w:val="22"/>
        </w:rPr>
      </w:pPr>
      <w:r w:rsidRPr="005A55CA">
        <w:rPr>
          <w:rFonts w:eastAsiaTheme="minorHAnsi"/>
          <w:b/>
          <w:sz w:val="22"/>
          <w:szCs w:val="22"/>
          <w:lang w:eastAsia="en-US"/>
        </w:rPr>
        <w:t xml:space="preserve">Paragrahvis </w:t>
      </w:r>
      <w:r w:rsidR="003A0FCC" w:rsidRPr="005A55CA">
        <w:rPr>
          <w:rFonts w:eastAsiaTheme="minorHAnsi"/>
          <w:b/>
          <w:sz w:val="22"/>
          <w:szCs w:val="22"/>
          <w:lang w:eastAsia="en-US"/>
        </w:rPr>
        <w:t>9</w:t>
      </w:r>
      <w:r w:rsidRPr="005A55CA">
        <w:rPr>
          <w:rFonts w:eastAsiaTheme="minorHAnsi"/>
          <w:b/>
          <w:sz w:val="22"/>
          <w:szCs w:val="22"/>
          <w:lang w:eastAsia="en-US"/>
        </w:rPr>
        <w:t xml:space="preserve"> </w:t>
      </w:r>
      <w:r w:rsidRPr="005A55CA">
        <w:rPr>
          <w:rFonts w:eastAsiaTheme="minorHAnsi"/>
          <w:sz w:val="22"/>
          <w:szCs w:val="22"/>
          <w:lang w:eastAsia="en-US"/>
        </w:rPr>
        <w:t>on sätestatud t</w:t>
      </w:r>
      <w:r w:rsidR="00561997" w:rsidRPr="005A55CA">
        <w:rPr>
          <w:rFonts w:eastAsiaTheme="minorHAnsi"/>
          <w:sz w:val="22"/>
          <w:szCs w:val="22"/>
          <w:lang w:eastAsia="en-US"/>
        </w:rPr>
        <w:t>egevusloa taotluse läbivaatami</w:t>
      </w:r>
      <w:r w:rsidR="003A0FCC" w:rsidRPr="005A55CA">
        <w:rPr>
          <w:rFonts w:eastAsiaTheme="minorHAnsi"/>
          <w:sz w:val="22"/>
          <w:szCs w:val="22"/>
          <w:lang w:eastAsia="en-US"/>
        </w:rPr>
        <w:t>s</w:t>
      </w:r>
      <w:r w:rsidR="00561997" w:rsidRPr="005A55CA">
        <w:rPr>
          <w:rFonts w:eastAsiaTheme="minorHAnsi"/>
          <w:sz w:val="22"/>
          <w:szCs w:val="22"/>
          <w:lang w:eastAsia="en-US"/>
        </w:rPr>
        <w:t>e</w:t>
      </w:r>
      <w:r w:rsidRPr="005A55CA">
        <w:rPr>
          <w:rFonts w:eastAsiaTheme="minorHAnsi"/>
          <w:sz w:val="22"/>
          <w:szCs w:val="22"/>
          <w:lang w:eastAsia="en-US"/>
        </w:rPr>
        <w:t xml:space="preserve"> protseduur.</w:t>
      </w:r>
      <w:r w:rsidRPr="005A55CA">
        <w:rPr>
          <w:rFonts w:eastAsiaTheme="minorHAnsi"/>
          <w:b/>
          <w:sz w:val="22"/>
          <w:szCs w:val="22"/>
          <w:lang w:eastAsia="en-US"/>
        </w:rPr>
        <w:t xml:space="preserve"> </w:t>
      </w:r>
      <w:r w:rsidR="00561997" w:rsidRPr="005A55CA">
        <w:rPr>
          <w:color w:val="000000" w:themeColor="text1"/>
          <w:sz w:val="22"/>
          <w:szCs w:val="22"/>
        </w:rPr>
        <w:t>Tegevusloa taotlemise menetluse raames on Finantsinspektsioonil vajadusel õigus nõuda taotlejalt esitatud andmetest puuduste kõrvaldamist või kui teave ei ole piisav, siis lisateabe esitamist</w:t>
      </w:r>
      <w:r w:rsidR="00D66633">
        <w:rPr>
          <w:color w:val="000000" w:themeColor="text1"/>
          <w:sz w:val="22"/>
          <w:szCs w:val="22"/>
        </w:rPr>
        <w:t>; vastasel juhul võib Finantsinspektsioon jätta tegevusloa taotluse läbi vaatamata</w:t>
      </w:r>
      <w:r w:rsidR="00561997" w:rsidRPr="005A55CA">
        <w:rPr>
          <w:color w:val="000000" w:themeColor="text1"/>
          <w:sz w:val="22"/>
          <w:szCs w:val="22"/>
        </w:rPr>
        <w:t xml:space="preserve"> (</w:t>
      </w:r>
      <w:r w:rsidR="00561997" w:rsidRPr="005A55CA">
        <w:rPr>
          <w:b/>
          <w:color w:val="000000" w:themeColor="text1"/>
          <w:sz w:val="22"/>
          <w:szCs w:val="22"/>
        </w:rPr>
        <w:t>lõiked 1 ja 2</w:t>
      </w:r>
      <w:r w:rsidR="00561997" w:rsidRPr="005A55CA">
        <w:rPr>
          <w:color w:val="000000" w:themeColor="text1"/>
          <w:sz w:val="22"/>
          <w:szCs w:val="22"/>
        </w:rPr>
        <w:t>). Lisaks on Finantsinspektsioonil õigus teostada kohapealset kontrolli, määrata ekspertiise ja erakorralist audiitorkontrolli, teostada päringuid riigi andmekogudest ja viia läbi teisi toiminguid (</w:t>
      </w:r>
      <w:r w:rsidR="00561997" w:rsidRPr="005A55CA">
        <w:rPr>
          <w:b/>
          <w:color w:val="000000" w:themeColor="text1"/>
          <w:sz w:val="22"/>
          <w:szCs w:val="22"/>
        </w:rPr>
        <w:t>lõige 3</w:t>
      </w:r>
      <w:r w:rsidR="00561997" w:rsidRPr="005A55CA">
        <w:rPr>
          <w:color w:val="000000" w:themeColor="text1"/>
          <w:sz w:val="22"/>
          <w:szCs w:val="22"/>
        </w:rPr>
        <w:t>). Lisaandmete esitamiseks või puuduste kõrvaldamiseks annab Finantsinspektsioon mõistliku tähtaja (</w:t>
      </w:r>
      <w:r w:rsidR="00561997" w:rsidRPr="005A55CA">
        <w:rPr>
          <w:b/>
          <w:color w:val="000000" w:themeColor="text1"/>
          <w:sz w:val="22"/>
          <w:szCs w:val="22"/>
        </w:rPr>
        <w:t>lõige 4</w:t>
      </w:r>
      <w:r w:rsidR="00561997" w:rsidRPr="005A55CA">
        <w:rPr>
          <w:color w:val="000000" w:themeColor="text1"/>
          <w:sz w:val="22"/>
          <w:szCs w:val="22"/>
        </w:rPr>
        <w:t xml:space="preserve">). </w:t>
      </w:r>
      <w:r w:rsidR="00D66633">
        <w:rPr>
          <w:b/>
          <w:color w:val="000000" w:themeColor="text1"/>
          <w:sz w:val="22"/>
          <w:szCs w:val="22"/>
        </w:rPr>
        <w:t xml:space="preserve">Lõike 5 </w:t>
      </w:r>
      <w:r w:rsidR="00D66633">
        <w:rPr>
          <w:color w:val="000000" w:themeColor="text1"/>
          <w:sz w:val="22"/>
          <w:szCs w:val="22"/>
        </w:rPr>
        <w:t xml:space="preserve">järgi tuleb taotlejal viivitamata teavitada Finantsinspektsiooni, kui tegevusloa taotluse menetlemise ajal tehakse muudatusi tegevusloa taotlemisel esitatud andmetes ja dokumentides. </w:t>
      </w:r>
      <w:r w:rsidR="00B54A28">
        <w:rPr>
          <w:color w:val="000000" w:themeColor="text1"/>
          <w:sz w:val="22"/>
          <w:szCs w:val="22"/>
        </w:rPr>
        <w:t>Sama lõike järgi, kui muudatus on oluline, võib Finantsinspektsioon lugeda menetlustähtaja alguseks selle</w:t>
      </w:r>
      <w:r w:rsidR="00050090">
        <w:rPr>
          <w:color w:val="000000" w:themeColor="text1"/>
          <w:sz w:val="22"/>
          <w:szCs w:val="22"/>
        </w:rPr>
        <w:t>st</w:t>
      </w:r>
      <w:r w:rsidR="00B54A28">
        <w:rPr>
          <w:color w:val="000000" w:themeColor="text1"/>
          <w:sz w:val="22"/>
          <w:szCs w:val="22"/>
        </w:rPr>
        <w:t xml:space="preserve"> olulise</w:t>
      </w:r>
      <w:r w:rsidR="00050090">
        <w:rPr>
          <w:color w:val="000000" w:themeColor="text1"/>
          <w:sz w:val="22"/>
          <w:szCs w:val="22"/>
        </w:rPr>
        <w:t>st</w:t>
      </w:r>
      <w:r w:rsidR="00B54A28">
        <w:rPr>
          <w:color w:val="000000" w:themeColor="text1"/>
          <w:sz w:val="22"/>
          <w:szCs w:val="22"/>
        </w:rPr>
        <w:t xml:space="preserve"> muudatuse</w:t>
      </w:r>
      <w:r w:rsidR="00050090">
        <w:rPr>
          <w:color w:val="000000" w:themeColor="text1"/>
          <w:sz w:val="22"/>
          <w:szCs w:val="22"/>
        </w:rPr>
        <w:t>st</w:t>
      </w:r>
      <w:r w:rsidR="00B54A28">
        <w:rPr>
          <w:color w:val="000000" w:themeColor="text1"/>
          <w:sz w:val="22"/>
          <w:szCs w:val="22"/>
        </w:rPr>
        <w:t xml:space="preserve"> teadasaamise </w:t>
      </w:r>
      <w:r w:rsidR="00E2798E">
        <w:rPr>
          <w:color w:val="000000" w:themeColor="text1"/>
          <w:sz w:val="22"/>
          <w:szCs w:val="22"/>
        </w:rPr>
        <w:t>aja</w:t>
      </w:r>
      <w:r w:rsidR="00B54A28">
        <w:rPr>
          <w:color w:val="000000" w:themeColor="text1"/>
          <w:sz w:val="22"/>
          <w:szCs w:val="22"/>
        </w:rPr>
        <w:t xml:space="preserve">. Teisisõnu, kui taotleja esitab Finantsinspektsioonile võrreldes esialgselt esitatud tegevusloa taotlusega oluliselt erinevaid andmeid ja dokumente, võib Finantsinspektsioon lugeda (tegevusloa) menetlustähtaja alguseks nimetatud muudatustest teadasaamise. </w:t>
      </w:r>
      <w:r w:rsidR="00E65490">
        <w:rPr>
          <w:color w:val="000000" w:themeColor="text1"/>
          <w:sz w:val="22"/>
          <w:szCs w:val="22"/>
        </w:rPr>
        <w:t xml:space="preserve">Nimetatud muudatused kehtivad ainult § 7 lõikes 1 nimetatud andmete ja dokumentide kohta. </w:t>
      </w:r>
      <w:r w:rsidR="00B54A28">
        <w:rPr>
          <w:b/>
          <w:color w:val="000000" w:themeColor="text1"/>
          <w:sz w:val="22"/>
          <w:szCs w:val="22"/>
        </w:rPr>
        <w:t xml:space="preserve">Lõigetes 6 ja 7 </w:t>
      </w:r>
      <w:r w:rsidR="00B54A28">
        <w:rPr>
          <w:color w:val="000000" w:themeColor="text1"/>
          <w:sz w:val="22"/>
          <w:szCs w:val="22"/>
        </w:rPr>
        <w:t xml:space="preserve">on täpsustatud, et </w:t>
      </w:r>
      <w:r w:rsidR="00B0617A">
        <w:rPr>
          <w:color w:val="000000" w:themeColor="text1"/>
          <w:sz w:val="22"/>
          <w:szCs w:val="22"/>
        </w:rPr>
        <w:t xml:space="preserve">lisaks käesoleva paragrahvi lõikes 1 sätestatule võib </w:t>
      </w:r>
      <w:r w:rsidR="00B54A28">
        <w:rPr>
          <w:color w:val="000000" w:themeColor="text1"/>
          <w:sz w:val="22"/>
          <w:szCs w:val="22"/>
        </w:rPr>
        <w:t xml:space="preserve">Finantsinspektsioon jätta taotluse läbi vaatamata, kui taotleja ei ole Finantsinspektsiooni määratud tähtajaks puudusi kõrvaldanud, ning taotluse läbi vaatamata jätmisel tagastab Finantsinspektsioon temale esitatud dokumendid.  </w:t>
      </w:r>
    </w:p>
    <w:p w14:paraId="4FCAC6BC" w14:textId="30CC4A53" w:rsidR="00FC2E1C" w:rsidRPr="005A55CA" w:rsidRDefault="00FC2E1C" w:rsidP="00D375E5">
      <w:pPr>
        <w:autoSpaceDE w:val="0"/>
        <w:autoSpaceDN w:val="0"/>
        <w:adjustRightInd w:val="0"/>
        <w:spacing w:before="0"/>
        <w:rPr>
          <w:color w:val="000000" w:themeColor="text1"/>
          <w:sz w:val="22"/>
          <w:szCs w:val="22"/>
        </w:rPr>
      </w:pPr>
    </w:p>
    <w:p w14:paraId="5439A814" w14:textId="76B9424F" w:rsidR="00070A33" w:rsidRPr="005A55CA" w:rsidRDefault="002F3F1B" w:rsidP="00D375E5">
      <w:pPr>
        <w:autoSpaceDE w:val="0"/>
        <w:autoSpaceDN w:val="0"/>
        <w:adjustRightInd w:val="0"/>
        <w:spacing w:before="0"/>
        <w:rPr>
          <w:rFonts w:eastAsiaTheme="minorHAnsi"/>
          <w:sz w:val="22"/>
          <w:szCs w:val="22"/>
        </w:rPr>
      </w:pPr>
      <w:r w:rsidRPr="005A55CA">
        <w:rPr>
          <w:b/>
          <w:color w:val="000000" w:themeColor="text1"/>
          <w:sz w:val="22"/>
          <w:szCs w:val="22"/>
        </w:rPr>
        <w:t>Paragrahv 1</w:t>
      </w:r>
      <w:r w:rsidR="003A0FCC" w:rsidRPr="005A55CA">
        <w:rPr>
          <w:b/>
          <w:color w:val="000000" w:themeColor="text1"/>
          <w:sz w:val="22"/>
          <w:szCs w:val="22"/>
        </w:rPr>
        <w:t>0</w:t>
      </w:r>
      <w:r w:rsidRPr="005A55CA">
        <w:rPr>
          <w:b/>
          <w:color w:val="000000" w:themeColor="text1"/>
          <w:sz w:val="22"/>
          <w:szCs w:val="22"/>
        </w:rPr>
        <w:t xml:space="preserve"> </w:t>
      </w:r>
      <w:r w:rsidR="0073183D">
        <w:rPr>
          <w:color w:val="000000" w:themeColor="text1"/>
          <w:sz w:val="22"/>
          <w:szCs w:val="22"/>
        </w:rPr>
        <w:t>sätestab</w:t>
      </w:r>
      <w:r w:rsidR="0073183D" w:rsidRPr="005A55CA">
        <w:rPr>
          <w:color w:val="000000" w:themeColor="text1"/>
          <w:sz w:val="22"/>
          <w:szCs w:val="22"/>
        </w:rPr>
        <w:t xml:space="preserve"> </w:t>
      </w:r>
      <w:r w:rsidRPr="005A55CA">
        <w:rPr>
          <w:color w:val="000000" w:themeColor="text1"/>
          <w:sz w:val="22"/>
          <w:szCs w:val="22"/>
        </w:rPr>
        <w:t xml:space="preserve">tegevusloa andmise otsusega seonduva. </w:t>
      </w:r>
      <w:r w:rsidR="00FC2E1C" w:rsidRPr="005A55CA">
        <w:rPr>
          <w:rFonts w:eastAsiaTheme="minorHAnsi"/>
          <w:sz w:val="22"/>
          <w:szCs w:val="22"/>
          <w:lang w:eastAsia="en-US"/>
        </w:rPr>
        <w:t>Otsuse teg</w:t>
      </w:r>
      <w:r w:rsidR="00C3604A">
        <w:rPr>
          <w:rFonts w:eastAsiaTheme="minorHAnsi"/>
          <w:sz w:val="22"/>
          <w:szCs w:val="22"/>
          <w:lang w:eastAsia="en-US"/>
        </w:rPr>
        <w:t>emiseks on Finantsinspektsioonil</w:t>
      </w:r>
      <w:r w:rsidR="00FC2E1C" w:rsidRPr="005A55CA">
        <w:rPr>
          <w:rFonts w:eastAsiaTheme="minorHAnsi"/>
          <w:sz w:val="22"/>
          <w:szCs w:val="22"/>
          <w:lang w:eastAsia="en-US"/>
        </w:rPr>
        <w:t xml:space="preserve"> aega kolm kuud, arvates kõigi vajalike </w:t>
      </w:r>
      <w:r w:rsidR="00B0617A">
        <w:rPr>
          <w:rFonts w:eastAsiaTheme="minorHAnsi"/>
          <w:sz w:val="22"/>
          <w:szCs w:val="22"/>
          <w:lang w:eastAsia="en-US"/>
        </w:rPr>
        <w:t xml:space="preserve">andmete ja </w:t>
      </w:r>
      <w:r w:rsidR="00FC2E1C" w:rsidRPr="005A55CA">
        <w:rPr>
          <w:rFonts w:eastAsiaTheme="minorHAnsi"/>
          <w:sz w:val="22"/>
          <w:szCs w:val="22"/>
          <w:lang w:eastAsia="en-US"/>
        </w:rPr>
        <w:t>dokumentide  saamisest (</w:t>
      </w:r>
      <w:r w:rsidR="00FC2E1C" w:rsidRPr="005A55CA">
        <w:rPr>
          <w:rFonts w:eastAsiaTheme="minorHAnsi"/>
          <w:b/>
          <w:bCs/>
          <w:sz w:val="22"/>
          <w:szCs w:val="22"/>
          <w:lang w:eastAsia="en-US"/>
        </w:rPr>
        <w:t>lõige 1</w:t>
      </w:r>
      <w:r w:rsidR="00FC2E1C" w:rsidRPr="005A55CA">
        <w:rPr>
          <w:rFonts w:eastAsiaTheme="minorHAnsi"/>
          <w:sz w:val="22"/>
          <w:szCs w:val="22"/>
          <w:lang w:eastAsia="en-US"/>
        </w:rPr>
        <w:t xml:space="preserve">). Kui taotleja ei ole tähtpäevaks esitanud Finantsinspektsiooni nõutud andmeid, dokumente või teavet, võib Finantsinspektsioon oma otsusega jätta taotluse läbi vaatamata. Finantsinspektsioon peab tegema otsuse tegevusloa andmise või sellest keeldumise kohta kuue kuu jooksul pärast nõuetekohase taotluse saamist. Nõuetekohane taotlus tähendab kõikide § </w:t>
      </w:r>
      <w:r w:rsidR="0073183D">
        <w:rPr>
          <w:rFonts w:eastAsiaTheme="minorHAnsi"/>
          <w:sz w:val="22"/>
          <w:szCs w:val="22"/>
          <w:lang w:eastAsia="en-US"/>
        </w:rPr>
        <w:t>7</w:t>
      </w:r>
      <w:r w:rsidR="00FC2E1C" w:rsidRPr="005A55CA">
        <w:rPr>
          <w:rFonts w:eastAsiaTheme="minorHAnsi"/>
          <w:sz w:val="22"/>
          <w:szCs w:val="22"/>
          <w:lang w:eastAsia="en-US"/>
        </w:rPr>
        <w:t xml:space="preserve"> lõikes 1 loetletud dokumentide esitamist. </w:t>
      </w:r>
      <w:r w:rsidR="00070A33" w:rsidRPr="005A55CA">
        <w:rPr>
          <w:rFonts w:eastAsiaTheme="minorHAnsi"/>
          <w:sz w:val="22"/>
          <w:szCs w:val="22"/>
          <w:lang w:eastAsia="en-US"/>
        </w:rPr>
        <w:t>Olukorras, kus tulenevalt näiteks taotlusega esitatud dokumentide muutmisest on ette näha, et</w:t>
      </w:r>
      <w:r w:rsidR="003A0FCC" w:rsidRPr="005A55CA">
        <w:rPr>
          <w:rFonts w:eastAsiaTheme="minorHAnsi"/>
          <w:sz w:val="22"/>
          <w:szCs w:val="22"/>
          <w:lang w:eastAsia="en-US"/>
        </w:rPr>
        <w:t xml:space="preserve"> </w:t>
      </w:r>
      <w:r w:rsidR="00070A33" w:rsidRPr="005A55CA">
        <w:rPr>
          <w:rFonts w:eastAsiaTheme="minorHAnsi"/>
          <w:sz w:val="22"/>
          <w:szCs w:val="22"/>
          <w:lang w:eastAsia="en-US"/>
        </w:rPr>
        <w:t>menetlustähtaega on vaja pikendada (sealhulgas mitme tegevusloa taotluse samaaegsel esitamisel), võib Finantsinspektsioon kehtestada tegevusloa taotluse menetlemiseks pikema tähtaja</w:t>
      </w:r>
      <w:r w:rsidR="001A2206" w:rsidRPr="005A55CA">
        <w:rPr>
          <w:rFonts w:eastAsiaTheme="minorHAnsi"/>
          <w:sz w:val="22"/>
          <w:szCs w:val="22"/>
          <w:lang w:eastAsia="en-US"/>
        </w:rPr>
        <w:t>, kuid nimetatud tähtaeg peab siiski jääma kuue kuu sisse alates tegevusloa taotluse saamisest alates</w:t>
      </w:r>
      <w:r w:rsidR="00070A33" w:rsidRPr="005A55CA">
        <w:rPr>
          <w:rFonts w:eastAsiaTheme="minorHAnsi"/>
          <w:sz w:val="22"/>
          <w:szCs w:val="22"/>
          <w:lang w:eastAsia="en-US"/>
        </w:rPr>
        <w:t xml:space="preserve">. </w:t>
      </w:r>
    </w:p>
    <w:p w14:paraId="1A2F2A82" w14:textId="7C2F332F" w:rsidR="00070A33" w:rsidRPr="005A55CA" w:rsidRDefault="00070A33" w:rsidP="00D375E5">
      <w:pPr>
        <w:autoSpaceDE w:val="0"/>
        <w:autoSpaceDN w:val="0"/>
        <w:adjustRightInd w:val="0"/>
        <w:spacing w:before="0"/>
        <w:rPr>
          <w:rFonts w:eastAsiaTheme="minorHAnsi"/>
          <w:sz w:val="22"/>
          <w:szCs w:val="22"/>
        </w:rPr>
      </w:pPr>
    </w:p>
    <w:p w14:paraId="39CB847E" w14:textId="3C31C79C" w:rsidR="001A2206" w:rsidRPr="005A55CA" w:rsidRDefault="001A2206" w:rsidP="00D375E5">
      <w:pPr>
        <w:autoSpaceDE w:val="0"/>
        <w:autoSpaceDN w:val="0"/>
        <w:adjustRightInd w:val="0"/>
        <w:spacing w:before="0"/>
        <w:rPr>
          <w:rFonts w:eastAsiaTheme="minorHAnsi"/>
          <w:sz w:val="22"/>
          <w:szCs w:val="22"/>
        </w:rPr>
      </w:pPr>
      <w:r w:rsidRPr="005A55CA">
        <w:rPr>
          <w:rFonts w:eastAsiaTheme="minorHAnsi"/>
          <w:b/>
          <w:sz w:val="22"/>
          <w:szCs w:val="22"/>
        </w:rPr>
        <w:t xml:space="preserve">Lõike 2 </w:t>
      </w:r>
      <w:r w:rsidRPr="005A55CA">
        <w:rPr>
          <w:rFonts w:eastAsiaTheme="minorHAnsi"/>
          <w:sz w:val="22"/>
          <w:szCs w:val="22"/>
        </w:rPr>
        <w:t xml:space="preserve">kohaselt on Finantsinspektsioonil õigus kehtestada tegevusloa taotlejale </w:t>
      </w:r>
      <w:proofErr w:type="spellStart"/>
      <w:r w:rsidRPr="005A55CA">
        <w:rPr>
          <w:rFonts w:eastAsiaTheme="minorHAnsi"/>
          <w:sz w:val="22"/>
          <w:szCs w:val="22"/>
        </w:rPr>
        <w:t>kõrvaltingimusi</w:t>
      </w:r>
      <w:proofErr w:type="spellEnd"/>
      <w:r w:rsidRPr="005A55CA">
        <w:rPr>
          <w:rFonts w:eastAsiaTheme="minorHAnsi"/>
          <w:sz w:val="22"/>
          <w:szCs w:val="22"/>
        </w:rPr>
        <w:t xml:space="preserve">, millega lubatakse põhjendatuse korral taotlejal osaliselt kõrvale kalduda tegevusloa saamise aluseks olevatest asjaoludest, </w:t>
      </w:r>
      <w:r w:rsidR="005C7572">
        <w:rPr>
          <w:rFonts w:eastAsiaTheme="minorHAnsi"/>
          <w:sz w:val="22"/>
          <w:szCs w:val="22"/>
        </w:rPr>
        <w:t>või</w:t>
      </w:r>
      <w:r w:rsidRPr="005A55CA">
        <w:rPr>
          <w:rFonts w:eastAsiaTheme="minorHAnsi"/>
          <w:sz w:val="22"/>
          <w:szCs w:val="22"/>
        </w:rPr>
        <w:t xml:space="preserve"> pikem</w:t>
      </w:r>
      <w:r w:rsidR="0073183D">
        <w:rPr>
          <w:rFonts w:eastAsiaTheme="minorHAnsi"/>
          <w:sz w:val="22"/>
          <w:szCs w:val="22"/>
        </w:rPr>
        <w:t>a</w:t>
      </w:r>
      <w:r w:rsidRPr="005A55CA">
        <w:rPr>
          <w:rFonts w:eastAsiaTheme="minorHAnsi"/>
          <w:sz w:val="22"/>
          <w:szCs w:val="22"/>
        </w:rPr>
        <w:t xml:space="preserve"> tähta</w:t>
      </w:r>
      <w:r w:rsidR="0073183D">
        <w:rPr>
          <w:rFonts w:eastAsiaTheme="minorHAnsi"/>
          <w:sz w:val="22"/>
          <w:szCs w:val="22"/>
        </w:rPr>
        <w:t>ja</w:t>
      </w:r>
      <w:r w:rsidRPr="005A55CA">
        <w:rPr>
          <w:rFonts w:eastAsiaTheme="minorHAnsi"/>
          <w:sz w:val="22"/>
          <w:szCs w:val="22"/>
        </w:rPr>
        <w:t xml:space="preserve">, mille jooksul peab taotleja ennast tegevusloa saamise aluseks </w:t>
      </w:r>
      <w:r w:rsidRPr="005A55CA">
        <w:rPr>
          <w:rFonts w:eastAsiaTheme="minorHAnsi"/>
          <w:sz w:val="22"/>
          <w:szCs w:val="22"/>
        </w:rPr>
        <w:lastRenderedPageBreak/>
        <w:t xml:space="preserve">olevate nõuetega kooskõlla viima. </w:t>
      </w:r>
      <w:r w:rsidR="003C060F">
        <w:rPr>
          <w:rFonts w:eastAsiaTheme="minorHAnsi"/>
          <w:sz w:val="22"/>
          <w:szCs w:val="22"/>
        </w:rPr>
        <w:t>Tegemist on finantsjärelevalvele antud diskretsiooniõigusega (vt ka nt MERAS § 18 lg 3).</w:t>
      </w:r>
    </w:p>
    <w:p w14:paraId="18EA0631" w14:textId="694D502D" w:rsidR="001A2206" w:rsidRPr="005A55CA" w:rsidRDefault="001A2206" w:rsidP="00D375E5">
      <w:pPr>
        <w:autoSpaceDE w:val="0"/>
        <w:autoSpaceDN w:val="0"/>
        <w:adjustRightInd w:val="0"/>
        <w:spacing w:before="0"/>
        <w:rPr>
          <w:rFonts w:eastAsiaTheme="minorHAnsi"/>
          <w:sz w:val="22"/>
          <w:szCs w:val="22"/>
        </w:rPr>
      </w:pPr>
    </w:p>
    <w:p w14:paraId="5609CB7A" w14:textId="583C6F06" w:rsidR="001A2206" w:rsidRPr="0015768F" w:rsidRDefault="001A2206" w:rsidP="00D375E5">
      <w:pPr>
        <w:autoSpaceDE w:val="0"/>
        <w:autoSpaceDN w:val="0"/>
        <w:adjustRightInd w:val="0"/>
        <w:spacing w:before="0"/>
        <w:rPr>
          <w:rFonts w:eastAsiaTheme="minorHAnsi"/>
          <w:sz w:val="22"/>
          <w:szCs w:val="22"/>
        </w:rPr>
      </w:pPr>
      <w:r w:rsidRPr="005A55CA">
        <w:rPr>
          <w:rFonts w:eastAsiaTheme="minorHAnsi"/>
          <w:sz w:val="22"/>
          <w:szCs w:val="22"/>
        </w:rPr>
        <w:t xml:space="preserve">Tegevusloa saamise aluseks olevatest asjaoludest kõrvalekaldumise all on silmas peetud eeskätt tegevusloa taotluses esitatud </w:t>
      </w:r>
      <w:r w:rsidR="00B0617A">
        <w:rPr>
          <w:rFonts w:eastAsiaTheme="minorHAnsi"/>
          <w:sz w:val="22"/>
          <w:szCs w:val="22"/>
        </w:rPr>
        <w:t xml:space="preserve">andmeid ja </w:t>
      </w:r>
      <w:r w:rsidRPr="005A55CA">
        <w:rPr>
          <w:rFonts w:eastAsiaTheme="minorHAnsi"/>
          <w:sz w:val="22"/>
          <w:szCs w:val="22"/>
        </w:rPr>
        <w:t xml:space="preserve">dokumente, mida ei pruugi olla vajalik esitada näiteks täiendava tegevusloa taotlemise puhul, st kui taotleja juba omab Finantsinspektsiooni poolt väljastatud tegevusluba. </w:t>
      </w:r>
      <w:r w:rsidR="006021C9" w:rsidRPr="005A55CA">
        <w:rPr>
          <w:rFonts w:eastAsiaTheme="minorHAnsi"/>
          <w:sz w:val="22"/>
          <w:szCs w:val="22"/>
        </w:rPr>
        <w:t xml:space="preserve">Nimetatud andmeid ja dokumente hindab Finantsinspektsioon juhtumipõhiselt iga taotleja ning osutatava teenuse osas vastavalt muuhulgas sellele, mis andmed ja dokumendid on taotleja </w:t>
      </w:r>
      <w:r w:rsidR="006021C9" w:rsidRPr="0015768F">
        <w:rPr>
          <w:rFonts w:eastAsiaTheme="minorHAnsi"/>
          <w:sz w:val="22"/>
          <w:szCs w:val="22"/>
        </w:rPr>
        <w:t>Finantsinspektsioonile varasemalt muu tegevusloa taotlemise käigus esitanud.</w:t>
      </w:r>
      <w:r w:rsidR="005C7572">
        <w:rPr>
          <w:rFonts w:eastAsiaTheme="minorHAnsi"/>
          <w:sz w:val="22"/>
          <w:szCs w:val="22"/>
        </w:rPr>
        <w:t xml:space="preserve"> Samuti võib nimetatud punkti rakendada ka juhul, kui teatud tegevusloa andmise kriteeriumi</w:t>
      </w:r>
      <w:r w:rsidR="00B130BE">
        <w:rPr>
          <w:rFonts w:eastAsiaTheme="minorHAnsi"/>
          <w:sz w:val="22"/>
          <w:szCs w:val="22"/>
        </w:rPr>
        <w:t xml:space="preserve">d (muuhulgas näiteks § 7 lõike 1 punktis </w:t>
      </w:r>
      <w:r w:rsidR="00B0617A">
        <w:rPr>
          <w:rFonts w:eastAsiaTheme="minorHAnsi"/>
          <w:sz w:val="22"/>
          <w:szCs w:val="22"/>
        </w:rPr>
        <w:t>2</w:t>
      </w:r>
      <w:r w:rsidR="00B130BE">
        <w:rPr>
          <w:rFonts w:eastAsiaTheme="minorHAnsi"/>
          <w:sz w:val="22"/>
          <w:szCs w:val="22"/>
        </w:rPr>
        <w:t xml:space="preserve"> nimetatud nõue)</w:t>
      </w:r>
      <w:r w:rsidR="005C7572">
        <w:rPr>
          <w:rFonts w:eastAsiaTheme="minorHAnsi"/>
          <w:sz w:val="22"/>
          <w:szCs w:val="22"/>
        </w:rPr>
        <w:t xml:space="preserve"> on täitmata, ning anda ajapikendust taotleja tegevuse seaduse nõuetega kooskõlla viimiseks.</w:t>
      </w:r>
      <w:r w:rsidR="00FD4CC7">
        <w:rPr>
          <w:rFonts w:eastAsiaTheme="minorHAnsi"/>
          <w:sz w:val="22"/>
          <w:szCs w:val="22"/>
        </w:rPr>
        <w:t xml:space="preserve"> Samuti on </w:t>
      </w:r>
      <w:proofErr w:type="spellStart"/>
      <w:r w:rsidR="00FD4CC7">
        <w:rPr>
          <w:rFonts w:eastAsiaTheme="minorHAnsi"/>
          <w:sz w:val="22"/>
          <w:szCs w:val="22"/>
        </w:rPr>
        <w:t>kõrvaltingimuse</w:t>
      </w:r>
      <w:proofErr w:type="spellEnd"/>
      <w:r w:rsidR="00FD4CC7">
        <w:rPr>
          <w:rFonts w:eastAsiaTheme="minorHAnsi"/>
          <w:sz w:val="22"/>
          <w:szCs w:val="22"/>
        </w:rPr>
        <w:t xml:space="preserve"> üks olulisi eesmärke tehnoloogiliselt uuenduslikke ärimudeleid testida ja arendada, arvestades sealjuures seda, et seotud riskid peavad olema piisavalt juhitud.</w:t>
      </w:r>
    </w:p>
    <w:p w14:paraId="2436F135" w14:textId="5BFEAF4A" w:rsidR="00AB394C" w:rsidRPr="003A4690" w:rsidRDefault="00AB394C" w:rsidP="00D375E5">
      <w:pPr>
        <w:autoSpaceDE w:val="0"/>
        <w:autoSpaceDN w:val="0"/>
        <w:adjustRightInd w:val="0"/>
        <w:spacing w:before="0"/>
        <w:rPr>
          <w:rFonts w:eastAsiaTheme="minorHAnsi"/>
          <w:sz w:val="22"/>
          <w:szCs w:val="22"/>
        </w:rPr>
      </w:pPr>
    </w:p>
    <w:p w14:paraId="54979148" w14:textId="217C2F7E" w:rsidR="00AB394C" w:rsidRPr="005A55CA" w:rsidRDefault="00AB394C" w:rsidP="00D375E5">
      <w:pPr>
        <w:pStyle w:val="Heading9"/>
        <w:rPr>
          <w:b w:val="0"/>
          <w:sz w:val="22"/>
          <w:szCs w:val="22"/>
        </w:rPr>
      </w:pPr>
      <w:r w:rsidRPr="00F4370F">
        <w:rPr>
          <w:sz w:val="22"/>
          <w:szCs w:val="22"/>
        </w:rPr>
        <w:t>Lõige 3</w:t>
      </w:r>
      <w:r w:rsidR="00160D55" w:rsidRPr="0015768F">
        <w:rPr>
          <w:sz w:val="22"/>
          <w:szCs w:val="22"/>
        </w:rPr>
        <w:t xml:space="preserve"> </w:t>
      </w:r>
      <w:r w:rsidR="00160D55" w:rsidRPr="0015768F">
        <w:rPr>
          <w:b w:val="0"/>
          <w:sz w:val="22"/>
          <w:szCs w:val="22"/>
        </w:rPr>
        <w:t xml:space="preserve">käsitleb teenuseosutaja poolt pakutavaid </w:t>
      </w:r>
      <w:proofErr w:type="spellStart"/>
      <w:r w:rsidR="00160D55" w:rsidRPr="0015768F">
        <w:rPr>
          <w:b w:val="0"/>
          <w:sz w:val="22"/>
          <w:szCs w:val="22"/>
        </w:rPr>
        <w:t>kõrvalteenuseid</w:t>
      </w:r>
      <w:proofErr w:type="spellEnd"/>
      <w:r w:rsidR="00160D55" w:rsidRPr="0015768F">
        <w:rPr>
          <w:b w:val="0"/>
          <w:sz w:val="22"/>
          <w:szCs w:val="22"/>
        </w:rPr>
        <w:t xml:space="preserve"> käesoleva seaduse alusel tegevusloa andmise ajal</w:t>
      </w:r>
      <w:r w:rsidR="00160D55" w:rsidRPr="005A55CA">
        <w:rPr>
          <w:b w:val="0"/>
          <w:sz w:val="22"/>
          <w:szCs w:val="22"/>
        </w:rPr>
        <w:t xml:space="preserve">. Nimelt, kui teenuseosutaja osutab teenuseid, mis </w:t>
      </w:r>
      <w:r w:rsidR="00373CF9" w:rsidRPr="005A55CA">
        <w:rPr>
          <w:b w:val="0"/>
          <w:sz w:val="22"/>
          <w:szCs w:val="22"/>
        </w:rPr>
        <w:t xml:space="preserve">ei ole hõlmatud käesoleva seadusega, ja kui nimetatud teenuse osutamine takistab taotleja üle vajalikul määral järelevalve teostamist, siis võib Finantsinspektsioon näha ette tegevusloa andmisel </w:t>
      </w:r>
      <w:proofErr w:type="spellStart"/>
      <w:r w:rsidR="00373CF9" w:rsidRPr="005A55CA">
        <w:rPr>
          <w:b w:val="0"/>
          <w:sz w:val="22"/>
          <w:szCs w:val="22"/>
        </w:rPr>
        <w:t>kõrvaltingimusi</w:t>
      </w:r>
      <w:proofErr w:type="spellEnd"/>
      <w:r w:rsidR="00373CF9" w:rsidRPr="005A55CA">
        <w:rPr>
          <w:b w:val="0"/>
          <w:sz w:val="22"/>
          <w:szCs w:val="22"/>
        </w:rPr>
        <w:t xml:space="preserve">, millega piiratakse tegevusloaga </w:t>
      </w:r>
      <w:r w:rsidR="00675853">
        <w:rPr>
          <w:b w:val="0"/>
          <w:sz w:val="22"/>
          <w:szCs w:val="22"/>
        </w:rPr>
        <w:t>hõlmamata</w:t>
      </w:r>
      <w:r w:rsidR="00373CF9" w:rsidRPr="005A55CA">
        <w:rPr>
          <w:b w:val="0"/>
          <w:sz w:val="22"/>
          <w:szCs w:val="22"/>
        </w:rPr>
        <w:t xml:space="preserve"> teenuste osutamist</w:t>
      </w:r>
      <w:r w:rsidR="00F7668A">
        <w:rPr>
          <w:b w:val="0"/>
          <w:sz w:val="22"/>
          <w:szCs w:val="22"/>
        </w:rPr>
        <w:t>,</w:t>
      </w:r>
      <w:r w:rsidR="00373CF9" w:rsidRPr="005A55CA">
        <w:rPr>
          <w:b w:val="0"/>
          <w:sz w:val="22"/>
          <w:szCs w:val="22"/>
        </w:rPr>
        <w:t xml:space="preserve"> nõutakse nimetatud </w:t>
      </w:r>
      <w:proofErr w:type="spellStart"/>
      <w:r w:rsidR="00373CF9" w:rsidRPr="005A55CA">
        <w:rPr>
          <w:b w:val="0"/>
          <w:sz w:val="22"/>
          <w:szCs w:val="22"/>
        </w:rPr>
        <w:t>kõrvalteenuste</w:t>
      </w:r>
      <w:proofErr w:type="spellEnd"/>
      <w:r w:rsidR="00373CF9" w:rsidRPr="005A55CA">
        <w:rPr>
          <w:b w:val="0"/>
          <w:sz w:val="22"/>
          <w:szCs w:val="22"/>
        </w:rPr>
        <w:t xml:space="preserve"> osutamiseks tütarettevõtja asutamist</w:t>
      </w:r>
      <w:r w:rsidR="00F7668A">
        <w:rPr>
          <w:b w:val="0"/>
          <w:sz w:val="22"/>
          <w:szCs w:val="22"/>
        </w:rPr>
        <w:t xml:space="preserve"> või keelatakse tegevusluba omaval ettevõtjal muu teenuse osutamine</w:t>
      </w:r>
      <w:r w:rsidR="00373CF9" w:rsidRPr="005A55CA">
        <w:rPr>
          <w:b w:val="0"/>
          <w:sz w:val="22"/>
          <w:szCs w:val="22"/>
        </w:rPr>
        <w:t>.</w:t>
      </w:r>
      <w:r w:rsidR="00226BCC" w:rsidRPr="005A55CA">
        <w:rPr>
          <w:b w:val="0"/>
          <w:sz w:val="22"/>
          <w:szCs w:val="22"/>
        </w:rPr>
        <w:t xml:space="preserve"> </w:t>
      </w:r>
      <w:r w:rsidR="009950C0" w:rsidRPr="005A55CA">
        <w:rPr>
          <w:b w:val="0"/>
          <w:sz w:val="22"/>
          <w:szCs w:val="22"/>
        </w:rPr>
        <w:t xml:space="preserve">Nimetatud piirangu vajalikkus tõusetub juhul, kui Finantsinspektsioonilt tegevusloa saanud teenuseosutaja osutab niivõrd suures mahus või ulatuses </w:t>
      </w:r>
      <w:proofErr w:type="spellStart"/>
      <w:r w:rsidR="009950C0" w:rsidRPr="005A55CA">
        <w:rPr>
          <w:b w:val="0"/>
          <w:sz w:val="22"/>
          <w:szCs w:val="22"/>
        </w:rPr>
        <w:t>kõrvalteenuseid</w:t>
      </w:r>
      <w:proofErr w:type="spellEnd"/>
      <w:r w:rsidR="009950C0" w:rsidRPr="005A55CA">
        <w:rPr>
          <w:b w:val="0"/>
          <w:sz w:val="22"/>
          <w:szCs w:val="22"/>
        </w:rPr>
        <w:t>, et see pärsib tegevusloaga reguleeritud teenuste osutamist.</w:t>
      </w:r>
    </w:p>
    <w:p w14:paraId="2112D203" w14:textId="77777777" w:rsidR="00AB394C" w:rsidRPr="005A55CA" w:rsidRDefault="00AB394C" w:rsidP="00D375E5">
      <w:pPr>
        <w:autoSpaceDE w:val="0"/>
        <w:autoSpaceDN w:val="0"/>
        <w:adjustRightInd w:val="0"/>
        <w:spacing w:before="0"/>
        <w:rPr>
          <w:rFonts w:eastAsiaTheme="minorHAnsi"/>
          <w:sz w:val="22"/>
          <w:szCs w:val="22"/>
        </w:rPr>
      </w:pPr>
    </w:p>
    <w:p w14:paraId="73E5F207" w14:textId="5AD4538D" w:rsidR="00C93D1B" w:rsidRPr="005A55CA" w:rsidRDefault="00C93D1B" w:rsidP="00D375E5">
      <w:pPr>
        <w:spacing w:before="0"/>
        <w:rPr>
          <w:sz w:val="22"/>
          <w:szCs w:val="22"/>
        </w:rPr>
      </w:pPr>
      <w:r w:rsidRPr="005A55CA">
        <w:rPr>
          <w:b/>
          <w:sz w:val="22"/>
          <w:szCs w:val="22"/>
        </w:rPr>
        <w:t xml:space="preserve">Lõikes 4 </w:t>
      </w:r>
      <w:r w:rsidRPr="005A55CA">
        <w:rPr>
          <w:sz w:val="22"/>
          <w:szCs w:val="22"/>
        </w:rPr>
        <w:t xml:space="preserve">on </w:t>
      </w:r>
      <w:r w:rsidR="0073183D" w:rsidRPr="005A55CA">
        <w:rPr>
          <w:sz w:val="22"/>
          <w:szCs w:val="22"/>
        </w:rPr>
        <w:t>s</w:t>
      </w:r>
      <w:r w:rsidR="0073183D">
        <w:rPr>
          <w:sz w:val="22"/>
          <w:szCs w:val="22"/>
        </w:rPr>
        <w:t xml:space="preserve">ätestatud </w:t>
      </w:r>
      <w:r w:rsidRPr="005A55CA">
        <w:rPr>
          <w:sz w:val="22"/>
          <w:szCs w:val="22"/>
        </w:rPr>
        <w:t xml:space="preserve">andmed, mida tuleb märkida tegevusloa kohta tehtavas otsuses, ning </w:t>
      </w:r>
      <w:r w:rsidRPr="005A55CA">
        <w:rPr>
          <w:b/>
          <w:sz w:val="22"/>
          <w:szCs w:val="22"/>
        </w:rPr>
        <w:t xml:space="preserve">lõike 5 </w:t>
      </w:r>
      <w:r w:rsidRPr="005A55CA">
        <w:rPr>
          <w:sz w:val="22"/>
          <w:szCs w:val="22"/>
        </w:rPr>
        <w:t xml:space="preserve">kohaselt toimetatakse taotlejale viivitamata kätte otsus tegevusloa andmise või sellest keeldumise kohta. </w:t>
      </w:r>
      <w:r w:rsidR="00CF0676">
        <w:rPr>
          <w:sz w:val="22"/>
          <w:szCs w:val="22"/>
        </w:rPr>
        <w:t>Otsuse kättetoimetamisele kohaldatakse haldusmenetluse seaduse 1. peatüki 7. jao sätteid</w:t>
      </w:r>
      <w:r w:rsidR="001E273B">
        <w:rPr>
          <w:sz w:val="22"/>
          <w:szCs w:val="22"/>
        </w:rPr>
        <w:t xml:space="preserve"> ning </w:t>
      </w:r>
      <w:r w:rsidR="00FD4CC7">
        <w:rPr>
          <w:sz w:val="22"/>
          <w:szCs w:val="22"/>
        </w:rPr>
        <w:t xml:space="preserve">sama seaduse </w:t>
      </w:r>
      <w:r w:rsidR="001E273B">
        <w:rPr>
          <w:sz w:val="22"/>
          <w:szCs w:val="22"/>
        </w:rPr>
        <w:t>§ 62 lõigetes 1 ja 5 sätestatut, st kättetoimetamisel ei ole käesolevas seaduses sätestatud erikorda võrreldes haldusmenetluse seaduses sätestatud üldise haldusakti kättetoimetamise sätetega</w:t>
      </w:r>
      <w:r w:rsidR="00CF0676">
        <w:rPr>
          <w:sz w:val="22"/>
          <w:szCs w:val="22"/>
        </w:rPr>
        <w:t xml:space="preserve">. </w:t>
      </w:r>
    </w:p>
    <w:p w14:paraId="39227013" w14:textId="187E64A4" w:rsidR="00373CF9" w:rsidRPr="005A55CA" w:rsidRDefault="00373CF9" w:rsidP="00D375E5">
      <w:pPr>
        <w:spacing w:before="0"/>
        <w:rPr>
          <w:sz w:val="22"/>
          <w:szCs w:val="22"/>
        </w:rPr>
      </w:pPr>
    </w:p>
    <w:p w14:paraId="43E7B893" w14:textId="1D478020" w:rsidR="00373CF9" w:rsidRDefault="00373CF9" w:rsidP="00D375E5">
      <w:pPr>
        <w:spacing w:before="0"/>
        <w:rPr>
          <w:sz w:val="22"/>
          <w:szCs w:val="22"/>
        </w:rPr>
      </w:pPr>
      <w:r w:rsidRPr="005A55CA">
        <w:rPr>
          <w:b/>
          <w:sz w:val="22"/>
          <w:szCs w:val="22"/>
        </w:rPr>
        <w:t>Paragrahvis 1</w:t>
      </w:r>
      <w:r w:rsidR="003A0FCC" w:rsidRPr="005A55CA">
        <w:rPr>
          <w:b/>
          <w:sz w:val="22"/>
          <w:szCs w:val="22"/>
        </w:rPr>
        <w:t>1</w:t>
      </w:r>
      <w:r w:rsidRPr="005A55CA">
        <w:rPr>
          <w:b/>
          <w:sz w:val="22"/>
          <w:szCs w:val="22"/>
        </w:rPr>
        <w:t xml:space="preserve"> </w:t>
      </w:r>
      <w:r w:rsidRPr="005A55CA">
        <w:rPr>
          <w:sz w:val="22"/>
          <w:szCs w:val="22"/>
        </w:rPr>
        <w:t>on loetletud tegevusloa andmisest keeldumise alused ning taotleja tegevus pärast tegevusloa andmisest keeldumist.</w:t>
      </w:r>
    </w:p>
    <w:p w14:paraId="4866FCA6" w14:textId="77777777" w:rsidR="00B07BB7" w:rsidRPr="005A55CA" w:rsidRDefault="00B07BB7" w:rsidP="00D375E5">
      <w:pPr>
        <w:spacing w:before="0"/>
        <w:rPr>
          <w:sz w:val="22"/>
          <w:szCs w:val="22"/>
        </w:rPr>
      </w:pPr>
    </w:p>
    <w:p w14:paraId="106C836E" w14:textId="5AD62E73" w:rsidR="00CE72A4" w:rsidRDefault="00373CF9" w:rsidP="00D375E5">
      <w:pPr>
        <w:spacing w:before="0"/>
        <w:rPr>
          <w:sz w:val="22"/>
          <w:szCs w:val="22"/>
        </w:rPr>
      </w:pPr>
      <w:r w:rsidRPr="005A55CA">
        <w:rPr>
          <w:b/>
          <w:sz w:val="22"/>
          <w:szCs w:val="22"/>
        </w:rPr>
        <w:t xml:space="preserve">Lõike 1 </w:t>
      </w:r>
      <w:r w:rsidRPr="005A55CA">
        <w:rPr>
          <w:sz w:val="22"/>
          <w:szCs w:val="22"/>
        </w:rPr>
        <w:t>punktides 1-</w:t>
      </w:r>
      <w:r w:rsidR="003A0FCC" w:rsidRPr="005A55CA">
        <w:rPr>
          <w:sz w:val="22"/>
          <w:szCs w:val="22"/>
        </w:rPr>
        <w:t>1</w:t>
      </w:r>
      <w:r w:rsidR="007E60F9">
        <w:rPr>
          <w:sz w:val="22"/>
          <w:szCs w:val="22"/>
        </w:rPr>
        <w:t>2</w:t>
      </w:r>
      <w:r w:rsidRPr="005A55CA">
        <w:rPr>
          <w:sz w:val="22"/>
          <w:szCs w:val="22"/>
        </w:rPr>
        <w:t xml:space="preserve"> on loetletud alused, millal Finantsinspektsioon võib keelduda taotlejale tegevusloa andmisest. </w:t>
      </w:r>
      <w:r w:rsidR="00A332A5" w:rsidRPr="005A55CA">
        <w:rPr>
          <w:sz w:val="22"/>
          <w:szCs w:val="22"/>
        </w:rPr>
        <w:t xml:space="preserve">Finantsinspektsioon </w:t>
      </w:r>
      <w:r w:rsidR="0073183D">
        <w:rPr>
          <w:sz w:val="22"/>
          <w:szCs w:val="22"/>
        </w:rPr>
        <w:t xml:space="preserve">võib </w:t>
      </w:r>
      <w:r w:rsidR="00A332A5" w:rsidRPr="005A55CA">
        <w:rPr>
          <w:sz w:val="22"/>
          <w:szCs w:val="22"/>
        </w:rPr>
        <w:t>muu hulgas keelduda tegevusloa andmisest, kui taotlejal ei ole tegutsemiseks piisavalt teadmisi või kogemusi või tema juh</w:t>
      </w:r>
      <w:r w:rsidR="005C7572">
        <w:rPr>
          <w:sz w:val="22"/>
          <w:szCs w:val="22"/>
        </w:rPr>
        <w:t>torgani liikme</w:t>
      </w:r>
      <w:r w:rsidR="00A332A5" w:rsidRPr="005A55CA">
        <w:rPr>
          <w:sz w:val="22"/>
          <w:szCs w:val="22"/>
        </w:rPr>
        <w:t xml:space="preserve">d, audiitor või aktsionärid </w:t>
      </w:r>
      <w:r w:rsidR="005C7572">
        <w:rPr>
          <w:sz w:val="22"/>
          <w:szCs w:val="22"/>
        </w:rPr>
        <w:t xml:space="preserve">või osanikud </w:t>
      </w:r>
      <w:r w:rsidR="00A332A5" w:rsidRPr="005A55CA">
        <w:rPr>
          <w:sz w:val="22"/>
          <w:szCs w:val="22"/>
        </w:rPr>
        <w:t>ei vasta seaduses sätestatud nõuetele. Säte on sarnane muude finantsteenuste pakkujate kohta kehtivate õigusnormidega</w:t>
      </w:r>
      <w:r w:rsidR="00B54A28">
        <w:rPr>
          <w:sz w:val="22"/>
          <w:szCs w:val="22"/>
        </w:rPr>
        <w:t xml:space="preserve">, välja arvatud </w:t>
      </w:r>
      <w:r w:rsidR="00CE72A4">
        <w:rPr>
          <w:sz w:val="22"/>
          <w:szCs w:val="22"/>
        </w:rPr>
        <w:t xml:space="preserve">alltoodud erisustega. </w:t>
      </w:r>
    </w:p>
    <w:p w14:paraId="0BE002BB" w14:textId="2BD568FF" w:rsidR="00CE72A4" w:rsidRDefault="00CE72A4" w:rsidP="00D375E5">
      <w:pPr>
        <w:spacing w:before="0"/>
        <w:rPr>
          <w:sz w:val="22"/>
          <w:szCs w:val="22"/>
        </w:rPr>
      </w:pPr>
    </w:p>
    <w:p w14:paraId="3529C6CB" w14:textId="07B8401E" w:rsidR="00CE72A4" w:rsidRDefault="00CE72A4" w:rsidP="00D375E5">
      <w:pPr>
        <w:spacing w:before="0"/>
        <w:rPr>
          <w:sz w:val="22"/>
          <w:szCs w:val="22"/>
        </w:rPr>
      </w:pPr>
      <w:r>
        <w:rPr>
          <w:sz w:val="22"/>
          <w:szCs w:val="22"/>
        </w:rPr>
        <w:t>Punkti 7 kohaselt võib Finantsinspektsioon keelduda tegevusloa andmisest, kui taotleja esitatud andmetest selgub, et taotleja kavandatav püsiva ja kestva majandustegevuse koht ei ole Eestis. Nimetatud punkti kohta vaata ka § 26 lg 1 selgitusi.</w:t>
      </w:r>
    </w:p>
    <w:p w14:paraId="349DF878" w14:textId="77777777" w:rsidR="00CE72A4" w:rsidRDefault="00CE72A4" w:rsidP="00D375E5">
      <w:pPr>
        <w:spacing w:before="0"/>
        <w:rPr>
          <w:sz w:val="22"/>
          <w:szCs w:val="22"/>
        </w:rPr>
      </w:pPr>
    </w:p>
    <w:p w14:paraId="070675B6" w14:textId="3693D0B5" w:rsidR="00CE72A4" w:rsidRDefault="00CE72A4" w:rsidP="00D375E5">
      <w:pPr>
        <w:spacing w:before="0"/>
        <w:rPr>
          <w:sz w:val="22"/>
          <w:szCs w:val="22"/>
        </w:rPr>
      </w:pPr>
      <w:r>
        <w:rPr>
          <w:sz w:val="22"/>
          <w:szCs w:val="22"/>
        </w:rPr>
        <w:t xml:space="preserve">Punkti 9 kohaselt võib Finantsinspektsioon keelduda tegevusloa andmisest, kui tegevusloa taotleja äriplaanis kavandatud teenustega seotud riskid ei ole piisavalt kaetud, sealhulgas kui taotleja organisatsiooniline struktuur ja juhtimisstruktuur ei ole piisavad teenuseosutaja järjepidevaks tegevuseks ning tema </w:t>
      </w:r>
      <w:proofErr w:type="spellStart"/>
      <w:r>
        <w:rPr>
          <w:sz w:val="22"/>
          <w:szCs w:val="22"/>
        </w:rPr>
        <w:t>siseprotseduurid</w:t>
      </w:r>
      <w:proofErr w:type="spellEnd"/>
      <w:r>
        <w:rPr>
          <w:sz w:val="22"/>
          <w:szCs w:val="22"/>
        </w:rPr>
        <w:t xml:space="preserve"> ja -kontroll ei taga piisavat riskide juhtimist; samuti kui </w:t>
      </w:r>
      <w:proofErr w:type="spellStart"/>
      <w:r>
        <w:rPr>
          <w:sz w:val="22"/>
          <w:szCs w:val="22"/>
        </w:rPr>
        <w:t>kõrvaltingimusega</w:t>
      </w:r>
      <w:proofErr w:type="spellEnd"/>
      <w:r>
        <w:rPr>
          <w:sz w:val="22"/>
          <w:szCs w:val="22"/>
        </w:rPr>
        <w:t xml:space="preserve"> tegevusluba ei ole kõiki asjaolusid arvestades mõistlik anda. </w:t>
      </w:r>
      <w:r w:rsidR="00AF10F4">
        <w:rPr>
          <w:sz w:val="22"/>
          <w:szCs w:val="22"/>
        </w:rPr>
        <w:t>Nimetatud punkt kuulub eelkõige kohaldamisele siis, kui</w:t>
      </w:r>
      <w:r w:rsidR="00AF10F4" w:rsidRPr="00AF10F4">
        <w:rPr>
          <w:sz w:val="22"/>
          <w:szCs w:val="22"/>
        </w:rPr>
        <w:t xml:space="preserve"> ärimudeliga kaasnevad riskid </w:t>
      </w:r>
      <w:r w:rsidR="00AF10F4">
        <w:rPr>
          <w:sz w:val="22"/>
          <w:szCs w:val="22"/>
        </w:rPr>
        <w:t>on</w:t>
      </w:r>
      <w:r w:rsidR="00AF10F4" w:rsidRPr="00AF10F4">
        <w:rPr>
          <w:sz w:val="22"/>
          <w:szCs w:val="22"/>
        </w:rPr>
        <w:t xml:space="preserve"> nii suured, et isegi adekvaatsete </w:t>
      </w:r>
      <w:proofErr w:type="spellStart"/>
      <w:r w:rsidR="00AF10F4" w:rsidRPr="00AF10F4">
        <w:rPr>
          <w:sz w:val="22"/>
          <w:szCs w:val="22"/>
        </w:rPr>
        <w:t>sise</w:t>
      </w:r>
      <w:proofErr w:type="spellEnd"/>
      <w:r w:rsidR="00AF10F4" w:rsidRPr="00AF10F4">
        <w:rPr>
          <w:sz w:val="22"/>
          <w:szCs w:val="22"/>
        </w:rPr>
        <w:t xml:space="preserve">-eeskirjade esitamisel ei pruugi olla äriplaanis kavandatud teenustega seotud riskid piisavalt juhitud ning </w:t>
      </w:r>
      <w:proofErr w:type="spellStart"/>
      <w:r w:rsidR="00AF10F4" w:rsidRPr="00AF10F4">
        <w:rPr>
          <w:sz w:val="22"/>
          <w:szCs w:val="22"/>
        </w:rPr>
        <w:t>kõrvaltingimuste</w:t>
      </w:r>
      <w:proofErr w:type="spellEnd"/>
      <w:r w:rsidR="00AF10F4" w:rsidRPr="00AF10F4">
        <w:rPr>
          <w:sz w:val="22"/>
          <w:szCs w:val="22"/>
        </w:rPr>
        <w:t xml:space="preserve"> kehtestamisega peaks sisuliselt takistama ärimudeli sellisel kujul ellu viimist. Niisugusel puhul ei ole mõistlik väljastada tegevusluba teenusele, mida </w:t>
      </w:r>
      <w:proofErr w:type="spellStart"/>
      <w:r w:rsidR="00AF10F4" w:rsidRPr="00AF10F4">
        <w:rPr>
          <w:sz w:val="22"/>
          <w:szCs w:val="22"/>
        </w:rPr>
        <w:t>kõrvaltingimuste</w:t>
      </w:r>
      <w:proofErr w:type="spellEnd"/>
      <w:r w:rsidR="00AF10F4" w:rsidRPr="00AF10F4">
        <w:rPr>
          <w:sz w:val="22"/>
          <w:szCs w:val="22"/>
        </w:rPr>
        <w:t xml:space="preserve"> tõttu sisuliselt osutada ei saagi, vaid otstarbekas on muuta teenust ja omandada tegevusluba sellisele teenusele, mida osutada saab.</w:t>
      </w:r>
    </w:p>
    <w:p w14:paraId="7D706F99" w14:textId="77777777" w:rsidR="00CE72A4" w:rsidRDefault="00CE72A4" w:rsidP="00D375E5">
      <w:pPr>
        <w:spacing w:before="0"/>
        <w:rPr>
          <w:sz w:val="22"/>
          <w:szCs w:val="22"/>
        </w:rPr>
      </w:pPr>
    </w:p>
    <w:p w14:paraId="1C79B17F" w14:textId="65C0C612" w:rsidR="00373CF9" w:rsidRDefault="00CE72A4" w:rsidP="00D375E5">
      <w:pPr>
        <w:spacing w:before="0"/>
        <w:rPr>
          <w:sz w:val="22"/>
          <w:szCs w:val="22"/>
        </w:rPr>
      </w:pPr>
      <w:r>
        <w:rPr>
          <w:sz w:val="22"/>
          <w:szCs w:val="22"/>
        </w:rPr>
        <w:t>Punkti 12</w:t>
      </w:r>
      <w:r w:rsidR="00B54A28">
        <w:rPr>
          <w:sz w:val="22"/>
          <w:szCs w:val="22"/>
        </w:rPr>
        <w:t xml:space="preserve"> kohaselt võib Finantsinspektsioon keelduda taotlejale tegevusloa andmisest, kui taotleja infotehnoloogilised süsteemid ja muud tehnoloogilised vahendid ei ole teenuse osutamiseks piisavad. </w:t>
      </w:r>
      <w:r w:rsidR="00B54A28">
        <w:rPr>
          <w:sz w:val="22"/>
          <w:szCs w:val="22"/>
        </w:rPr>
        <w:lastRenderedPageBreak/>
        <w:t xml:space="preserve">Kuivõrd </w:t>
      </w:r>
      <w:proofErr w:type="spellStart"/>
      <w:r w:rsidR="00B54A28">
        <w:rPr>
          <w:sz w:val="22"/>
          <w:szCs w:val="22"/>
        </w:rPr>
        <w:t>viimatimainitud</w:t>
      </w:r>
      <w:proofErr w:type="spellEnd"/>
      <w:r w:rsidR="00B54A28">
        <w:rPr>
          <w:sz w:val="22"/>
          <w:szCs w:val="22"/>
        </w:rPr>
        <w:t xml:space="preserve"> nõue kuulu</w:t>
      </w:r>
      <w:r w:rsidR="00B76E1B">
        <w:rPr>
          <w:sz w:val="22"/>
          <w:szCs w:val="22"/>
        </w:rPr>
        <w:t xml:space="preserve">b tegevusloa taotluse kontrolli </w:t>
      </w:r>
      <w:r w:rsidR="00B54A28">
        <w:rPr>
          <w:sz w:val="22"/>
          <w:szCs w:val="22"/>
        </w:rPr>
        <w:t>esemesse ning kuna käesolevas seaduses reguleeritud teenuste osutamine on suuresti üles ehitatud infotehnoloogilistele lahendustele, siis peab Finantsinspektsioonil olema õigus keelduda tegevusloa väljastamisest, kui taotleja süsteemid ei ole Finantsinspektsiooni hinnangul teenuse osutamiseks piisavad.</w:t>
      </w:r>
      <w:r>
        <w:rPr>
          <w:sz w:val="22"/>
          <w:szCs w:val="22"/>
        </w:rPr>
        <w:t xml:space="preserve"> </w:t>
      </w:r>
    </w:p>
    <w:p w14:paraId="6B5A00CD" w14:textId="60DC5643" w:rsidR="003C060F" w:rsidRDefault="003C060F" w:rsidP="00D375E5">
      <w:pPr>
        <w:spacing w:before="0"/>
        <w:rPr>
          <w:sz w:val="22"/>
          <w:szCs w:val="22"/>
        </w:rPr>
      </w:pPr>
    </w:p>
    <w:p w14:paraId="7FE62B51" w14:textId="4CC13D9D" w:rsidR="003C060F" w:rsidRPr="003C060F" w:rsidRDefault="003C060F" w:rsidP="00D375E5">
      <w:pPr>
        <w:spacing w:before="0"/>
        <w:rPr>
          <w:sz w:val="22"/>
          <w:szCs w:val="22"/>
        </w:rPr>
      </w:pPr>
      <w:r w:rsidRPr="003C060F">
        <w:rPr>
          <w:b/>
          <w:sz w:val="22"/>
          <w:szCs w:val="22"/>
        </w:rPr>
        <w:t>Lõikega 2</w:t>
      </w:r>
      <w:r w:rsidRPr="003C060F">
        <w:rPr>
          <w:sz w:val="22"/>
          <w:szCs w:val="22"/>
        </w:rPr>
        <w:t xml:space="preserve"> täpsustatakse lõike 1 punktis 6 teenuseosutajana järjepidevaks tegutsemiseks piisavate vahendite ja kogemuste hindamise aluseks olevaid kriteeriume. Selleks võetakse arvesse muu hulgas:</w:t>
      </w:r>
    </w:p>
    <w:p w14:paraId="19E031B2" w14:textId="7A2DF63A" w:rsidR="003C060F" w:rsidRPr="003C060F" w:rsidRDefault="003C060F" w:rsidP="002B2C7C">
      <w:pPr>
        <w:numPr>
          <w:ilvl w:val="1"/>
          <w:numId w:val="28"/>
        </w:numPr>
        <w:ind w:left="426"/>
        <w:rPr>
          <w:sz w:val="22"/>
          <w:szCs w:val="22"/>
        </w:rPr>
      </w:pPr>
      <w:r w:rsidRPr="003C060F">
        <w:rPr>
          <w:sz w:val="22"/>
          <w:szCs w:val="22"/>
        </w:rPr>
        <w:t>taotleja tegevuse organisatsioonilise ja tehnilise korralduse taset;</w:t>
      </w:r>
    </w:p>
    <w:p w14:paraId="48DF457E" w14:textId="609B5CC5" w:rsidR="003C060F" w:rsidRPr="003C060F" w:rsidRDefault="003C060F" w:rsidP="002B2C7C">
      <w:pPr>
        <w:numPr>
          <w:ilvl w:val="1"/>
          <w:numId w:val="28"/>
        </w:numPr>
        <w:ind w:left="426"/>
        <w:rPr>
          <w:sz w:val="22"/>
          <w:szCs w:val="22"/>
        </w:rPr>
      </w:pPr>
      <w:r w:rsidRPr="003C060F">
        <w:rPr>
          <w:sz w:val="22"/>
          <w:szCs w:val="22"/>
        </w:rPr>
        <w:t>taotleja juht</w:t>
      </w:r>
      <w:r w:rsidR="00B54A28">
        <w:rPr>
          <w:sz w:val="22"/>
          <w:szCs w:val="22"/>
        </w:rPr>
        <w:t>organite liikmete</w:t>
      </w:r>
      <w:r w:rsidRPr="003C060F">
        <w:rPr>
          <w:sz w:val="22"/>
          <w:szCs w:val="22"/>
        </w:rPr>
        <w:t xml:space="preserve"> haridust, nende töökogemust, ärisidemeid, usaldusväärsust ja reputatsiooni;</w:t>
      </w:r>
    </w:p>
    <w:p w14:paraId="3879C5B8" w14:textId="4A24EAAC" w:rsidR="003C060F" w:rsidRPr="003C060F" w:rsidRDefault="003C060F" w:rsidP="002B2C7C">
      <w:pPr>
        <w:numPr>
          <w:ilvl w:val="1"/>
          <w:numId w:val="28"/>
        </w:numPr>
        <w:ind w:left="426"/>
        <w:rPr>
          <w:sz w:val="22"/>
          <w:szCs w:val="22"/>
        </w:rPr>
      </w:pPr>
      <w:r w:rsidRPr="003C060F">
        <w:rPr>
          <w:sz w:val="22"/>
          <w:szCs w:val="22"/>
        </w:rPr>
        <w:t>käesoleva seaduse paragrahvis 8 sätestatud äriplaani adekvaatsust ja piisavust;</w:t>
      </w:r>
    </w:p>
    <w:p w14:paraId="32A3009B" w14:textId="5E1AE930" w:rsidR="003C060F" w:rsidRPr="003C060F" w:rsidRDefault="003C060F" w:rsidP="002B2C7C">
      <w:pPr>
        <w:numPr>
          <w:ilvl w:val="1"/>
          <w:numId w:val="28"/>
        </w:numPr>
        <w:ind w:left="426"/>
        <w:rPr>
          <w:sz w:val="22"/>
          <w:szCs w:val="22"/>
        </w:rPr>
      </w:pPr>
      <w:r w:rsidRPr="003C060F">
        <w:rPr>
          <w:sz w:val="22"/>
          <w:szCs w:val="22"/>
        </w:rPr>
        <w:t>taotleja, tema emaettevõtja ja teiste taotlejaga samasse konsolideerimisgruppi kuuluvate isikute tegevust, finantsseisundit, reputatsiooni ja kogemusi.</w:t>
      </w:r>
    </w:p>
    <w:p w14:paraId="2C659BDC" w14:textId="2BB674BC" w:rsidR="003C060F" w:rsidRPr="003C060F" w:rsidRDefault="003C060F" w:rsidP="00D375E5">
      <w:pPr>
        <w:spacing w:before="0"/>
        <w:rPr>
          <w:sz w:val="22"/>
          <w:szCs w:val="22"/>
        </w:rPr>
      </w:pPr>
    </w:p>
    <w:p w14:paraId="11A916F5" w14:textId="310F7605" w:rsidR="003C060F" w:rsidRPr="003C060F" w:rsidRDefault="0073183D" w:rsidP="00D375E5">
      <w:pPr>
        <w:spacing w:before="0"/>
        <w:rPr>
          <w:sz w:val="22"/>
          <w:szCs w:val="22"/>
        </w:rPr>
      </w:pPr>
      <w:r w:rsidRPr="003C060F">
        <w:rPr>
          <w:b/>
          <w:sz w:val="22"/>
          <w:szCs w:val="22"/>
        </w:rPr>
        <w:t>Lõike</w:t>
      </w:r>
      <w:r>
        <w:rPr>
          <w:b/>
          <w:sz w:val="22"/>
          <w:szCs w:val="22"/>
        </w:rPr>
        <w:t>s</w:t>
      </w:r>
      <w:r w:rsidRPr="003C060F">
        <w:rPr>
          <w:b/>
          <w:sz w:val="22"/>
          <w:szCs w:val="22"/>
        </w:rPr>
        <w:t xml:space="preserve"> </w:t>
      </w:r>
      <w:r w:rsidR="003C060F" w:rsidRPr="003C060F">
        <w:rPr>
          <w:b/>
          <w:sz w:val="22"/>
          <w:szCs w:val="22"/>
        </w:rPr>
        <w:t>3</w:t>
      </w:r>
      <w:r w:rsidR="003C060F" w:rsidRPr="003C060F">
        <w:rPr>
          <w:sz w:val="22"/>
          <w:szCs w:val="22"/>
        </w:rPr>
        <w:t xml:space="preserve"> sätestatakse, et taotleja ei või k</w:t>
      </w:r>
      <w:r w:rsidR="00AF10F4">
        <w:rPr>
          <w:sz w:val="22"/>
          <w:szCs w:val="22"/>
        </w:rPr>
        <w:t>uue</w:t>
      </w:r>
      <w:r w:rsidR="003C060F" w:rsidRPr="003C060F">
        <w:rPr>
          <w:sz w:val="22"/>
          <w:szCs w:val="22"/>
        </w:rPr>
        <w:t xml:space="preserve"> kuu jooksul Finantsinspektsiooni tegevusloa andmisest keeldumise otsuse jõustumisest arvates uut tegevusloa taotlust esitada. Kui Finantsinspektsioon jätab tegevusloa taotluse läbi vaatamata käesoleva seaduse § 9 lõikes </w:t>
      </w:r>
      <w:r w:rsidR="005B02E7">
        <w:rPr>
          <w:sz w:val="22"/>
          <w:szCs w:val="22"/>
        </w:rPr>
        <w:t>6</w:t>
      </w:r>
      <w:r w:rsidR="003C060F" w:rsidRPr="003C060F">
        <w:rPr>
          <w:sz w:val="22"/>
          <w:szCs w:val="22"/>
        </w:rPr>
        <w:t xml:space="preserve"> sätestatud alusel, ei või taotleja uut tegevusloa taotlust esitada enne </w:t>
      </w:r>
      <w:r w:rsidR="00AF10F4">
        <w:rPr>
          <w:sz w:val="22"/>
          <w:szCs w:val="22"/>
        </w:rPr>
        <w:t>kolme</w:t>
      </w:r>
      <w:r w:rsidR="003C060F" w:rsidRPr="003C060F">
        <w:rPr>
          <w:sz w:val="22"/>
          <w:szCs w:val="22"/>
        </w:rPr>
        <w:t xml:space="preserve"> kuu möödumist taotluse läbi vaatamata jätmisest.</w:t>
      </w:r>
    </w:p>
    <w:p w14:paraId="5782F95E" w14:textId="77777777" w:rsidR="00C93D1B" w:rsidRPr="005A55CA" w:rsidRDefault="00C93D1B" w:rsidP="00D375E5">
      <w:pPr>
        <w:spacing w:before="0"/>
        <w:rPr>
          <w:sz w:val="22"/>
          <w:szCs w:val="22"/>
        </w:rPr>
      </w:pPr>
    </w:p>
    <w:p w14:paraId="156EDD56" w14:textId="09A07382" w:rsidR="00C93D1B" w:rsidRDefault="00A72EBF" w:rsidP="00D375E5">
      <w:pPr>
        <w:spacing w:before="0"/>
        <w:rPr>
          <w:sz w:val="22"/>
          <w:szCs w:val="22"/>
        </w:rPr>
      </w:pPr>
      <w:r w:rsidRPr="005A55CA">
        <w:rPr>
          <w:b/>
          <w:sz w:val="22"/>
          <w:szCs w:val="22"/>
        </w:rPr>
        <w:t>Paragrahvis 1</w:t>
      </w:r>
      <w:r w:rsidR="003A0FCC" w:rsidRPr="005A55CA">
        <w:rPr>
          <w:b/>
          <w:sz w:val="22"/>
          <w:szCs w:val="22"/>
        </w:rPr>
        <w:t>2</w:t>
      </w:r>
      <w:r w:rsidRPr="005A55CA">
        <w:rPr>
          <w:b/>
          <w:sz w:val="22"/>
          <w:szCs w:val="22"/>
        </w:rPr>
        <w:t xml:space="preserve"> </w:t>
      </w:r>
      <w:r w:rsidRPr="005A55CA">
        <w:rPr>
          <w:sz w:val="22"/>
          <w:szCs w:val="22"/>
        </w:rPr>
        <w:t xml:space="preserve">on loetletud tegevusloa kehtivuse lõppemise alused </w:t>
      </w:r>
      <w:r w:rsidR="003C060F">
        <w:rPr>
          <w:sz w:val="22"/>
          <w:szCs w:val="22"/>
        </w:rPr>
        <w:t>ja</w:t>
      </w:r>
      <w:r w:rsidR="003C060F" w:rsidRPr="005A55CA">
        <w:rPr>
          <w:sz w:val="22"/>
          <w:szCs w:val="22"/>
        </w:rPr>
        <w:t xml:space="preserve"> </w:t>
      </w:r>
      <w:r w:rsidRPr="005A55CA">
        <w:rPr>
          <w:sz w:val="22"/>
          <w:szCs w:val="22"/>
        </w:rPr>
        <w:t xml:space="preserve">täpsustatakse tegevusloa kehtivuse lõppemise tagajärge. </w:t>
      </w:r>
    </w:p>
    <w:p w14:paraId="31F751C2" w14:textId="77777777" w:rsidR="00B07BB7" w:rsidRPr="005A55CA" w:rsidRDefault="00B07BB7" w:rsidP="00D375E5">
      <w:pPr>
        <w:spacing w:before="0"/>
        <w:rPr>
          <w:sz w:val="22"/>
          <w:szCs w:val="22"/>
        </w:rPr>
      </w:pPr>
    </w:p>
    <w:p w14:paraId="41928653" w14:textId="68AEB1CF" w:rsidR="00C57B17" w:rsidRDefault="00A72EBF" w:rsidP="00D375E5">
      <w:pPr>
        <w:spacing w:before="0"/>
        <w:rPr>
          <w:sz w:val="22"/>
          <w:szCs w:val="22"/>
        </w:rPr>
      </w:pPr>
      <w:r w:rsidRPr="005A55CA">
        <w:rPr>
          <w:b/>
          <w:sz w:val="22"/>
          <w:szCs w:val="22"/>
        </w:rPr>
        <w:t>Lõike 1</w:t>
      </w:r>
      <w:r w:rsidRPr="005A55CA">
        <w:rPr>
          <w:sz w:val="22"/>
          <w:szCs w:val="22"/>
        </w:rPr>
        <w:t xml:space="preserve"> punktides 1-5 on nimetatud tegevusloa kehtivuse lõppemise alused. Nendeks on teenuseosutaja lõpetamise otsuse tegemisel (punkt 1), tegevusloa kehtetuks tunnistamisel (punkt 2), teenuseosutaja ühendamisel (misjärel muutub tegevusluba kehtetuks ühendataval isikul; punkt 3), uue teenuseosutaja asutamisel ühinemise teel (ühinevatel isikutel; punkt 4) ning teenuseosutaja pankroti väljakuulutamisel (punkt 5). </w:t>
      </w:r>
      <w:r w:rsidR="006068EE">
        <w:rPr>
          <w:sz w:val="22"/>
          <w:szCs w:val="22"/>
        </w:rPr>
        <w:t>Tegevusloa kehtivuse lõppemise alused põhinevad MERAS §-l 21, kuid võrreldes nimetatud sättega on käesolevas seaduses tegevusloa kehtivuse lõppemise aluseid muudetud lihtsamini arusaadavaks.</w:t>
      </w:r>
    </w:p>
    <w:p w14:paraId="78085711" w14:textId="77777777" w:rsidR="00B07BB7" w:rsidRPr="005A55CA" w:rsidRDefault="00B07BB7" w:rsidP="00D375E5">
      <w:pPr>
        <w:spacing w:before="0"/>
        <w:rPr>
          <w:sz w:val="22"/>
          <w:szCs w:val="22"/>
        </w:rPr>
      </w:pPr>
    </w:p>
    <w:p w14:paraId="394C6E25" w14:textId="392F76AF" w:rsidR="00A72EBF" w:rsidRPr="005A55CA" w:rsidRDefault="00C57B17" w:rsidP="00D375E5">
      <w:pPr>
        <w:spacing w:before="0"/>
        <w:rPr>
          <w:b/>
          <w:sz w:val="22"/>
          <w:szCs w:val="22"/>
        </w:rPr>
      </w:pPr>
      <w:r w:rsidRPr="005A55CA">
        <w:rPr>
          <w:b/>
          <w:sz w:val="22"/>
          <w:szCs w:val="22"/>
        </w:rPr>
        <w:t xml:space="preserve">Lõike 2 </w:t>
      </w:r>
      <w:r w:rsidRPr="005A55CA">
        <w:rPr>
          <w:sz w:val="22"/>
          <w:szCs w:val="22"/>
        </w:rPr>
        <w:t xml:space="preserve">järgi kaotab tegevusloa lõppemisel </w:t>
      </w:r>
      <w:r w:rsidR="00AF10F4">
        <w:rPr>
          <w:sz w:val="22"/>
          <w:szCs w:val="22"/>
        </w:rPr>
        <w:t>teenuseosutaja</w:t>
      </w:r>
      <w:r w:rsidRPr="005A55CA">
        <w:rPr>
          <w:sz w:val="22"/>
          <w:szCs w:val="22"/>
        </w:rPr>
        <w:t xml:space="preserve"> õiguse osutada teenust, milleks talle oli antud tegevusluba.</w:t>
      </w:r>
    </w:p>
    <w:p w14:paraId="51D231A9" w14:textId="77777777" w:rsidR="00C93D1B" w:rsidRPr="005A55CA" w:rsidRDefault="00C93D1B" w:rsidP="00D375E5">
      <w:pPr>
        <w:spacing w:before="0"/>
        <w:rPr>
          <w:sz w:val="22"/>
          <w:szCs w:val="22"/>
        </w:rPr>
      </w:pPr>
    </w:p>
    <w:p w14:paraId="63246790" w14:textId="6CE8DB62" w:rsidR="00A332A5" w:rsidRDefault="00C57B17" w:rsidP="00D375E5">
      <w:pPr>
        <w:shd w:val="clear" w:color="auto" w:fill="FFFFFF"/>
        <w:spacing w:before="0"/>
        <w:rPr>
          <w:sz w:val="22"/>
          <w:szCs w:val="22"/>
        </w:rPr>
      </w:pPr>
      <w:r w:rsidRPr="005A55CA">
        <w:rPr>
          <w:rFonts w:eastAsiaTheme="majorEastAsia"/>
          <w:b/>
          <w:bCs/>
          <w:sz w:val="22"/>
          <w:szCs w:val="22"/>
          <w:lang w:eastAsia="en-US"/>
        </w:rPr>
        <w:t>Paragrahv 1</w:t>
      </w:r>
      <w:r w:rsidR="00E61093" w:rsidRPr="005A55CA">
        <w:rPr>
          <w:rFonts w:eastAsiaTheme="majorEastAsia"/>
          <w:b/>
          <w:bCs/>
          <w:sz w:val="22"/>
          <w:szCs w:val="22"/>
          <w:lang w:eastAsia="en-US"/>
        </w:rPr>
        <w:t>3</w:t>
      </w:r>
      <w:r w:rsidR="00A332A5" w:rsidRPr="005A55CA">
        <w:rPr>
          <w:rFonts w:eastAsiaTheme="majorEastAsia"/>
          <w:b/>
          <w:bCs/>
          <w:sz w:val="22"/>
          <w:szCs w:val="22"/>
          <w:lang w:eastAsia="en-US"/>
        </w:rPr>
        <w:t xml:space="preserve"> </w:t>
      </w:r>
      <w:r w:rsidR="00DD0EF1">
        <w:rPr>
          <w:rFonts w:eastAsiaTheme="majorEastAsia"/>
          <w:bCs/>
          <w:sz w:val="22"/>
          <w:szCs w:val="22"/>
          <w:lang w:eastAsia="en-US"/>
        </w:rPr>
        <w:t xml:space="preserve">sätestab tegevusloa kehtetuks tunnistamise mõiste </w:t>
      </w:r>
      <w:r w:rsidR="0015768F">
        <w:rPr>
          <w:rFonts w:eastAsiaTheme="majorEastAsia"/>
          <w:bCs/>
          <w:sz w:val="22"/>
          <w:szCs w:val="22"/>
          <w:lang w:eastAsia="en-US"/>
        </w:rPr>
        <w:t>ja</w:t>
      </w:r>
      <w:r w:rsidR="00DD0EF1">
        <w:rPr>
          <w:rFonts w:eastAsiaTheme="majorEastAsia"/>
          <w:bCs/>
          <w:sz w:val="22"/>
          <w:szCs w:val="22"/>
          <w:lang w:eastAsia="en-US"/>
        </w:rPr>
        <w:t xml:space="preserve"> selle õiguslikud alused. </w:t>
      </w:r>
      <w:r w:rsidR="00DD0EF1">
        <w:rPr>
          <w:rFonts w:eastAsiaTheme="majorEastAsia"/>
          <w:b/>
          <w:bCs/>
          <w:sz w:val="22"/>
          <w:szCs w:val="22"/>
          <w:lang w:eastAsia="en-US"/>
        </w:rPr>
        <w:t xml:space="preserve">Lõike 1 </w:t>
      </w:r>
      <w:r w:rsidR="00DD0EF1">
        <w:rPr>
          <w:rFonts w:eastAsiaTheme="majorEastAsia"/>
          <w:bCs/>
          <w:sz w:val="22"/>
          <w:szCs w:val="22"/>
          <w:lang w:eastAsia="en-US"/>
        </w:rPr>
        <w:t xml:space="preserve">kohaselt on tegevusloa kehtetuks tunnistamine tegevusloaga antud õiguse äravõtmine. Sama paragrahvi </w:t>
      </w:r>
      <w:r w:rsidR="00A332A5" w:rsidRPr="005A55CA">
        <w:rPr>
          <w:sz w:val="22"/>
          <w:szCs w:val="22"/>
        </w:rPr>
        <w:t>alusel võib tegevusloa kehtetuks tunnistada kas teenuseosutaja taotlusel (</w:t>
      </w:r>
      <w:r w:rsidR="00A332A5" w:rsidRPr="003C060F">
        <w:rPr>
          <w:b/>
          <w:sz w:val="22"/>
          <w:szCs w:val="22"/>
        </w:rPr>
        <w:t>lõige 4</w:t>
      </w:r>
      <w:r w:rsidR="00A332A5" w:rsidRPr="005A55CA">
        <w:rPr>
          <w:sz w:val="22"/>
          <w:szCs w:val="22"/>
        </w:rPr>
        <w:t>) või Finantsinspektsiooni algatusel (</w:t>
      </w:r>
      <w:r w:rsidR="00A332A5" w:rsidRPr="003C060F">
        <w:rPr>
          <w:b/>
          <w:sz w:val="22"/>
          <w:szCs w:val="22"/>
        </w:rPr>
        <w:t>lõige 2</w:t>
      </w:r>
      <w:r w:rsidR="00A332A5" w:rsidRPr="005A55CA">
        <w:rPr>
          <w:sz w:val="22"/>
          <w:szCs w:val="22"/>
        </w:rPr>
        <w:t xml:space="preserve">). Finantsinspektsioon võib tegevusloa kehtetuks tunnistada lõikes 2 sätestatud alustel, millised on analoogilised teistes finantssektori ettevõtjate kohta kehtivate seadustega. </w:t>
      </w:r>
      <w:r w:rsidR="006068EE">
        <w:rPr>
          <w:sz w:val="22"/>
          <w:szCs w:val="22"/>
        </w:rPr>
        <w:t xml:space="preserve">Lõike 2 punktis 15 on mõeldud mh seda, kui teenuseosutaja ei maksa järelevalvetasu või ei tee koostööd järelevalveasutusega. </w:t>
      </w:r>
      <w:r w:rsidR="00A332A5" w:rsidRPr="005A55CA">
        <w:rPr>
          <w:sz w:val="22"/>
          <w:szCs w:val="22"/>
        </w:rPr>
        <w:t xml:space="preserve">Tegevusloa kehtetuks tunnistamise otsus kui haldusakti (tegevusloa andmise otsus) kehtetuks tunnistav otsus peab sisaldama jõustumise kuupäeva ja vastama muudele seaduses sätestatud haldusakti õiguspärasuse eeldustele ja tingimustele. </w:t>
      </w:r>
      <w:r w:rsidR="006068EE">
        <w:rPr>
          <w:sz w:val="22"/>
          <w:szCs w:val="22"/>
        </w:rPr>
        <w:t>Tegevusloa k</w:t>
      </w:r>
      <w:r w:rsidR="00A332A5" w:rsidRPr="005A55CA">
        <w:rPr>
          <w:sz w:val="22"/>
          <w:szCs w:val="22"/>
        </w:rPr>
        <w:t>ehtetuks tunnistamise otsus edastatakse teenuseosutajale haldusmenetluse seaduses sätestatud korras.</w:t>
      </w:r>
    </w:p>
    <w:p w14:paraId="37EBDE24" w14:textId="31955300" w:rsidR="003C060F" w:rsidRPr="003C060F" w:rsidRDefault="003C060F" w:rsidP="00D375E5">
      <w:pPr>
        <w:shd w:val="clear" w:color="auto" w:fill="FFFFFF"/>
        <w:spacing w:before="0"/>
        <w:rPr>
          <w:sz w:val="22"/>
          <w:szCs w:val="22"/>
        </w:rPr>
      </w:pPr>
    </w:p>
    <w:p w14:paraId="7F29076A" w14:textId="1C0EA70F" w:rsidR="003C060F" w:rsidRDefault="004269C2" w:rsidP="00D375E5">
      <w:pPr>
        <w:pStyle w:val="Normal2"/>
        <w:rPr>
          <w:lang w:eastAsia="en-US"/>
        </w:rPr>
      </w:pPr>
      <w:r w:rsidRPr="004269C2">
        <w:rPr>
          <w:b/>
          <w:lang w:eastAsia="en-US"/>
        </w:rPr>
        <w:t>Lõike 4 punkti 1</w:t>
      </w:r>
      <w:r>
        <w:rPr>
          <w:lang w:eastAsia="en-US"/>
        </w:rPr>
        <w:t xml:space="preserve"> kohaselt tunnistatakse t</w:t>
      </w:r>
      <w:r w:rsidR="003C060F" w:rsidRPr="003C060F">
        <w:rPr>
          <w:lang w:eastAsia="en-US"/>
        </w:rPr>
        <w:t>egevusluba</w:t>
      </w:r>
      <w:r w:rsidR="0073183D">
        <w:rPr>
          <w:lang w:eastAsia="en-US"/>
        </w:rPr>
        <w:t xml:space="preserve"> </w:t>
      </w:r>
      <w:r w:rsidR="003C060F" w:rsidRPr="003C060F">
        <w:rPr>
          <w:lang w:eastAsia="en-US"/>
        </w:rPr>
        <w:t>kehtetuks teenuseosutaja taotluse alusel</w:t>
      </w:r>
      <w:r>
        <w:rPr>
          <w:lang w:eastAsia="en-US"/>
        </w:rPr>
        <w:t xml:space="preserve">, </w:t>
      </w:r>
      <w:r w:rsidR="003C060F" w:rsidRPr="003C060F">
        <w:rPr>
          <w:lang w:eastAsia="en-US"/>
        </w:rPr>
        <w:t xml:space="preserve">kui teenuseosutaja ei soovi enam osutada käesoleva seaduse § 1 lõike </w:t>
      </w:r>
      <w:r w:rsidR="0015768F">
        <w:rPr>
          <w:lang w:eastAsia="en-US"/>
        </w:rPr>
        <w:t>1</w:t>
      </w:r>
      <w:r w:rsidR="003C060F" w:rsidRPr="003C060F">
        <w:rPr>
          <w:lang w:eastAsia="en-US"/>
        </w:rPr>
        <w:t xml:space="preserve"> punktides </w:t>
      </w:r>
      <w:r w:rsidR="006A48AA">
        <w:rPr>
          <w:lang w:eastAsia="en-US"/>
        </w:rPr>
        <w:t xml:space="preserve">1, </w:t>
      </w:r>
      <w:r w:rsidR="003C060F" w:rsidRPr="003C060F">
        <w:rPr>
          <w:lang w:eastAsia="en-US"/>
        </w:rPr>
        <w:t>2 või 4 nimetatud teenuseid</w:t>
      </w:r>
      <w:r>
        <w:rPr>
          <w:lang w:eastAsia="en-US"/>
        </w:rPr>
        <w:t>.</w:t>
      </w:r>
      <w:r w:rsidR="0015768F">
        <w:rPr>
          <w:lang w:eastAsia="en-US"/>
        </w:rPr>
        <w:t xml:space="preserve"> Sellisteks teenusteks on </w:t>
      </w:r>
      <w:proofErr w:type="spellStart"/>
      <w:r w:rsidR="00DA04DA">
        <w:rPr>
          <w:lang w:eastAsia="en-US"/>
        </w:rPr>
        <w:t>ühisrahastusteenus</w:t>
      </w:r>
      <w:proofErr w:type="spellEnd"/>
      <w:r w:rsidR="00DA04DA">
        <w:rPr>
          <w:lang w:eastAsia="en-US"/>
        </w:rPr>
        <w:t xml:space="preserve"> ja </w:t>
      </w:r>
      <w:proofErr w:type="spellStart"/>
      <w:r w:rsidR="00DA04DA">
        <w:rPr>
          <w:lang w:eastAsia="en-US"/>
        </w:rPr>
        <w:t>krüptovarateenused</w:t>
      </w:r>
      <w:proofErr w:type="spellEnd"/>
      <w:r w:rsidR="0015768F">
        <w:rPr>
          <w:lang w:eastAsia="en-US"/>
        </w:rPr>
        <w:t>.</w:t>
      </w:r>
      <w:r w:rsidRPr="004269C2">
        <w:rPr>
          <w:rFonts w:eastAsia="Times New Roman"/>
          <w:b/>
          <w:szCs w:val="22"/>
        </w:rPr>
        <w:t xml:space="preserve"> </w:t>
      </w:r>
      <w:r w:rsidRPr="003C060F">
        <w:rPr>
          <w:rFonts w:eastAsia="Times New Roman"/>
          <w:b/>
          <w:szCs w:val="22"/>
        </w:rPr>
        <w:t xml:space="preserve">Lõike 4 </w:t>
      </w:r>
      <w:r w:rsidRPr="004269C2">
        <w:rPr>
          <w:rFonts w:eastAsia="Times New Roman"/>
          <w:b/>
          <w:szCs w:val="22"/>
        </w:rPr>
        <w:t>punktides 2 ja 3</w:t>
      </w:r>
      <w:r>
        <w:rPr>
          <w:rFonts w:eastAsia="Times New Roman"/>
          <w:szCs w:val="22"/>
        </w:rPr>
        <w:t xml:space="preserve"> on täpsustatud, mis saab teenuseosutajale väljastatud tegevusloast pärast teenuseosutaja ühinemist teise juriidilise isikuga. Punkti 2 kohaselt,</w:t>
      </w:r>
      <w:r>
        <w:rPr>
          <w:lang w:eastAsia="en-US"/>
        </w:rPr>
        <w:t xml:space="preserve"> </w:t>
      </w:r>
      <w:r w:rsidR="003C060F" w:rsidRPr="003C060F">
        <w:rPr>
          <w:lang w:eastAsia="en-US"/>
        </w:rPr>
        <w:t>kui teenuseosutaja ühineb ja tegevust jätkab ühendav ühing, siis tunnistatakse kehtetuks ühendatava ühingu tegevusluba</w:t>
      </w:r>
      <w:r>
        <w:rPr>
          <w:lang w:eastAsia="en-US"/>
        </w:rPr>
        <w:t xml:space="preserve">. Punkt 3 sätestab, et </w:t>
      </w:r>
      <w:r w:rsidR="003C060F" w:rsidRPr="003C060F">
        <w:rPr>
          <w:lang w:eastAsia="en-US"/>
        </w:rPr>
        <w:t>kui teenuseosutaja ühineb uue ühingu asutamisega, siis tunnistatakse kehtetuks ühinevate teenuseosutajate tegevusload.</w:t>
      </w:r>
    </w:p>
    <w:p w14:paraId="0CC06948" w14:textId="77777777" w:rsidR="004269C2" w:rsidRPr="003C060F" w:rsidRDefault="004269C2" w:rsidP="00D375E5">
      <w:pPr>
        <w:pStyle w:val="Normal2"/>
        <w:rPr>
          <w:lang w:eastAsia="en-US"/>
        </w:rPr>
      </w:pPr>
    </w:p>
    <w:p w14:paraId="17B93AB2" w14:textId="1DD5756B" w:rsidR="003C060F" w:rsidRPr="003C060F" w:rsidRDefault="004269C2" w:rsidP="00D375E5">
      <w:pPr>
        <w:pStyle w:val="Normal2"/>
        <w:rPr>
          <w:lang w:eastAsia="en-US"/>
        </w:rPr>
      </w:pPr>
      <w:r w:rsidRPr="004269C2">
        <w:rPr>
          <w:b/>
          <w:lang w:eastAsia="en-US"/>
        </w:rPr>
        <w:t>Lõike 5</w:t>
      </w:r>
      <w:r>
        <w:rPr>
          <w:lang w:eastAsia="en-US"/>
        </w:rPr>
        <w:t xml:space="preserve"> kohaselt võib</w:t>
      </w:r>
      <w:r w:rsidR="003C060F" w:rsidRPr="003C060F">
        <w:rPr>
          <w:lang w:eastAsia="en-US"/>
        </w:rPr>
        <w:t xml:space="preserve"> Finantsinspektsioon keelduda käesoleva paragrahvi lõikes 4 nimetatud taotluse alusel tegevusloa kehtetuks tunnistamisest, kui on põhjendatud alus arvata, et tegevusloa kehtetuks tunnistamine võib kahjustada teenuseosutaja klientide või teiste võlausaldajate õigustatud huve.</w:t>
      </w:r>
      <w:r w:rsidR="00691A52">
        <w:rPr>
          <w:lang w:eastAsia="en-US"/>
        </w:rPr>
        <w:t xml:space="preserve"> </w:t>
      </w:r>
      <w:r w:rsidR="00691A52">
        <w:rPr>
          <w:lang w:eastAsia="en-US"/>
        </w:rPr>
        <w:lastRenderedPageBreak/>
        <w:t xml:space="preserve">Teisisõnu võib viidatud lõike alusel Finantsinspektsioon keelduda teenuseosutaja </w:t>
      </w:r>
      <w:r w:rsidR="007E60F9">
        <w:rPr>
          <w:lang w:eastAsia="en-US"/>
        </w:rPr>
        <w:t xml:space="preserve">soovist loobuda tegevusloast või tunnistada tegevusluba kehtetuks ühinemise tulemusena, kui seeläbi kahjustuvad teenuseosutaja klientide või teiste võlausaldajate hüved. Lõiget tuleks kohaldada sellisel juhul, kui teenuseosutaja klientide või teiste võlausaldajate hüved kaaluvad üles teenuseosutaja huvi tegevusloast loobuda ning eelkõige juhul, kui teenuseosutaja klientidel või teistel võlausaldajatel on rahuldamata nõudeid teenuseosutaja vastu. Tegevusloa kehtetuks tunnistamisel muutub võlausaldajate nõuete rahuldamine eelduslikult oluliselt keerukamaks Finantsinspektsiooni järelevalve puudumise tõttu. </w:t>
      </w:r>
    </w:p>
    <w:p w14:paraId="689746B7" w14:textId="77777777" w:rsidR="004269C2" w:rsidRDefault="004269C2" w:rsidP="00D375E5">
      <w:pPr>
        <w:pStyle w:val="Normal2"/>
        <w:rPr>
          <w:b/>
          <w:lang w:eastAsia="en-US"/>
        </w:rPr>
      </w:pPr>
    </w:p>
    <w:p w14:paraId="78CC2AA2" w14:textId="2EA77098" w:rsidR="003C060F" w:rsidRDefault="004269C2" w:rsidP="00D375E5">
      <w:pPr>
        <w:pStyle w:val="Normal2"/>
        <w:rPr>
          <w:lang w:eastAsia="en-US"/>
        </w:rPr>
      </w:pPr>
      <w:r w:rsidRPr="004269C2">
        <w:rPr>
          <w:b/>
          <w:lang w:eastAsia="en-US"/>
        </w:rPr>
        <w:t>Lõige 6</w:t>
      </w:r>
      <w:r>
        <w:rPr>
          <w:lang w:eastAsia="en-US"/>
        </w:rPr>
        <w:t xml:space="preserve"> sätestab, et</w:t>
      </w:r>
      <w:r w:rsidR="003C060F" w:rsidRPr="003C060F">
        <w:rPr>
          <w:lang w:eastAsia="en-US"/>
        </w:rPr>
        <w:t xml:space="preserve"> </w:t>
      </w:r>
      <w:r>
        <w:rPr>
          <w:lang w:eastAsia="en-US"/>
        </w:rPr>
        <w:t>k</w:t>
      </w:r>
      <w:r w:rsidR="003C060F" w:rsidRPr="003C060F">
        <w:rPr>
          <w:lang w:eastAsia="en-US"/>
        </w:rPr>
        <w:t xml:space="preserve">äesoleva paragrahvi lõikes 4 nimetatud taotluse vaatab Finantsinspektsioon läbi </w:t>
      </w:r>
      <w:r>
        <w:rPr>
          <w:lang w:eastAsia="en-US"/>
        </w:rPr>
        <w:t>ja</w:t>
      </w:r>
      <w:r w:rsidRPr="003C060F">
        <w:rPr>
          <w:lang w:eastAsia="en-US"/>
        </w:rPr>
        <w:t xml:space="preserve"> </w:t>
      </w:r>
      <w:r w:rsidR="003C060F" w:rsidRPr="003C060F">
        <w:rPr>
          <w:lang w:eastAsia="en-US"/>
        </w:rPr>
        <w:t>teeb otsuse tegevusloa kehtetuks tunnistamise või sellest keeldumise kohta kahe kuu jooksul taotluse saamisest arvates.</w:t>
      </w:r>
    </w:p>
    <w:p w14:paraId="474B6A43" w14:textId="77777777" w:rsidR="004269C2" w:rsidRPr="003C060F" w:rsidRDefault="004269C2" w:rsidP="00D375E5">
      <w:pPr>
        <w:pStyle w:val="Normal2"/>
        <w:rPr>
          <w:lang w:eastAsia="en-US"/>
        </w:rPr>
      </w:pPr>
    </w:p>
    <w:p w14:paraId="489DEFE8" w14:textId="29959EAA" w:rsidR="003C060F" w:rsidRPr="003C060F" w:rsidRDefault="004269C2" w:rsidP="00D375E5">
      <w:pPr>
        <w:pStyle w:val="Normal2"/>
        <w:rPr>
          <w:lang w:eastAsia="en-US"/>
        </w:rPr>
      </w:pPr>
      <w:r w:rsidRPr="004269C2">
        <w:rPr>
          <w:b/>
          <w:lang w:eastAsia="en-US"/>
        </w:rPr>
        <w:t>Lõike 7</w:t>
      </w:r>
      <w:r>
        <w:rPr>
          <w:lang w:eastAsia="en-US"/>
        </w:rPr>
        <w:t xml:space="preserve"> kohaselt tuleb otsus</w:t>
      </w:r>
      <w:r w:rsidR="003C060F" w:rsidRPr="003C060F">
        <w:rPr>
          <w:lang w:eastAsia="en-US"/>
        </w:rPr>
        <w:t xml:space="preserve"> tegevusloa kehtetuks tunnistamise kohta </w:t>
      </w:r>
      <w:proofErr w:type="spellStart"/>
      <w:r w:rsidRPr="003C060F">
        <w:rPr>
          <w:lang w:eastAsia="en-US"/>
        </w:rPr>
        <w:t>toimetata</w:t>
      </w:r>
      <w:r>
        <w:rPr>
          <w:lang w:eastAsia="en-US"/>
        </w:rPr>
        <w:t>da</w:t>
      </w:r>
      <w:proofErr w:type="spellEnd"/>
      <w:r w:rsidRPr="003C060F">
        <w:rPr>
          <w:lang w:eastAsia="en-US"/>
        </w:rPr>
        <w:t xml:space="preserve"> </w:t>
      </w:r>
      <w:r w:rsidR="003C060F" w:rsidRPr="003C060F">
        <w:rPr>
          <w:lang w:eastAsia="en-US"/>
        </w:rPr>
        <w:t>viivitamata otsuse adressaadile kätte.</w:t>
      </w:r>
    </w:p>
    <w:p w14:paraId="06A5DEA0" w14:textId="5B7EE0FF" w:rsidR="00A332A5" w:rsidRDefault="00A332A5" w:rsidP="00D375E5">
      <w:pPr>
        <w:spacing w:before="0"/>
        <w:ind w:right="-64"/>
        <w:rPr>
          <w:sz w:val="22"/>
          <w:szCs w:val="22"/>
        </w:rPr>
      </w:pPr>
    </w:p>
    <w:p w14:paraId="245A5567" w14:textId="4D83822F" w:rsidR="00A332A5" w:rsidRPr="005A55CA" w:rsidRDefault="00A332A5" w:rsidP="00D375E5">
      <w:pPr>
        <w:spacing w:before="0"/>
        <w:ind w:right="-62"/>
        <w:rPr>
          <w:sz w:val="22"/>
          <w:szCs w:val="22"/>
        </w:rPr>
      </w:pPr>
      <w:r w:rsidRPr="005A55CA">
        <w:rPr>
          <w:b/>
          <w:sz w:val="22"/>
          <w:szCs w:val="22"/>
        </w:rPr>
        <w:t>Paragrahv</w:t>
      </w:r>
      <w:r w:rsidR="0073183D">
        <w:rPr>
          <w:b/>
          <w:sz w:val="22"/>
          <w:szCs w:val="22"/>
        </w:rPr>
        <w:t>i</w:t>
      </w:r>
      <w:r w:rsidRPr="005A55CA">
        <w:rPr>
          <w:b/>
          <w:sz w:val="22"/>
          <w:szCs w:val="22"/>
        </w:rPr>
        <w:t xml:space="preserve"> 1</w:t>
      </w:r>
      <w:r w:rsidR="00E61093" w:rsidRPr="005A55CA">
        <w:rPr>
          <w:b/>
          <w:sz w:val="22"/>
          <w:szCs w:val="22"/>
        </w:rPr>
        <w:t>4</w:t>
      </w:r>
      <w:r w:rsidRPr="005A55CA">
        <w:rPr>
          <w:sz w:val="22"/>
          <w:szCs w:val="22"/>
        </w:rPr>
        <w:t xml:space="preserve"> kohustab Finantsinspektsioon avalikustama informatsiooni tegevusloa andmise või </w:t>
      </w:r>
      <w:r w:rsidR="004269C2">
        <w:rPr>
          <w:sz w:val="22"/>
          <w:szCs w:val="22"/>
        </w:rPr>
        <w:t xml:space="preserve">selle </w:t>
      </w:r>
      <w:r w:rsidRPr="005A55CA">
        <w:rPr>
          <w:sz w:val="22"/>
          <w:szCs w:val="22"/>
        </w:rPr>
        <w:t xml:space="preserve">osalise või täieliku kehtetuks tunnistamise otsuste kohta oma veebilehel </w:t>
      </w:r>
      <w:r w:rsidR="004269C2">
        <w:rPr>
          <w:sz w:val="22"/>
          <w:szCs w:val="22"/>
        </w:rPr>
        <w:t>hiljemalt otsuse jõustumisele järgneval tööpäeval.</w:t>
      </w:r>
    </w:p>
    <w:p w14:paraId="4508B90C" w14:textId="77777777" w:rsidR="00A332A5" w:rsidRPr="005A55CA" w:rsidRDefault="00A332A5" w:rsidP="00D375E5">
      <w:pPr>
        <w:shd w:val="clear" w:color="auto" w:fill="FFFFFF"/>
        <w:spacing w:before="0"/>
        <w:rPr>
          <w:rFonts w:eastAsiaTheme="majorEastAsia"/>
          <w:b/>
          <w:bCs/>
          <w:color w:val="002060"/>
          <w:sz w:val="22"/>
          <w:szCs w:val="22"/>
          <w:lang w:eastAsia="en-US"/>
        </w:rPr>
      </w:pPr>
    </w:p>
    <w:p w14:paraId="446AACAC" w14:textId="3C0E19BA" w:rsidR="00691A52" w:rsidRDefault="00691A52" w:rsidP="00D375E5">
      <w:pPr>
        <w:spacing w:before="0"/>
        <w:ind w:right="-62"/>
        <w:rPr>
          <w:sz w:val="22"/>
          <w:szCs w:val="22"/>
        </w:rPr>
      </w:pPr>
      <w:r w:rsidRPr="008A0850">
        <w:rPr>
          <w:b/>
          <w:bCs/>
          <w:sz w:val="22"/>
          <w:szCs w:val="22"/>
        </w:rPr>
        <w:t xml:space="preserve">Paragrahv 15 </w:t>
      </w:r>
      <w:r w:rsidR="008A4F81" w:rsidRPr="008A0850">
        <w:rPr>
          <w:sz w:val="22"/>
          <w:szCs w:val="22"/>
        </w:rPr>
        <w:t>täpsustab teenuseosutaja kohustusi</w:t>
      </w:r>
      <w:r w:rsidR="008A4F81" w:rsidRPr="00014B0E">
        <w:rPr>
          <w:sz w:val="22"/>
          <w:szCs w:val="22"/>
        </w:rPr>
        <w:t>, kui tegevusloa andmise aluseks olnud andmed ja asjaolud muutuvad võrreldes tegevusloa andmise ajaga.</w:t>
      </w:r>
      <w:r w:rsidR="007E60F9">
        <w:rPr>
          <w:sz w:val="22"/>
          <w:szCs w:val="22"/>
        </w:rPr>
        <w:t xml:space="preserve"> </w:t>
      </w:r>
    </w:p>
    <w:p w14:paraId="03FDB7B6" w14:textId="377D6B01" w:rsidR="008A0850" w:rsidRDefault="008A0850" w:rsidP="00D375E5">
      <w:pPr>
        <w:spacing w:before="0"/>
        <w:ind w:right="-62"/>
        <w:rPr>
          <w:sz w:val="22"/>
          <w:szCs w:val="22"/>
        </w:rPr>
      </w:pPr>
    </w:p>
    <w:p w14:paraId="617ECD71" w14:textId="5CB9536C" w:rsidR="008A0850" w:rsidRDefault="008A0850" w:rsidP="00D375E5">
      <w:pPr>
        <w:spacing w:before="0"/>
        <w:ind w:right="-62"/>
        <w:rPr>
          <w:sz w:val="22"/>
          <w:szCs w:val="22"/>
        </w:rPr>
      </w:pPr>
      <w:r>
        <w:rPr>
          <w:b/>
          <w:bCs/>
          <w:sz w:val="22"/>
          <w:szCs w:val="22"/>
        </w:rPr>
        <w:t xml:space="preserve">Lõike 1 </w:t>
      </w:r>
      <w:r>
        <w:rPr>
          <w:sz w:val="22"/>
          <w:szCs w:val="22"/>
        </w:rPr>
        <w:t xml:space="preserve">kohaselt on teenuseosutaja kohustatud viivitamata informeerima Finantsinspektsiooni kõigi andmete ja asjaolude muutumisest, mis olid aluseks teenuseosutaja tegevusloa andmise otsustamisel, ning esitama asjakohasel juhul sama lõike punktides 1-6 nimetatud andmed ja dokumendid. </w:t>
      </w:r>
      <w:r w:rsidR="00014B0E">
        <w:rPr>
          <w:sz w:val="22"/>
          <w:szCs w:val="22"/>
        </w:rPr>
        <w:t xml:space="preserve">Finantsinspektsiooni teavitamine tegevusloa aluseks olnud andmete ja dokumentide muutmisest on eelnõu koostajate hinnangul vajalik, et Finantsinspektsioon saaks jooksvalt veenduda tegevusloa saanud ettevõtja ja tema tegevuse vastavuses käesoleva seaduse nõuetega. „Asjakohasel juhul“ käesolevas lõikes tähendab seda, et Finantsinspektsioonile tuleb esitada andmeid ja dokumente, kui punktides 1-6 nimetatud andmed, dokumendid või isikud on muutunud. </w:t>
      </w:r>
    </w:p>
    <w:p w14:paraId="4CC2310C" w14:textId="50E078E4" w:rsidR="00014B0E" w:rsidRDefault="00014B0E" w:rsidP="00D375E5">
      <w:pPr>
        <w:spacing w:before="0"/>
        <w:ind w:right="-62"/>
        <w:rPr>
          <w:sz w:val="22"/>
          <w:szCs w:val="22"/>
        </w:rPr>
      </w:pPr>
    </w:p>
    <w:p w14:paraId="4E8AB35F" w14:textId="27E245BB" w:rsidR="00014B0E" w:rsidRPr="00014B0E" w:rsidRDefault="00014B0E" w:rsidP="00D375E5">
      <w:pPr>
        <w:spacing w:before="0"/>
        <w:ind w:right="-62"/>
        <w:rPr>
          <w:sz w:val="22"/>
          <w:szCs w:val="22"/>
        </w:rPr>
      </w:pPr>
      <w:r>
        <w:rPr>
          <w:b/>
          <w:bCs/>
          <w:sz w:val="22"/>
          <w:szCs w:val="22"/>
        </w:rPr>
        <w:t xml:space="preserve">Lõike 2 </w:t>
      </w:r>
      <w:r>
        <w:rPr>
          <w:sz w:val="22"/>
          <w:szCs w:val="22"/>
        </w:rPr>
        <w:t xml:space="preserve">kohaselt peab teenuseosutaja Finantsinspektsiooni nõudmisel viivitamata avalikustama muudetud teenuseosutaja ärinime, aadressi või kontaktandmed (punkt 1), põhikirja muudatused (punkt 2) ning uute juhtorganite kohta andmed (punkt 4). Eelnõu koostajate hinnangul on lõikes 2 viidatud muudetud andmete ja dokumentidega tutvumine kliendi äratuntav huvi, kuid ülejäänud andmete avalikustamine ei ole </w:t>
      </w:r>
      <w:r w:rsidR="00356262">
        <w:rPr>
          <w:sz w:val="22"/>
          <w:szCs w:val="22"/>
        </w:rPr>
        <w:t>eelnõu koostajate arvates proportsionaalne ning teatud juhtudel (nt lg 1 p 3 ja 6) puudutab teenuseosutaja ärisaladust.</w:t>
      </w:r>
    </w:p>
    <w:p w14:paraId="7ED84241" w14:textId="77777777" w:rsidR="00691A52" w:rsidRDefault="00691A52" w:rsidP="00D375E5">
      <w:pPr>
        <w:spacing w:before="0"/>
        <w:ind w:right="-62"/>
        <w:rPr>
          <w:b/>
          <w:bCs/>
          <w:sz w:val="22"/>
          <w:szCs w:val="22"/>
        </w:rPr>
      </w:pPr>
    </w:p>
    <w:p w14:paraId="069AAE9F" w14:textId="77777777" w:rsidR="00356262" w:rsidRDefault="00356262" w:rsidP="00356262">
      <w:pPr>
        <w:spacing w:before="0"/>
        <w:ind w:right="-62"/>
      </w:pPr>
      <w:r>
        <w:t>3. peatükk. Tegevus välisriigis ja teise lepinguriigi isiku tegevus Eestis</w:t>
      </w:r>
    </w:p>
    <w:p w14:paraId="7729AF86" w14:textId="77777777" w:rsidR="00356262" w:rsidRDefault="00356262" w:rsidP="00356262">
      <w:pPr>
        <w:spacing w:before="0"/>
        <w:ind w:right="-62"/>
        <w:rPr>
          <w:b/>
          <w:bCs/>
          <w:sz w:val="22"/>
          <w:szCs w:val="22"/>
        </w:rPr>
      </w:pPr>
    </w:p>
    <w:p w14:paraId="153F9680" w14:textId="77777777" w:rsidR="00356262" w:rsidRDefault="00356262" w:rsidP="00356262">
      <w:pPr>
        <w:spacing w:before="0"/>
        <w:ind w:right="-62"/>
        <w:rPr>
          <w:sz w:val="22"/>
          <w:szCs w:val="22"/>
        </w:rPr>
      </w:pPr>
      <w:r w:rsidRPr="005A55CA">
        <w:rPr>
          <w:b/>
          <w:bCs/>
          <w:sz w:val="22"/>
          <w:szCs w:val="22"/>
        </w:rPr>
        <w:t>Paragrahv</w:t>
      </w:r>
      <w:r>
        <w:rPr>
          <w:b/>
          <w:bCs/>
          <w:sz w:val="22"/>
          <w:szCs w:val="22"/>
        </w:rPr>
        <w:t>id</w:t>
      </w:r>
      <w:r w:rsidRPr="005A55CA">
        <w:rPr>
          <w:b/>
          <w:bCs/>
          <w:sz w:val="22"/>
          <w:szCs w:val="22"/>
        </w:rPr>
        <w:t xml:space="preserve"> 1</w:t>
      </w:r>
      <w:r>
        <w:rPr>
          <w:b/>
          <w:bCs/>
          <w:sz w:val="22"/>
          <w:szCs w:val="22"/>
        </w:rPr>
        <w:t>6 ja 17</w:t>
      </w:r>
      <w:r w:rsidRPr="005A55CA">
        <w:rPr>
          <w:b/>
          <w:bCs/>
          <w:sz w:val="22"/>
          <w:szCs w:val="22"/>
        </w:rPr>
        <w:t xml:space="preserve"> </w:t>
      </w:r>
      <w:r w:rsidRPr="005A55CA">
        <w:rPr>
          <w:sz w:val="22"/>
          <w:szCs w:val="22"/>
        </w:rPr>
        <w:t xml:space="preserve">sätestavad </w:t>
      </w:r>
      <w:r>
        <w:rPr>
          <w:sz w:val="22"/>
          <w:szCs w:val="22"/>
        </w:rPr>
        <w:t>vastavalt tingimused, mille täitmisel võib teenuseosutaja osutada teenuseid välisriigis või mille täitmisel võib teises lepinguriigis asutatud isik osutada käesoleva seaduse kohaldumisalasse kuuluvaid teenuseid Eestis, sealhulgas peab välisriigis asutatud isikul Eestis teenuse osutamiseks olema isikul Finantsinspektsiooni eelnev luba (§ 17 lg 1).</w:t>
      </w:r>
    </w:p>
    <w:p w14:paraId="437D78DA" w14:textId="77777777" w:rsidR="00356262" w:rsidRDefault="00356262" w:rsidP="00356262">
      <w:pPr>
        <w:spacing w:before="0"/>
        <w:ind w:right="-62"/>
        <w:rPr>
          <w:sz w:val="22"/>
          <w:szCs w:val="22"/>
        </w:rPr>
      </w:pPr>
    </w:p>
    <w:p w14:paraId="3F92208E" w14:textId="5650FDA2" w:rsidR="00356262" w:rsidRPr="005A55CA" w:rsidRDefault="00356262" w:rsidP="00356262">
      <w:pPr>
        <w:pStyle w:val="Normal2"/>
        <w:rPr>
          <w:szCs w:val="22"/>
        </w:rPr>
      </w:pPr>
      <w:r w:rsidRPr="005A55CA">
        <w:rPr>
          <w:b/>
          <w:szCs w:val="22"/>
        </w:rPr>
        <w:t xml:space="preserve">Paragrahv </w:t>
      </w:r>
      <w:r>
        <w:rPr>
          <w:b/>
          <w:szCs w:val="22"/>
        </w:rPr>
        <w:t>16</w:t>
      </w:r>
      <w:r w:rsidRPr="005A55CA">
        <w:rPr>
          <w:b/>
          <w:szCs w:val="22"/>
        </w:rPr>
        <w:t xml:space="preserve"> </w:t>
      </w:r>
      <w:r w:rsidRPr="005A55CA">
        <w:rPr>
          <w:szCs w:val="22"/>
        </w:rPr>
        <w:t>sätestab nõuded ja protsessi, mida tuleb järgida, kui teenuseosutaja kavatseb teenus</w:t>
      </w:r>
      <w:r>
        <w:rPr>
          <w:szCs w:val="22"/>
        </w:rPr>
        <w:t>t</w:t>
      </w:r>
      <w:r w:rsidRPr="005A55CA">
        <w:rPr>
          <w:szCs w:val="22"/>
        </w:rPr>
        <w:t xml:space="preserve"> </w:t>
      </w:r>
      <w:r>
        <w:rPr>
          <w:szCs w:val="22"/>
        </w:rPr>
        <w:t xml:space="preserve">osutada </w:t>
      </w:r>
      <w:r w:rsidRPr="005A55CA">
        <w:rPr>
          <w:szCs w:val="22"/>
        </w:rPr>
        <w:t>piiriülese</w:t>
      </w:r>
      <w:r>
        <w:rPr>
          <w:szCs w:val="22"/>
        </w:rPr>
        <w:t>lt</w:t>
      </w:r>
      <w:r w:rsidRPr="005A55CA">
        <w:rPr>
          <w:szCs w:val="22"/>
        </w:rPr>
        <w:t xml:space="preserve"> või </w:t>
      </w:r>
      <w:r>
        <w:rPr>
          <w:szCs w:val="22"/>
        </w:rPr>
        <w:t xml:space="preserve">registreerida välisriigis </w:t>
      </w:r>
      <w:r w:rsidRPr="005A55CA">
        <w:rPr>
          <w:szCs w:val="22"/>
        </w:rPr>
        <w:t>filiaali</w:t>
      </w:r>
      <w:r>
        <w:rPr>
          <w:szCs w:val="22"/>
        </w:rPr>
        <w:t>.</w:t>
      </w:r>
      <w:r w:rsidRPr="005A55CA">
        <w:rPr>
          <w:szCs w:val="22"/>
        </w:rPr>
        <w:t xml:space="preserve"> Välisriigina mõistetakse käesoleva paragrahvi tähenduses igat riiki, mis ei ole Eesti. Lisaks, kuivõrd käesoleva seaduse reguleerimisalas on enamjaolt digitaalse loomuga teenused või </w:t>
      </w:r>
      <w:proofErr w:type="spellStart"/>
      <w:r w:rsidRPr="005A55CA">
        <w:rPr>
          <w:szCs w:val="22"/>
        </w:rPr>
        <w:t>turundatakse</w:t>
      </w:r>
      <w:proofErr w:type="spellEnd"/>
      <w:r w:rsidRPr="005A55CA">
        <w:rPr>
          <w:szCs w:val="22"/>
        </w:rPr>
        <w:t xml:space="preserve"> nimetatud teenuseid tihti ka teistes riikides, siis mõistet „teises riigis tegutsemine“ tuleb igakordselt osutatava teenuse põhjal analüüsida vähemalt (kuid mitte ainult) seda, kas teenuseosutaja osutab teises riigis teenust püsivalt, mis nõuaks ka välisriigi äriõiguse normistiku sätete kohaselt filiaali asutamist </w:t>
      </w:r>
      <w:r>
        <w:rPr>
          <w:szCs w:val="22"/>
        </w:rPr>
        <w:t>sihtriigis,</w:t>
      </w:r>
      <w:r w:rsidRPr="005A55CA">
        <w:rPr>
          <w:szCs w:val="22"/>
        </w:rPr>
        <w:t xml:space="preserve"> ning kas nimetatud välisriigis eeldab osutatav teenus tegevusluba või finantsjärelevalvet. </w:t>
      </w:r>
      <w:r>
        <w:rPr>
          <w:szCs w:val="22"/>
        </w:rPr>
        <w:t xml:space="preserve">Selguse huvides tasub lisada, et piiriülest teenuse osutamist käesoleva seaduse kontekstis tuleb mõista kui igasugust aktiivset toote pakkumist või teenuse osutamist igas riigis, mis ei ole Eesti. Nimetatud aktiivne teenuse osutamine võib seisneda näiteks teenuse osutamises välisriigis asuva kontori või personali kaudu, muukeelse teabe pidevat avalikustamist, millega </w:t>
      </w:r>
      <w:proofErr w:type="spellStart"/>
      <w:r>
        <w:rPr>
          <w:szCs w:val="22"/>
        </w:rPr>
        <w:t>turundatakse</w:t>
      </w:r>
      <w:proofErr w:type="spellEnd"/>
      <w:r>
        <w:rPr>
          <w:szCs w:val="22"/>
        </w:rPr>
        <w:t xml:space="preserve"> teenust aktiivselt välisriigi kodanikele, jne.</w:t>
      </w:r>
      <w:r w:rsidR="001E506D">
        <w:rPr>
          <w:szCs w:val="22"/>
        </w:rPr>
        <w:t xml:space="preserve"> Personali asumist välisriigis, ei tuleks </w:t>
      </w:r>
      <w:r w:rsidR="001E506D">
        <w:rPr>
          <w:szCs w:val="22"/>
        </w:rPr>
        <w:lastRenderedPageBreak/>
        <w:t>automaatselt pidada teenuse välisriigis osutamiseks, ku</w:t>
      </w:r>
      <w:r w:rsidR="00C0487D">
        <w:rPr>
          <w:szCs w:val="22"/>
        </w:rPr>
        <w:t xml:space="preserve">i selline tegevus toetab teenuseosutaja tegevust Eestis ning selline tegevus iseeneses ei ole suunatud teenuse </w:t>
      </w:r>
      <w:proofErr w:type="spellStart"/>
      <w:r w:rsidR="00C0487D">
        <w:rPr>
          <w:szCs w:val="22"/>
        </w:rPr>
        <w:t>turundamisele</w:t>
      </w:r>
      <w:proofErr w:type="spellEnd"/>
      <w:r w:rsidR="00C0487D">
        <w:rPr>
          <w:szCs w:val="22"/>
        </w:rPr>
        <w:t>.</w:t>
      </w:r>
      <w:r w:rsidR="001E506D">
        <w:rPr>
          <w:szCs w:val="22"/>
        </w:rPr>
        <w:t xml:space="preserve"> </w:t>
      </w:r>
    </w:p>
    <w:p w14:paraId="63F7CDDC" w14:textId="77777777" w:rsidR="00356262" w:rsidRPr="005A55CA" w:rsidRDefault="00356262" w:rsidP="00356262">
      <w:pPr>
        <w:pStyle w:val="Normal2"/>
        <w:rPr>
          <w:szCs w:val="22"/>
        </w:rPr>
      </w:pPr>
    </w:p>
    <w:p w14:paraId="34A16ECD" w14:textId="77777777" w:rsidR="00356262" w:rsidRDefault="00356262" w:rsidP="00356262">
      <w:pPr>
        <w:pStyle w:val="Normal2"/>
        <w:rPr>
          <w:szCs w:val="22"/>
        </w:rPr>
      </w:pPr>
      <w:r w:rsidRPr="005A55CA">
        <w:rPr>
          <w:b/>
          <w:szCs w:val="22"/>
        </w:rPr>
        <w:t xml:space="preserve">Lõike 1 </w:t>
      </w:r>
      <w:r w:rsidRPr="005A55CA">
        <w:rPr>
          <w:szCs w:val="22"/>
        </w:rPr>
        <w:t xml:space="preserve">kohaselt tuleb juhul, kui </w:t>
      </w:r>
      <w:r>
        <w:rPr>
          <w:szCs w:val="22"/>
        </w:rPr>
        <w:t xml:space="preserve">Eestis tegevusloa saanud </w:t>
      </w:r>
      <w:r w:rsidRPr="005A55CA">
        <w:rPr>
          <w:szCs w:val="22"/>
        </w:rPr>
        <w:t xml:space="preserve">teenuseosutaja soovib tegutseda </w:t>
      </w:r>
      <w:r>
        <w:rPr>
          <w:szCs w:val="22"/>
        </w:rPr>
        <w:t>välis</w:t>
      </w:r>
      <w:r w:rsidRPr="005A55CA">
        <w:rPr>
          <w:szCs w:val="22"/>
        </w:rPr>
        <w:t xml:space="preserve">riigis, sealhulgas </w:t>
      </w:r>
      <w:r>
        <w:rPr>
          <w:szCs w:val="22"/>
        </w:rPr>
        <w:t>registreerida</w:t>
      </w:r>
      <w:r w:rsidRPr="005A55CA">
        <w:rPr>
          <w:szCs w:val="22"/>
        </w:rPr>
        <w:t xml:space="preserve"> välisriigis filiaal</w:t>
      </w:r>
      <w:r>
        <w:rPr>
          <w:szCs w:val="22"/>
        </w:rPr>
        <w:t>i</w:t>
      </w:r>
      <w:r w:rsidRPr="005A55CA">
        <w:rPr>
          <w:szCs w:val="22"/>
        </w:rPr>
        <w:t xml:space="preserve"> või osutada välisriigis piiriülest teenust, teenuseosutajal esitada Finantsinspektsioonile sama lõike 1 punktides </w:t>
      </w:r>
      <w:r>
        <w:rPr>
          <w:szCs w:val="22"/>
        </w:rPr>
        <w:t>1 ja 2</w:t>
      </w:r>
      <w:r w:rsidRPr="005A55CA">
        <w:rPr>
          <w:szCs w:val="22"/>
        </w:rPr>
        <w:t xml:space="preserve"> nimetatud andmed ja dokumendid. </w:t>
      </w:r>
      <w:r>
        <w:rPr>
          <w:szCs w:val="22"/>
        </w:rPr>
        <w:t>Esitada tuleb:</w:t>
      </w:r>
    </w:p>
    <w:p w14:paraId="30248E4F" w14:textId="77777777" w:rsidR="00356262" w:rsidRDefault="00356262" w:rsidP="002B2C7C">
      <w:pPr>
        <w:pStyle w:val="Normal2"/>
        <w:numPr>
          <w:ilvl w:val="0"/>
          <w:numId w:val="29"/>
        </w:numPr>
        <w:rPr>
          <w:szCs w:val="22"/>
        </w:rPr>
      </w:pPr>
      <w:r w:rsidRPr="00B17A60">
        <w:rPr>
          <w:szCs w:val="22"/>
        </w:rPr>
        <w:t xml:space="preserve">selle välisriigi nimi, kus kavatsetakse filiaal </w:t>
      </w:r>
      <w:r>
        <w:rPr>
          <w:szCs w:val="22"/>
        </w:rPr>
        <w:t>registreerida</w:t>
      </w:r>
      <w:r w:rsidRPr="00B17A60">
        <w:rPr>
          <w:szCs w:val="22"/>
        </w:rPr>
        <w:t xml:space="preserve"> või piiriülest teenust osutada </w:t>
      </w:r>
      <w:r>
        <w:rPr>
          <w:szCs w:val="22"/>
        </w:rPr>
        <w:t>ehk sihtriigi nimi (</w:t>
      </w:r>
      <w:r w:rsidRPr="00020539">
        <w:rPr>
          <w:b/>
          <w:szCs w:val="22"/>
        </w:rPr>
        <w:t>punkt 1)</w:t>
      </w:r>
      <w:r w:rsidRPr="000F47F8">
        <w:rPr>
          <w:bCs w:val="0"/>
          <w:szCs w:val="22"/>
        </w:rPr>
        <w:t>;</w:t>
      </w:r>
    </w:p>
    <w:p w14:paraId="05742C64" w14:textId="77777777" w:rsidR="00356262" w:rsidRPr="00B17A60" w:rsidRDefault="00356262" w:rsidP="002B2C7C">
      <w:pPr>
        <w:pStyle w:val="Normal2"/>
        <w:numPr>
          <w:ilvl w:val="0"/>
          <w:numId w:val="29"/>
        </w:numPr>
        <w:rPr>
          <w:szCs w:val="22"/>
        </w:rPr>
      </w:pPr>
      <w:r w:rsidRPr="00B17A60">
        <w:rPr>
          <w:szCs w:val="22"/>
        </w:rPr>
        <w:t xml:space="preserve">tegevuskava, mis sisaldab andmeid kõigi </w:t>
      </w:r>
      <w:r>
        <w:rPr>
          <w:szCs w:val="22"/>
        </w:rPr>
        <w:t>sihtriigis</w:t>
      </w:r>
      <w:r w:rsidRPr="00B17A60">
        <w:rPr>
          <w:szCs w:val="22"/>
        </w:rPr>
        <w:t xml:space="preserve"> osutatavate teenuste kohta, ja </w:t>
      </w:r>
      <w:r>
        <w:rPr>
          <w:szCs w:val="22"/>
        </w:rPr>
        <w:t xml:space="preserve">ka </w:t>
      </w:r>
      <w:r w:rsidRPr="00B17A60">
        <w:rPr>
          <w:szCs w:val="22"/>
        </w:rPr>
        <w:t>§ 3</w:t>
      </w:r>
      <w:r>
        <w:rPr>
          <w:szCs w:val="22"/>
        </w:rPr>
        <w:t>4</w:t>
      </w:r>
      <w:r w:rsidRPr="00B17A60">
        <w:rPr>
          <w:szCs w:val="22"/>
        </w:rPr>
        <w:t xml:space="preserve"> lõikes 5 nimetatud teavitus, kui seoses filiaali </w:t>
      </w:r>
      <w:r>
        <w:rPr>
          <w:szCs w:val="22"/>
        </w:rPr>
        <w:t>registreerimise</w:t>
      </w:r>
      <w:r w:rsidRPr="00B17A60">
        <w:rPr>
          <w:szCs w:val="22"/>
        </w:rPr>
        <w:t xml:space="preserve"> või teenuste piiriülese osutamisega antakse sihtriigis tegevusi või tööülesandeid edasi kolmandale isikule</w:t>
      </w:r>
      <w:r>
        <w:rPr>
          <w:szCs w:val="22"/>
        </w:rPr>
        <w:t xml:space="preserve"> (</w:t>
      </w:r>
      <w:r w:rsidRPr="00020539">
        <w:rPr>
          <w:b/>
          <w:szCs w:val="22"/>
        </w:rPr>
        <w:t>punkt 2</w:t>
      </w:r>
      <w:r>
        <w:rPr>
          <w:szCs w:val="22"/>
        </w:rPr>
        <w:t>).</w:t>
      </w:r>
    </w:p>
    <w:p w14:paraId="54D7BAF0" w14:textId="77777777" w:rsidR="00356262" w:rsidRDefault="00356262" w:rsidP="00356262">
      <w:pPr>
        <w:pStyle w:val="Normal2"/>
        <w:rPr>
          <w:szCs w:val="22"/>
        </w:rPr>
      </w:pPr>
    </w:p>
    <w:p w14:paraId="65431587" w14:textId="77777777" w:rsidR="00356262" w:rsidRDefault="00356262" w:rsidP="00356262">
      <w:pPr>
        <w:pStyle w:val="Normal2"/>
      </w:pPr>
      <w:r w:rsidRPr="005A55CA">
        <w:rPr>
          <w:b/>
          <w:szCs w:val="22"/>
        </w:rPr>
        <w:t>Lõi</w:t>
      </w:r>
      <w:r>
        <w:rPr>
          <w:b/>
          <w:szCs w:val="22"/>
        </w:rPr>
        <w:t>ge</w:t>
      </w:r>
      <w:r w:rsidRPr="005A55CA">
        <w:rPr>
          <w:b/>
          <w:szCs w:val="22"/>
        </w:rPr>
        <w:t xml:space="preserve"> </w:t>
      </w:r>
      <w:r>
        <w:rPr>
          <w:b/>
          <w:szCs w:val="22"/>
        </w:rPr>
        <w:t xml:space="preserve">2. </w:t>
      </w:r>
      <w:r>
        <w:rPr>
          <w:bCs w:val="0"/>
          <w:szCs w:val="22"/>
        </w:rPr>
        <w:t>On oluline, et kuigi võttes arvesse EL-i piires asutamisvabadust ja teenuse osutamise vabadust, siis teenuseosutaja peab välisriigis tegutsemisel järgima sihtriigi õigusaktides ettenähtud reegleid ning võtaks asjakohastel juhtudel arvesse sihtriigi</w:t>
      </w:r>
      <w:r>
        <w:t xml:space="preserve"> finantsjärelevalve asutuse kehtestatud nõudeid. Kui teenuseosutaja peaks rikkuma teenuse osutamise sihtriigis kehtestatud õigusaktide nõudeid, siis § 88 kohaselt rakendab Finantsinspektsioon viivitamata </w:t>
      </w:r>
      <w:proofErr w:type="spellStart"/>
      <w:r>
        <w:t>järelevalvelisi</w:t>
      </w:r>
      <w:proofErr w:type="spellEnd"/>
      <w:r>
        <w:t xml:space="preserve"> meetmeid rikkumise lõpetamiseks.</w:t>
      </w:r>
    </w:p>
    <w:p w14:paraId="599DCFA8" w14:textId="77777777" w:rsidR="00356262" w:rsidRPr="005A55CA" w:rsidRDefault="00356262" w:rsidP="00356262">
      <w:pPr>
        <w:pStyle w:val="Normal2"/>
        <w:rPr>
          <w:szCs w:val="22"/>
        </w:rPr>
      </w:pPr>
    </w:p>
    <w:p w14:paraId="1634444A" w14:textId="77777777" w:rsidR="00356262" w:rsidRDefault="00356262" w:rsidP="00356262">
      <w:pPr>
        <w:pStyle w:val="Normal2"/>
        <w:rPr>
          <w:szCs w:val="22"/>
        </w:rPr>
      </w:pPr>
      <w:r w:rsidRPr="005A55CA">
        <w:rPr>
          <w:b/>
          <w:szCs w:val="22"/>
        </w:rPr>
        <w:t xml:space="preserve">Lõike </w:t>
      </w:r>
      <w:r>
        <w:rPr>
          <w:b/>
          <w:szCs w:val="22"/>
        </w:rPr>
        <w:t>3</w:t>
      </w:r>
      <w:r w:rsidRPr="005A55CA">
        <w:rPr>
          <w:b/>
          <w:szCs w:val="22"/>
        </w:rPr>
        <w:t xml:space="preserve"> punktides 1-</w:t>
      </w:r>
      <w:r>
        <w:rPr>
          <w:b/>
          <w:szCs w:val="22"/>
        </w:rPr>
        <w:t>3</w:t>
      </w:r>
      <w:r w:rsidRPr="005A55CA">
        <w:rPr>
          <w:b/>
          <w:szCs w:val="22"/>
        </w:rPr>
        <w:t xml:space="preserve"> </w:t>
      </w:r>
      <w:r w:rsidRPr="005A55CA">
        <w:rPr>
          <w:szCs w:val="22"/>
        </w:rPr>
        <w:t xml:space="preserve">on nimetatud asjaolud, mille tuvastamisel on Finantsinspektsioonil õigus </w:t>
      </w:r>
      <w:r>
        <w:rPr>
          <w:szCs w:val="22"/>
        </w:rPr>
        <w:t xml:space="preserve">teha ettekirjutus </w:t>
      </w:r>
      <w:r w:rsidRPr="005A55CA">
        <w:rPr>
          <w:szCs w:val="22"/>
        </w:rPr>
        <w:t xml:space="preserve">filiaali </w:t>
      </w:r>
      <w:r>
        <w:rPr>
          <w:szCs w:val="22"/>
        </w:rPr>
        <w:t>registreerimise</w:t>
      </w:r>
      <w:r w:rsidRPr="005A55CA">
        <w:rPr>
          <w:szCs w:val="22"/>
        </w:rPr>
        <w:t xml:space="preserve"> või teenuse piirülese osutamise</w:t>
      </w:r>
      <w:r>
        <w:rPr>
          <w:szCs w:val="22"/>
        </w:rPr>
        <w:t xml:space="preserve"> keelamiseks</w:t>
      </w:r>
      <w:r w:rsidRPr="005A55CA">
        <w:rPr>
          <w:szCs w:val="22"/>
        </w:rPr>
        <w:t xml:space="preserve">. </w:t>
      </w:r>
      <w:r>
        <w:rPr>
          <w:szCs w:val="22"/>
        </w:rPr>
        <w:t xml:space="preserve">Finantsinspektsioonil on vastav alus, kui </w:t>
      </w:r>
      <w:r w:rsidRPr="005A55CA">
        <w:rPr>
          <w:szCs w:val="22"/>
        </w:rPr>
        <w:t>esitatud tegevuskava rakendamine võib kahjustada klientide huve, teenuseosutaja finantsseisundit või tegevuse usaldusväärsust (</w:t>
      </w:r>
      <w:r w:rsidRPr="005A55CA">
        <w:rPr>
          <w:b/>
          <w:szCs w:val="22"/>
        </w:rPr>
        <w:t xml:space="preserve">punkt </w:t>
      </w:r>
      <w:r>
        <w:rPr>
          <w:b/>
          <w:szCs w:val="22"/>
        </w:rPr>
        <w:t>1</w:t>
      </w:r>
      <w:r w:rsidRPr="005A55CA">
        <w:rPr>
          <w:szCs w:val="22"/>
        </w:rPr>
        <w:t xml:space="preserve">), või kui tegevuskava rakendamine võib olla seotud rahapesu või terrorismi rahastamisega või </w:t>
      </w:r>
      <w:r>
        <w:rPr>
          <w:szCs w:val="22"/>
        </w:rPr>
        <w:t xml:space="preserve">rahvusvahelise sanktsiooni rikkumise või kõrvale hiilimisega, </w:t>
      </w:r>
      <w:r w:rsidRPr="005A55CA">
        <w:rPr>
          <w:szCs w:val="22"/>
        </w:rPr>
        <w:t>selle katsega või suurendab selliseid riske (</w:t>
      </w:r>
      <w:r w:rsidRPr="005A55CA">
        <w:rPr>
          <w:b/>
          <w:szCs w:val="22"/>
        </w:rPr>
        <w:t xml:space="preserve">punkt </w:t>
      </w:r>
      <w:r>
        <w:rPr>
          <w:b/>
          <w:szCs w:val="22"/>
        </w:rPr>
        <w:t>2</w:t>
      </w:r>
      <w:r w:rsidRPr="005A55CA">
        <w:rPr>
          <w:szCs w:val="22"/>
        </w:rPr>
        <w:t xml:space="preserve">). </w:t>
      </w:r>
      <w:r>
        <w:rPr>
          <w:szCs w:val="22"/>
        </w:rPr>
        <w:t xml:space="preserve">Lisaks on </w:t>
      </w:r>
      <w:r>
        <w:rPr>
          <w:b/>
          <w:szCs w:val="22"/>
        </w:rPr>
        <w:t xml:space="preserve">punktis 3 </w:t>
      </w:r>
      <w:r>
        <w:rPr>
          <w:szCs w:val="22"/>
        </w:rPr>
        <w:t>ette nähtud keeldumise alusena see, kui teenuseosutaja ei ole võimeline täitma sihtriigis teenuse osutamisele sätestatud nõudeid. Punkt 3 on mõeldud kohaldamiseks juhtudel, kui välisriigis teenuse osutamisega seotud normistik erineb olulisel määral Eesti omast ning Finantsinspektsiooni hinnangul ei ole teenuseosutaja võimeline nimetatud nõudeid täitma.</w:t>
      </w:r>
    </w:p>
    <w:p w14:paraId="6E2C7FB4" w14:textId="77777777" w:rsidR="00356262" w:rsidRDefault="00356262" w:rsidP="00356262">
      <w:pPr>
        <w:pStyle w:val="Normal2"/>
        <w:rPr>
          <w:szCs w:val="22"/>
        </w:rPr>
      </w:pPr>
    </w:p>
    <w:p w14:paraId="3C2C1EC4" w14:textId="77777777" w:rsidR="00356262" w:rsidRPr="008804AF" w:rsidRDefault="00356262" w:rsidP="00356262">
      <w:pPr>
        <w:pStyle w:val="Normal2"/>
        <w:rPr>
          <w:szCs w:val="22"/>
        </w:rPr>
      </w:pPr>
      <w:r>
        <w:rPr>
          <w:b/>
          <w:bCs w:val="0"/>
          <w:szCs w:val="22"/>
        </w:rPr>
        <w:t xml:space="preserve">Lõige 4. </w:t>
      </w:r>
      <w:r w:rsidRPr="008804AF">
        <w:rPr>
          <w:szCs w:val="22"/>
        </w:rPr>
        <w:t>Lõike 3 kohaselt tehtud ettekirjutus</w:t>
      </w:r>
      <w:r>
        <w:rPr>
          <w:szCs w:val="22"/>
        </w:rPr>
        <w:t xml:space="preserve"> tuleb toimetada viivitamata teenuseosutajale kätte.</w:t>
      </w:r>
    </w:p>
    <w:p w14:paraId="03A52125" w14:textId="77777777" w:rsidR="00356262" w:rsidRPr="005A55CA" w:rsidRDefault="00356262" w:rsidP="00356262">
      <w:pPr>
        <w:pStyle w:val="Normal2"/>
        <w:rPr>
          <w:szCs w:val="22"/>
        </w:rPr>
      </w:pPr>
    </w:p>
    <w:p w14:paraId="70F5370B" w14:textId="77777777" w:rsidR="00356262" w:rsidRPr="005A55CA" w:rsidRDefault="00356262" w:rsidP="00356262">
      <w:pPr>
        <w:pStyle w:val="Normal2"/>
        <w:rPr>
          <w:szCs w:val="22"/>
        </w:rPr>
      </w:pPr>
      <w:r w:rsidRPr="005A55CA">
        <w:rPr>
          <w:b/>
          <w:szCs w:val="22"/>
        </w:rPr>
        <w:t xml:space="preserve">Lõike </w:t>
      </w:r>
      <w:r>
        <w:rPr>
          <w:b/>
          <w:szCs w:val="22"/>
        </w:rPr>
        <w:t>5</w:t>
      </w:r>
      <w:r w:rsidRPr="005A55CA">
        <w:rPr>
          <w:b/>
          <w:szCs w:val="22"/>
        </w:rPr>
        <w:t xml:space="preserve"> </w:t>
      </w:r>
      <w:r w:rsidRPr="005A55CA">
        <w:rPr>
          <w:szCs w:val="22"/>
        </w:rPr>
        <w:t xml:space="preserve">järgi kohustub teenuseosutaja teavitama Finantsinspektsioonile enne </w:t>
      </w:r>
      <w:r>
        <w:rPr>
          <w:szCs w:val="22"/>
        </w:rPr>
        <w:t xml:space="preserve">sihtriigis </w:t>
      </w:r>
      <w:r w:rsidRPr="005A55CA">
        <w:rPr>
          <w:szCs w:val="22"/>
        </w:rPr>
        <w:t>tegevuse alustamist kuupäeva, millal filiaal sihtriigis teenust osutam</w:t>
      </w:r>
      <w:r>
        <w:rPr>
          <w:szCs w:val="22"/>
        </w:rPr>
        <w:t>a</w:t>
      </w:r>
      <w:r w:rsidRPr="005A55CA">
        <w:rPr>
          <w:szCs w:val="22"/>
        </w:rPr>
        <w:t xml:space="preserve"> a</w:t>
      </w:r>
      <w:r>
        <w:rPr>
          <w:szCs w:val="22"/>
        </w:rPr>
        <w:t>sub</w:t>
      </w:r>
      <w:r w:rsidRPr="005A55CA">
        <w:rPr>
          <w:szCs w:val="22"/>
        </w:rPr>
        <w:t xml:space="preserve">. </w:t>
      </w:r>
    </w:p>
    <w:p w14:paraId="0A4DA074" w14:textId="77777777" w:rsidR="00356262" w:rsidRPr="005A55CA" w:rsidRDefault="00356262" w:rsidP="00356262">
      <w:pPr>
        <w:pStyle w:val="Normal2"/>
        <w:rPr>
          <w:szCs w:val="22"/>
        </w:rPr>
      </w:pPr>
    </w:p>
    <w:p w14:paraId="5F113491" w14:textId="77777777" w:rsidR="00356262" w:rsidRPr="005A55CA" w:rsidRDefault="00356262" w:rsidP="00356262">
      <w:pPr>
        <w:pStyle w:val="Normal2"/>
        <w:rPr>
          <w:szCs w:val="22"/>
        </w:rPr>
      </w:pPr>
      <w:r w:rsidRPr="005A55CA">
        <w:rPr>
          <w:b/>
          <w:szCs w:val="22"/>
        </w:rPr>
        <w:t xml:space="preserve">Lõike </w:t>
      </w:r>
      <w:r>
        <w:rPr>
          <w:b/>
          <w:szCs w:val="22"/>
        </w:rPr>
        <w:t>6</w:t>
      </w:r>
      <w:r w:rsidRPr="005A55CA">
        <w:rPr>
          <w:b/>
          <w:szCs w:val="22"/>
        </w:rPr>
        <w:t xml:space="preserve"> </w:t>
      </w:r>
      <w:r w:rsidRPr="005A55CA">
        <w:rPr>
          <w:szCs w:val="22"/>
        </w:rPr>
        <w:t>alusel kohustub teenuseosutaja viivitamata teavitama Finantsinspektsiooni</w:t>
      </w:r>
      <w:r>
        <w:rPr>
          <w:szCs w:val="22"/>
        </w:rPr>
        <w:t>,</w:t>
      </w:r>
      <w:r w:rsidRPr="005A55CA">
        <w:rPr>
          <w:szCs w:val="22"/>
        </w:rPr>
        <w:t xml:space="preserve"> kui sama paragrahvi lõikes 1 nimetatud andmetes või dokumentides on toimunud muudatusi. Eelduslikult tuleb Finantsinspektsiooni teavitada ennetavalt, st vähemalt üks kuu enne muudatuste rakendumist, kuid kui see ei ole võimalik, tuleks muudatustest teavitada viivitamata.</w:t>
      </w:r>
    </w:p>
    <w:p w14:paraId="3DF58176" w14:textId="77777777" w:rsidR="00356262" w:rsidRDefault="00356262" w:rsidP="00356262">
      <w:pPr>
        <w:pStyle w:val="Normal2"/>
        <w:rPr>
          <w:b/>
          <w:szCs w:val="22"/>
        </w:rPr>
      </w:pPr>
    </w:p>
    <w:p w14:paraId="0E7454DA" w14:textId="77777777" w:rsidR="00356262" w:rsidRPr="005C7572" w:rsidRDefault="00356262" w:rsidP="00356262">
      <w:pPr>
        <w:pStyle w:val="Normal2"/>
        <w:rPr>
          <w:szCs w:val="22"/>
        </w:rPr>
      </w:pPr>
      <w:r w:rsidRPr="005C7572">
        <w:rPr>
          <w:b/>
          <w:szCs w:val="22"/>
        </w:rPr>
        <w:t>Paragrahvis 1</w:t>
      </w:r>
      <w:r>
        <w:rPr>
          <w:b/>
          <w:szCs w:val="22"/>
        </w:rPr>
        <w:t>7</w:t>
      </w:r>
      <w:r w:rsidRPr="005C7572">
        <w:rPr>
          <w:b/>
          <w:szCs w:val="22"/>
        </w:rPr>
        <w:t xml:space="preserve"> </w:t>
      </w:r>
      <w:r w:rsidRPr="005C7572">
        <w:rPr>
          <w:szCs w:val="22"/>
        </w:rPr>
        <w:t xml:space="preserve">on sätestatud normid, mis on seotud välisriigi </w:t>
      </w:r>
      <w:r>
        <w:rPr>
          <w:szCs w:val="22"/>
        </w:rPr>
        <w:t>isiku</w:t>
      </w:r>
      <w:r w:rsidRPr="005C7572">
        <w:rPr>
          <w:szCs w:val="22"/>
        </w:rPr>
        <w:t xml:space="preserve"> tegevusega Eestis. </w:t>
      </w:r>
    </w:p>
    <w:p w14:paraId="1FE7DF87" w14:textId="77777777" w:rsidR="00356262" w:rsidRPr="005C7572" w:rsidRDefault="00356262" w:rsidP="00356262">
      <w:pPr>
        <w:pStyle w:val="Normal2"/>
        <w:rPr>
          <w:szCs w:val="22"/>
        </w:rPr>
      </w:pPr>
    </w:p>
    <w:p w14:paraId="1D76F797" w14:textId="77777777" w:rsidR="00356262" w:rsidRDefault="00356262" w:rsidP="00356262">
      <w:pPr>
        <w:spacing w:before="0"/>
        <w:ind w:right="-62"/>
        <w:rPr>
          <w:sz w:val="22"/>
          <w:szCs w:val="22"/>
        </w:rPr>
      </w:pPr>
      <w:r w:rsidRPr="005C7572">
        <w:rPr>
          <w:b/>
          <w:sz w:val="22"/>
          <w:szCs w:val="22"/>
        </w:rPr>
        <w:t xml:space="preserve">Lõike 1 </w:t>
      </w:r>
      <w:r w:rsidRPr="005C7572">
        <w:rPr>
          <w:sz w:val="22"/>
          <w:szCs w:val="22"/>
        </w:rPr>
        <w:t xml:space="preserve">kohaselt </w:t>
      </w:r>
      <w:r>
        <w:rPr>
          <w:sz w:val="22"/>
          <w:szCs w:val="22"/>
        </w:rPr>
        <w:t>võib</w:t>
      </w:r>
      <w:r w:rsidRPr="005C7572">
        <w:rPr>
          <w:sz w:val="22"/>
          <w:szCs w:val="22"/>
        </w:rPr>
        <w:t xml:space="preserve"> </w:t>
      </w:r>
      <w:r>
        <w:rPr>
          <w:sz w:val="22"/>
          <w:szCs w:val="22"/>
        </w:rPr>
        <w:t xml:space="preserve">teises </w:t>
      </w:r>
      <w:r w:rsidRPr="005C7572">
        <w:rPr>
          <w:sz w:val="22"/>
          <w:szCs w:val="22"/>
        </w:rPr>
        <w:t xml:space="preserve">lepinguriigis </w:t>
      </w:r>
      <w:r>
        <w:rPr>
          <w:sz w:val="22"/>
          <w:szCs w:val="22"/>
        </w:rPr>
        <w:t xml:space="preserve">asutatud ning oma päritoluriigi pädeva järelevalveasutuse poolt väljastatud tegevusloa alusel tegutsev </w:t>
      </w:r>
      <w:r w:rsidRPr="005C7572">
        <w:rPr>
          <w:sz w:val="22"/>
          <w:szCs w:val="22"/>
        </w:rPr>
        <w:t xml:space="preserve">krediidiasutus, investeerimisühing, e-raha asutus, makseasutus või </w:t>
      </w:r>
      <w:proofErr w:type="spellStart"/>
      <w:r w:rsidRPr="005C7572">
        <w:rPr>
          <w:sz w:val="22"/>
          <w:szCs w:val="22"/>
        </w:rPr>
        <w:t>ühisrahastusteenuse</w:t>
      </w:r>
      <w:proofErr w:type="spellEnd"/>
      <w:r w:rsidRPr="005C7572">
        <w:rPr>
          <w:sz w:val="22"/>
          <w:szCs w:val="22"/>
        </w:rPr>
        <w:t xml:space="preserve"> osutaja</w:t>
      </w:r>
      <w:r>
        <w:rPr>
          <w:sz w:val="22"/>
          <w:szCs w:val="22"/>
        </w:rPr>
        <w:t xml:space="preserve"> vastavalt </w:t>
      </w:r>
      <w:r w:rsidRPr="005C7572">
        <w:rPr>
          <w:sz w:val="22"/>
          <w:szCs w:val="22"/>
        </w:rPr>
        <w:t>Euroopa Parlamendi ja nõukogu määrusele (EL) 2020/1503</w:t>
      </w:r>
      <w:r>
        <w:rPr>
          <w:sz w:val="22"/>
          <w:szCs w:val="22"/>
        </w:rPr>
        <w:t xml:space="preserve"> oma päritoluriigis pädeva järelevalveasutuse poolt väljastatud tegevusloa alusel osutada </w:t>
      </w:r>
      <w:r w:rsidRPr="005C7572">
        <w:rPr>
          <w:sz w:val="22"/>
          <w:szCs w:val="22"/>
        </w:rPr>
        <w:t xml:space="preserve">Eestis seaduse § 1 lõikes 1 punktis 2 või 4 nimetatud teenuseid, </w:t>
      </w:r>
      <w:r>
        <w:rPr>
          <w:sz w:val="22"/>
          <w:szCs w:val="22"/>
        </w:rPr>
        <w:t>registreerides selleks filiaali või osutades Eestis teenuseid piiriüleselt. Sama lõike teise lause kohaselt ei või eelmises lauses nimetamata isik teenuseid Eestis piiriüleselt osutada või teha seda filiaali kaudu. Lõikes 1 nimetatud isikutele on Eestis teenuste osutamine lubatud, kuivõrd nimetatud isikud kuuluvad EL õiguse alusel mõnes teises liikmesriigis finantsjärelevalve alla.</w:t>
      </w:r>
    </w:p>
    <w:p w14:paraId="78052282" w14:textId="77777777" w:rsidR="00356262" w:rsidRDefault="00356262" w:rsidP="00356262">
      <w:pPr>
        <w:spacing w:before="0"/>
        <w:ind w:right="-62"/>
        <w:rPr>
          <w:sz w:val="22"/>
          <w:szCs w:val="22"/>
        </w:rPr>
      </w:pPr>
    </w:p>
    <w:p w14:paraId="7809E071" w14:textId="77777777" w:rsidR="00356262" w:rsidRDefault="00356262" w:rsidP="00356262">
      <w:pPr>
        <w:spacing w:before="0"/>
        <w:ind w:right="-62"/>
        <w:rPr>
          <w:sz w:val="22"/>
          <w:szCs w:val="22"/>
        </w:rPr>
      </w:pPr>
      <w:r>
        <w:rPr>
          <w:b/>
          <w:sz w:val="22"/>
          <w:szCs w:val="22"/>
        </w:rPr>
        <w:t xml:space="preserve">Lõike 2 </w:t>
      </w:r>
      <w:r>
        <w:rPr>
          <w:sz w:val="22"/>
          <w:szCs w:val="22"/>
        </w:rPr>
        <w:t xml:space="preserve">järgi tuleb Eestis filiaali registreerimiseks või piiriülese teenuse osutamiseks taotleda Finantsinspektsioonilt luba. Selleks tuleb Finantsinspektsioonile esitada taotlus koos </w:t>
      </w:r>
      <w:r w:rsidRPr="00731D2D">
        <w:rPr>
          <w:b/>
          <w:bCs/>
          <w:sz w:val="22"/>
          <w:szCs w:val="22"/>
        </w:rPr>
        <w:t>lõike 3</w:t>
      </w:r>
      <w:r>
        <w:rPr>
          <w:sz w:val="22"/>
          <w:szCs w:val="22"/>
        </w:rPr>
        <w:t xml:space="preserve"> punktides 1–5 nimetatud andmete ja dokumentidega Nimetatud lõikes toodud lähenemine põhineb enamjaolt MERAS § 32 lõikes 2 toodul, kuid andmete ja dokumentide nimekirja on kohandatud vastavalt käesoleva seaduse eripäradele.</w:t>
      </w:r>
    </w:p>
    <w:p w14:paraId="2DF43BC6" w14:textId="77777777" w:rsidR="00356262" w:rsidRDefault="00356262" w:rsidP="00356262">
      <w:pPr>
        <w:spacing w:before="0"/>
        <w:ind w:right="-62"/>
        <w:rPr>
          <w:sz w:val="22"/>
          <w:szCs w:val="22"/>
        </w:rPr>
      </w:pPr>
    </w:p>
    <w:p w14:paraId="0DA5E3FD" w14:textId="77777777" w:rsidR="00356262" w:rsidRDefault="00356262" w:rsidP="00356262">
      <w:pPr>
        <w:spacing w:before="0"/>
        <w:ind w:right="-62"/>
        <w:rPr>
          <w:sz w:val="22"/>
          <w:szCs w:val="22"/>
        </w:rPr>
      </w:pPr>
      <w:r>
        <w:rPr>
          <w:b/>
          <w:sz w:val="22"/>
          <w:szCs w:val="22"/>
        </w:rPr>
        <w:t xml:space="preserve">Lõike 4 </w:t>
      </w:r>
      <w:r>
        <w:rPr>
          <w:sz w:val="22"/>
          <w:szCs w:val="22"/>
        </w:rPr>
        <w:t>kohaselt tuleb esitada samas paragrahvis toodud võõrkeelsed andmed ja dokumendid koos vandetõlgi tehtud või notariaalselt kinnitatud eestikeelse tõlkega. Nimetatud nõue on vajalik, kuivõrd Finantsinspektsioon ei pruugi vallata võõrkeelt, milles dokumendid on algselt koostatud, või näiteks kui nimetatud andmete ja dokumentide sisu võõrkeeles ei ole üheselt mõistetav. Sama lõike teise lause kohaselt võib Finantsinspektsiooni nõusolekul esitada eelnimetatud andmed ja dokumendid muus keeles kui eesti keeles.</w:t>
      </w:r>
    </w:p>
    <w:p w14:paraId="30281835" w14:textId="77777777" w:rsidR="00356262" w:rsidRDefault="00356262" w:rsidP="00356262">
      <w:pPr>
        <w:spacing w:before="0"/>
        <w:ind w:right="-62"/>
        <w:rPr>
          <w:sz w:val="22"/>
          <w:szCs w:val="22"/>
        </w:rPr>
      </w:pPr>
    </w:p>
    <w:p w14:paraId="0D35850B" w14:textId="77777777" w:rsidR="00356262" w:rsidRDefault="00356262" w:rsidP="00356262">
      <w:pPr>
        <w:spacing w:before="0"/>
        <w:ind w:right="-62"/>
        <w:rPr>
          <w:sz w:val="22"/>
          <w:szCs w:val="22"/>
        </w:rPr>
      </w:pPr>
      <w:r>
        <w:rPr>
          <w:b/>
          <w:sz w:val="22"/>
          <w:szCs w:val="22"/>
        </w:rPr>
        <w:t xml:space="preserve">Lõige 5 </w:t>
      </w:r>
      <w:r>
        <w:rPr>
          <w:sz w:val="22"/>
          <w:szCs w:val="22"/>
        </w:rPr>
        <w:t>sätestab Finantsinspektsiooni alused loa andmisest keeldumiseks. Nimetatud alusteks on olukorrad, kus teise lepinguriigi õigusaktid või finantsjärelevalveasutus ei taga piisavat järelevalvet lõikes 1 toodud isiku üle (</w:t>
      </w:r>
      <w:r>
        <w:rPr>
          <w:b/>
          <w:sz w:val="22"/>
          <w:szCs w:val="22"/>
        </w:rPr>
        <w:t>punkt 1</w:t>
      </w:r>
      <w:r>
        <w:rPr>
          <w:sz w:val="22"/>
          <w:szCs w:val="22"/>
        </w:rPr>
        <w:t>) või kui filiaali juhtimise eest vastutavad isikud ei vasta käesoleva seaduse §-s 27 juhatuse liikmetele sätestatud nõuetele (</w:t>
      </w:r>
      <w:r w:rsidRPr="00F40139">
        <w:rPr>
          <w:b/>
          <w:sz w:val="22"/>
          <w:szCs w:val="22"/>
        </w:rPr>
        <w:t>punkt 2</w:t>
      </w:r>
      <w:r>
        <w:rPr>
          <w:sz w:val="22"/>
          <w:szCs w:val="22"/>
        </w:rPr>
        <w:t>).</w:t>
      </w:r>
    </w:p>
    <w:p w14:paraId="593DBE07" w14:textId="77777777" w:rsidR="00356262" w:rsidRDefault="00356262" w:rsidP="00356262">
      <w:pPr>
        <w:spacing w:before="0"/>
        <w:ind w:right="-62"/>
        <w:rPr>
          <w:sz w:val="22"/>
          <w:szCs w:val="22"/>
        </w:rPr>
      </w:pPr>
    </w:p>
    <w:p w14:paraId="30AFF3E0" w14:textId="77777777" w:rsidR="00356262" w:rsidRDefault="00356262" w:rsidP="00356262">
      <w:pPr>
        <w:spacing w:before="0"/>
        <w:ind w:right="-62"/>
        <w:rPr>
          <w:sz w:val="22"/>
          <w:szCs w:val="22"/>
        </w:rPr>
      </w:pPr>
      <w:r>
        <w:rPr>
          <w:b/>
          <w:sz w:val="22"/>
          <w:szCs w:val="22"/>
        </w:rPr>
        <w:t xml:space="preserve">Lõike 6 </w:t>
      </w:r>
      <w:r>
        <w:rPr>
          <w:sz w:val="22"/>
          <w:szCs w:val="22"/>
        </w:rPr>
        <w:t>kohaselt teeb Finantsinspektsioon otsuse loa andmise või loa andmisest keeldumise kohta kahe kuu jooksul kõigi vajalike dokumentide ja andmete saamisest arvates, kuid hiljemalt kolm kuud pärast loa taotluse saamist. Sama lõike teise lause kohaselt toimetab Finantsinspektsioon loa andmise või sellest keeldumise otsuse viivitamata loa taotlejale kätte.</w:t>
      </w:r>
    </w:p>
    <w:p w14:paraId="692BB057" w14:textId="77777777" w:rsidR="00356262" w:rsidRDefault="00356262" w:rsidP="00356262">
      <w:pPr>
        <w:spacing w:before="0"/>
        <w:ind w:right="-62"/>
        <w:rPr>
          <w:sz w:val="22"/>
          <w:szCs w:val="22"/>
        </w:rPr>
      </w:pPr>
    </w:p>
    <w:p w14:paraId="4C18DCE3" w14:textId="77777777" w:rsidR="00356262" w:rsidRPr="005C7572" w:rsidRDefault="00356262" w:rsidP="00356262">
      <w:pPr>
        <w:spacing w:before="0"/>
        <w:rPr>
          <w:sz w:val="22"/>
          <w:szCs w:val="22"/>
        </w:rPr>
      </w:pPr>
      <w:r>
        <w:rPr>
          <w:b/>
          <w:sz w:val="22"/>
          <w:szCs w:val="22"/>
        </w:rPr>
        <w:t xml:space="preserve">Lõike 7 </w:t>
      </w:r>
      <w:r>
        <w:rPr>
          <w:sz w:val="22"/>
          <w:szCs w:val="22"/>
        </w:rPr>
        <w:t xml:space="preserve">järgi on </w:t>
      </w:r>
      <w:r w:rsidRPr="005C7572">
        <w:rPr>
          <w:sz w:val="22"/>
          <w:szCs w:val="22"/>
        </w:rPr>
        <w:t xml:space="preserve">Eestis </w:t>
      </w:r>
      <w:r>
        <w:rPr>
          <w:sz w:val="22"/>
          <w:szCs w:val="22"/>
        </w:rPr>
        <w:t xml:space="preserve">piiriüleselt teenuseid osutav või </w:t>
      </w:r>
      <w:r w:rsidRPr="005C7572">
        <w:rPr>
          <w:sz w:val="22"/>
          <w:szCs w:val="22"/>
        </w:rPr>
        <w:t>filiaali asutanud isik kohustatud Finantsinspektsiooni teavitama</w:t>
      </w:r>
      <w:r>
        <w:rPr>
          <w:sz w:val="22"/>
          <w:szCs w:val="22"/>
        </w:rPr>
        <w:t xml:space="preserve">, kui esitatud andmeid kavatsetakse muuta. Vastav teavitus tuleb teha vähemalt kuu enne vastavate muudatuste tegemist. </w:t>
      </w:r>
      <w:r w:rsidRPr="005C7572">
        <w:rPr>
          <w:sz w:val="22"/>
          <w:szCs w:val="22"/>
        </w:rPr>
        <w:t xml:space="preserve"> </w:t>
      </w:r>
    </w:p>
    <w:p w14:paraId="70DEBDCA" w14:textId="77777777" w:rsidR="00356262" w:rsidRPr="005C7572" w:rsidRDefault="00356262" w:rsidP="00356262">
      <w:pPr>
        <w:spacing w:before="0"/>
        <w:rPr>
          <w:sz w:val="22"/>
          <w:szCs w:val="22"/>
        </w:rPr>
      </w:pPr>
    </w:p>
    <w:p w14:paraId="2C23D99B" w14:textId="77777777" w:rsidR="00356262" w:rsidRDefault="00356262" w:rsidP="00356262">
      <w:pPr>
        <w:spacing w:before="0"/>
        <w:rPr>
          <w:sz w:val="22"/>
          <w:szCs w:val="22"/>
        </w:rPr>
      </w:pPr>
      <w:r>
        <w:rPr>
          <w:b/>
          <w:sz w:val="22"/>
          <w:szCs w:val="22"/>
        </w:rPr>
        <w:t xml:space="preserve">Lõike 8 </w:t>
      </w:r>
      <w:r>
        <w:rPr>
          <w:sz w:val="22"/>
          <w:szCs w:val="22"/>
        </w:rPr>
        <w:t xml:space="preserve">kohaselt võib </w:t>
      </w:r>
      <w:r w:rsidRPr="005C7572">
        <w:rPr>
          <w:sz w:val="22"/>
          <w:szCs w:val="22"/>
        </w:rPr>
        <w:t xml:space="preserve">Finantsinspektsioon tunnistada loa kehtetuks, kui ilmnevad käesoleva paragrahvi lõikes </w:t>
      </w:r>
      <w:r>
        <w:rPr>
          <w:sz w:val="22"/>
          <w:szCs w:val="22"/>
        </w:rPr>
        <w:t>5</w:t>
      </w:r>
      <w:r w:rsidRPr="005C7572">
        <w:rPr>
          <w:sz w:val="22"/>
          <w:szCs w:val="22"/>
        </w:rPr>
        <w:t xml:space="preserve"> sätestatud asjaolud. Otsus loa kehtetuks tunnistamise kohta toimetatakse viivitamata otsuse adressaadile kätte.</w:t>
      </w:r>
    </w:p>
    <w:p w14:paraId="765FE672" w14:textId="77777777" w:rsidR="00356262" w:rsidRDefault="00356262" w:rsidP="00356262">
      <w:pPr>
        <w:spacing w:before="0"/>
        <w:rPr>
          <w:sz w:val="22"/>
          <w:szCs w:val="22"/>
        </w:rPr>
      </w:pPr>
    </w:p>
    <w:p w14:paraId="5818AD22" w14:textId="45BC8055" w:rsidR="00356262" w:rsidRDefault="00356262" w:rsidP="00356262">
      <w:pPr>
        <w:spacing w:before="0"/>
        <w:rPr>
          <w:sz w:val="22"/>
          <w:szCs w:val="22"/>
        </w:rPr>
      </w:pPr>
      <w:r w:rsidRPr="00663D20">
        <w:rPr>
          <w:b/>
          <w:bCs/>
          <w:sz w:val="22"/>
          <w:szCs w:val="22"/>
        </w:rPr>
        <w:t>Lõike 9</w:t>
      </w:r>
      <w:r>
        <w:rPr>
          <w:sz w:val="22"/>
          <w:szCs w:val="22"/>
        </w:rPr>
        <w:t xml:space="preserve"> eesmärk on täpsustada, et mitte igal juhul ei kohaldata loa nõuet piiriüleselt teenuse osutamiseks. Näiteks, kui klient pöördub omal initsiatiivil välisriigis asuva isiku poole ehk tegemist pole otse turustamisega ja klient on väljendanud ise huvi teenuse vastu (</w:t>
      </w:r>
      <w:r>
        <w:rPr>
          <w:i/>
          <w:iCs/>
          <w:sz w:val="22"/>
          <w:szCs w:val="22"/>
        </w:rPr>
        <w:t xml:space="preserve">reverse </w:t>
      </w:r>
      <w:proofErr w:type="spellStart"/>
      <w:r>
        <w:rPr>
          <w:i/>
          <w:iCs/>
          <w:sz w:val="22"/>
          <w:szCs w:val="22"/>
        </w:rPr>
        <w:t>solicitation</w:t>
      </w:r>
      <w:proofErr w:type="spellEnd"/>
      <w:r>
        <w:rPr>
          <w:sz w:val="22"/>
          <w:szCs w:val="22"/>
        </w:rPr>
        <w:t xml:space="preserve">). See tähendab, et kui teenuseosutajal on välisriigis klient, kellele teenuseosutaja teenust osutab, siis see ei tähenda automaatselt seda, et teenuseosutaja </w:t>
      </w:r>
      <w:r w:rsidRPr="00D80EBF">
        <w:rPr>
          <w:sz w:val="22"/>
          <w:szCs w:val="22"/>
        </w:rPr>
        <w:t>osutaks teenuseid välisriigis.</w:t>
      </w:r>
      <w:r>
        <w:rPr>
          <w:sz w:val="22"/>
          <w:szCs w:val="22"/>
        </w:rPr>
        <w:t xml:space="preserve"> Selguse huvides on välja toodud, et seda erandit ei kohaldata juhul, kui selle välisriigi isiku nimel osutab teenuseid kolmas isik või temaga seotud isik, välja arvatud juhul, kui tegemist on grupisiseste tehingutega.</w:t>
      </w:r>
    </w:p>
    <w:p w14:paraId="6B9406D5" w14:textId="77777777" w:rsidR="00356262" w:rsidRDefault="00356262" w:rsidP="00356262">
      <w:pPr>
        <w:spacing w:before="0"/>
        <w:rPr>
          <w:sz w:val="22"/>
          <w:szCs w:val="22"/>
        </w:rPr>
      </w:pPr>
    </w:p>
    <w:p w14:paraId="45B6C5CC" w14:textId="4CF09021" w:rsidR="00356262" w:rsidRDefault="00356262" w:rsidP="00356262">
      <w:pPr>
        <w:spacing w:before="0"/>
        <w:rPr>
          <w:b/>
          <w:bCs/>
          <w:sz w:val="22"/>
          <w:szCs w:val="22"/>
        </w:rPr>
      </w:pPr>
      <w:r w:rsidRPr="00ED19D6">
        <w:rPr>
          <w:b/>
          <w:bCs/>
          <w:sz w:val="22"/>
          <w:szCs w:val="22"/>
        </w:rPr>
        <w:t>Peatükk 4. Oluline osalus</w:t>
      </w:r>
    </w:p>
    <w:p w14:paraId="43D6166F" w14:textId="77777777" w:rsidR="00BA7A3A" w:rsidRPr="00ED19D6" w:rsidRDefault="00BA7A3A" w:rsidP="00356262">
      <w:pPr>
        <w:spacing w:before="0"/>
        <w:rPr>
          <w:b/>
          <w:bCs/>
          <w:sz w:val="22"/>
          <w:szCs w:val="22"/>
        </w:rPr>
      </w:pPr>
    </w:p>
    <w:p w14:paraId="0FCEF1CA" w14:textId="77777777" w:rsidR="00356262" w:rsidRPr="005A55CA" w:rsidRDefault="00356262" w:rsidP="00356262">
      <w:pPr>
        <w:spacing w:before="0"/>
        <w:ind w:right="-62"/>
        <w:rPr>
          <w:sz w:val="22"/>
          <w:szCs w:val="22"/>
        </w:rPr>
      </w:pPr>
      <w:r>
        <w:rPr>
          <w:sz w:val="22"/>
          <w:szCs w:val="22"/>
        </w:rPr>
        <w:t xml:space="preserve">Käesoleva peatüki §-d sätestavad </w:t>
      </w:r>
      <w:r w:rsidRPr="005A55CA">
        <w:rPr>
          <w:sz w:val="22"/>
          <w:szCs w:val="22"/>
        </w:rPr>
        <w:t>teenuseosutajas olulise osaluse oma</w:t>
      </w:r>
      <w:r>
        <w:rPr>
          <w:sz w:val="22"/>
          <w:szCs w:val="22"/>
        </w:rPr>
        <w:t>mise ja oma</w:t>
      </w:r>
      <w:r w:rsidRPr="005A55CA">
        <w:rPr>
          <w:sz w:val="22"/>
          <w:szCs w:val="22"/>
        </w:rPr>
        <w:t xml:space="preserve">ndamisega seotud nõuded. Sisuliselt on tegemist samaväärse õigusraamistikuga, mis täna kehtib nii pankade, investeerimisühingute, makse- ja e-raha asutuste, krediidiandjate ja –vahendajate, fondivalitsejate ja kindlustusandjate puhul. Tegemist on finantssektoris osaluse omandamise ja selle suurendamise tehingute suhtes rakendatava usaldusväärsuse hindamise menetluskorra ja kriteeriumitega. Kui </w:t>
      </w:r>
      <w:r>
        <w:rPr>
          <w:sz w:val="22"/>
          <w:szCs w:val="22"/>
        </w:rPr>
        <w:t>teenuseosutajas</w:t>
      </w:r>
      <w:r w:rsidRPr="005A55CA">
        <w:rPr>
          <w:sz w:val="22"/>
          <w:szCs w:val="22"/>
        </w:rPr>
        <w:t xml:space="preserve"> soovitakse omandada olulist osalust (üle 10%), peab sellest teavitama Finantsinspektsiooni, kes hindab omandaja sobivust. See omakorda peaks soodustama finantssektori institutsioonide ühinemisi ja ülevõtmisi ning efektiivse järelevalve teostamist nende protsesside üle.</w:t>
      </w:r>
    </w:p>
    <w:p w14:paraId="5969ECF5" w14:textId="77777777" w:rsidR="00356262" w:rsidRPr="005A55CA" w:rsidRDefault="00356262" w:rsidP="00356262">
      <w:pPr>
        <w:spacing w:before="0"/>
        <w:ind w:right="-64"/>
        <w:rPr>
          <w:b/>
          <w:bCs/>
          <w:sz w:val="22"/>
          <w:szCs w:val="22"/>
        </w:rPr>
      </w:pPr>
    </w:p>
    <w:p w14:paraId="4FB45622" w14:textId="77777777" w:rsidR="00356262" w:rsidRPr="005A55CA" w:rsidRDefault="00356262" w:rsidP="00356262">
      <w:pPr>
        <w:spacing w:before="0"/>
        <w:ind w:right="-62"/>
        <w:rPr>
          <w:sz w:val="22"/>
          <w:szCs w:val="22"/>
        </w:rPr>
      </w:pPr>
      <w:r w:rsidRPr="005A55CA">
        <w:rPr>
          <w:b/>
          <w:bCs/>
          <w:sz w:val="22"/>
          <w:szCs w:val="22"/>
        </w:rPr>
        <w:t>Paragrahv 1</w:t>
      </w:r>
      <w:r>
        <w:rPr>
          <w:b/>
          <w:bCs/>
          <w:sz w:val="22"/>
          <w:szCs w:val="22"/>
        </w:rPr>
        <w:t>8</w:t>
      </w:r>
      <w:r w:rsidRPr="005A55CA">
        <w:rPr>
          <w:sz w:val="22"/>
          <w:szCs w:val="22"/>
        </w:rPr>
        <w:t xml:space="preserve"> sätestab olulist osalust omandavatele ja omavatele isikutele esitatavad nõuded, st eelnõuga nähakse ette olulise osaluse hindamiskriteeriumid, mille põhjal järelevalveasutus hindab, kas omandaja on sobiv ja nõuetele vastav. Paragrahvi</w:t>
      </w:r>
      <w:r>
        <w:rPr>
          <w:sz w:val="22"/>
          <w:szCs w:val="22"/>
        </w:rPr>
        <w:t xml:space="preserve"> </w:t>
      </w:r>
      <w:r w:rsidRPr="00A34B8A">
        <w:rPr>
          <w:b/>
          <w:bCs/>
          <w:sz w:val="22"/>
          <w:szCs w:val="22"/>
        </w:rPr>
        <w:t>lõikes 1</w:t>
      </w:r>
      <w:r>
        <w:rPr>
          <w:sz w:val="22"/>
          <w:szCs w:val="22"/>
        </w:rPr>
        <w:t xml:space="preserve"> </w:t>
      </w:r>
      <w:r w:rsidRPr="005A55CA">
        <w:rPr>
          <w:sz w:val="22"/>
          <w:szCs w:val="22"/>
        </w:rPr>
        <w:t>toodud kriteeriumid kattuvad teiste finantsjärelevalvesubjektide kohta kehtestatud eriseadustes samasisuliste normidega.</w:t>
      </w:r>
    </w:p>
    <w:p w14:paraId="54593C1A" w14:textId="77777777" w:rsidR="00356262" w:rsidRPr="005A55CA" w:rsidRDefault="00356262" w:rsidP="00356262">
      <w:pPr>
        <w:spacing w:before="0"/>
        <w:ind w:right="-62"/>
        <w:rPr>
          <w:sz w:val="22"/>
          <w:szCs w:val="22"/>
        </w:rPr>
      </w:pPr>
    </w:p>
    <w:p w14:paraId="7E63A4E8" w14:textId="77777777" w:rsidR="00356262" w:rsidRDefault="00356262" w:rsidP="00356262">
      <w:pPr>
        <w:spacing w:before="0"/>
        <w:ind w:right="-62"/>
        <w:rPr>
          <w:sz w:val="22"/>
          <w:szCs w:val="22"/>
        </w:rPr>
      </w:pPr>
      <w:r w:rsidRPr="005A55CA">
        <w:rPr>
          <w:sz w:val="22"/>
          <w:szCs w:val="22"/>
        </w:rPr>
        <w:t>Teenuseosutajas olulist osalust omav või omandav isik peab olema laitmatu ärialase mainega ning tema tegevus peab vastama teenuseosutaja kindla ja usaldusväärse juhtimise põhimõtetele (</w:t>
      </w:r>
      <w:r w:rsidRPr="00DD0EF1">
        <w:rPr>
          <w:b/>
          <w:sz w:val="22"/>
          <w:szCs w:val="22"/>
        </w:rPr>
        <w:t>punkt 1</w:t>
      </w:r>
      <w:r w:rsidRPr="005A55CA">
        <w:rPr>
          <w:sz w:val="22"/>
          <w:szCs w:val="22"/>
        </w:rPr>
        <w:t xml:space="preserve">); ta peab olema võimeline tagama </w:t>
      </w:r>
      <w:r>
        <w:rPr>
          <w:sz w:val="22"/>
          <w:szCs w:val="22"/>
        </w:rPr>
        <w:t>teenuseosutaja suutelisuse järgima seaduses sätestatud omavahendite ja vara hoidmise nõudeid; samuti juriidilisest isikust teenuseosutaja puhul tuleb tagada, et teenuseosutaja</w:t>
      </w:r>
      <w:r w:rsidRPr="005A55CA">
        <w:rPr>
          <w:sz w:val="22"/>
          <w:szCs w:val="22"/>
        </w:rPr>
        <w:t xml:space="preserve"> struktuur ja ärisidemed peavad olema läbipaistvad ega tohi takistada tõhusa järelevalve teostamist (</w:t>
      </w:r>
      <w:r w:rsidRPr="00DD0EF1">
        <w:rPr>
          <w:b/>
          <w:sz w:val="22"/>
          <w:szCs w:val="22"/>
        </w:rPr>
        <w:t xml:space="preserve">punkt </w:t>
      </w:r>
      <w:r>
        <w:rPr>
          <w:b/>
          <w:sz w:val="22"/>
          <w:szCs w:val="22"/>
        </w:rPr>
        <w:t>2</w:t>
      </w:r>
      <w:r w:rsidRPr="005A55CA">
        <w:rPr>
          <w:sz w:val="22"/>
          <w:szCs w:val="22"/>
        </w:rPr>
        <w:t xml:space="preserve">); </w:t>
      </w:r>
      <w:r>
        <w:rPr>
          <w:sz w:val="22"/>
          <w:szCs w:val="22"/>
        </w:rPr>
        <w:t>lisaks</w:t>
      </w:r>
      <w:r w:rsidRPr="005A55CA">
        <w:rPr>
          <w:sz w:val="22"/>
          <w:szCs w:val="22"/>
        </w:rPr>
        <w:t xml:space="preserve"> tuleb olulist osalust omandava isiku puhul välistada kahtlus, et omandamine on seotud rahapesu või terrorismi rahastamisega (</w:t>
      </w:r>
      <w:r w:rsidRPr="00DD0EF1">
        <w:rPr>
          <w:b/>
          <w:sz w:val="22"/>
          <w:szCs w:val="22"/>
        </w:rPr>
        <w:t xml:space="preserve">punkt </w:t>
      </w:r>
      <w:r>
        <w:rPr>
          <w:b/>
          <w:sz w:val="22"/>
          <w:szCs w:val="22"/>
        </w:rPr>
        <w:t>3</w:t>
      </w:r>
      <w:r w:rsidRPr="005A55CA">
        <w:rPr>
          <w:sz w:val="22"/>
          <w:szCs w:val="22"/>
        </w:rPr>
        <w:t>)</w:t>
      </w:r>
      <w:r>
        <w:rPr>
          <w:sz w:val="22"/>
          <w:szCs w:val="22"/>
        </w:rPr>
        <w:t xml:space="preserve">; ning viimaks tuleb tagada, et isiku suhtes ei ole </w:t>
      </w:r>
      <w:r>
        <w:rPr>
          <w:sz w:val="22"/>
          <w:szCs w:val="22"/>
        </w:rPr>
        <w:lastRenderedPageBreak/>
        <w:t>kohaldatud rahvusvahelist sanktsiooni rahvusvahelise sanktsiooni seaduse mõistes (</w:t>
      </w:r>
      <w:r>
        <w:rPr>
          <w:b/>
          <w:sz w:val="22"/>
          <w:szCs w:val="22"/>
        </w:rPr>
        <w:t>punkt 4</w:t>
      </w:r>
      <w:r>
        <w:rPr>
          <w:sz w:val="22"/>
          <w:szCs w:val="22"/>
        </w:rPr>
        <w:t>)</w:t>
      </w:r>
      <w:r w:rsidRPr="005A55CA">
        <w:rPr>
          <w:sz w:val="22"/>
          <w:szCs w:val="22"/>
        </w:rPr>
        <w:t xml:space="preserve">. Olulise osaluse omandaja hindamisel ja olulise osaluse omandamiseks loa andmise otsuse tegemisel lähtub Finantsinspektsioon nõuetele vastavusest või mittevastavusest ning sisustab diskretsiooniruumi kooskõlas õigusnormidega. </w:t>
      </w:r>
    </w:p>
    <w:p w14:paraId="4FBA54F6" w14:textId="77777777" w:rsidR="00356262" w:rsidRDefault="00356262" w:rsidP="00356262">
      <w:pPr>
        <w:spacing w:before="0"/>
        <w:ind w:right="-62"/>
        <w:rPr>
          <w:sz w:val="22"/>
          <w:szCs w:val="22"/>
        </w:rPr>
      </w:pPr>
    </w:p>
    <w:p w14:paraId="3A5A44CC" w14:textId="0986BE06" w:rsidR="00356262" w:rsidRPr="00EE3174" w:rsidRDefault="00356262" w:rsidP="00356262">
      <w:pPr>
        <w:spacing w:before="0"/>
        <w:ind w:right="-62"/>
        <w:rPr>
          <w:b/>
          <w:bCs/>
          <w:sz w:val="22"/>
          <w:szCs w:val="22"/>
        </w:rPr>
      </w:pPr>
      <w:r w:rsidRPr="00EE3174">
        <w:rPr>
          <w:b/>
          <w:bCs/>
          <w:sz w:val="22"/>
          <w:szCs w:val="22"/>
        </w:rPr>
        <w:t>Lõi</w:t>
      </w:r>
      <w:r>
        <w:rPr>
          <w:b/>
          <w:bCs/>
          <w:sz w:val="22"/>
          <w:szCs w:val="22"/>
        </w:rPr>
        <w:t>kes</w:t>
      </w:r>
      <w:r w:rsidRPr="00EE3174">
        <w:rPr>
          <w:b/>
          <w:bCs/>
          <w:sz w:val="22"/>
          <w:szCs w:val="22"/>
        </w:rPr>
        <w:t xml:space="preserve"> 2</w:t>
      </w:r>
      <w:r>
        <w:rPr>
          <w:b/>
          <w:bCs/>
          <w:sz w:val="22"/>
          <w:szCs w:val="22"/>
        </w:rPr>
        <w:t xml:space="preserve"> </w:t>
      </w:r>
      <w:r>
        <w:rPr>
          <w:sz w:val="22"/>
          <w:szCs w:val="22"/>
        </w:rPr>
        <w:t>on täiendav nõue</w:t>
      </w:r>
      <w:r w:rsidR="00BA7A3A">
        <w:rPr>
          <w:sz w:val="22"/>
          <w:szCs w:val="22"/>
        </w:rPr>
        <w:t xml:space="preserve"> </w:t>
      </w:r>
      <w:proofErr w:type="spellStart"/>
      <w:r w:rsidR="00BA7A3A">
        <w:rPr>
          <w:sz w:val="22"/>
          <w:szCs w:val="22"/>
        </w:rPr>
        <w:t>krüptovarateenuste</w:t>
      </w:r>
      <w:proofErr w:type="spellEnd"/>
      <w:r w:rsidR="00BA7A3A">
        <w:rPr>
          <w:sz w:val="22"/>
          <w:szCs w:val="22"/>
        </w:rPr>
        <w:t xml:space="preserve"> osutajatele</w:t>
      </w:r>
      <w:r>
        <w:rPr>
          <w:sz w:val="22"/>
          <w:szCs w:val="22"/>
        </w:rPr>
        <w:t xml:space="preserve">, </w:t>
      </w:r>
      <w:r w:rsidR="00BA7A3A">
        <w:rPr>
          <w:sz w:val="22"/>
          <w:szCs w:val="22"/>
        </w:rPr>
        <w:t xml:space="preserve">st lõiget kohaldatakse juhul, </w:t>
      </w:r>
      <w:r>
        <w:rPr>
          <w:sz w:val="22"/>
          <w:szCs w:val="22"/>
        </w:rPr>
        <w:t xml:space="preserve">kui olulist osalust omandatakse, omatakse või suurendatakse </w:t>
      </w:r>
      <w:proofErr w:type="spellStart"/>
      <w:r>
        <w:rPr>
          <w:sz w:val="22"/>
          <w:szCs w:val="22"/>
        </w:rPr>
        <w:t>krüptovarateenuse</w:t>
      </w:r>
      <w:proofErr w:type="spellEnd"/>
      <w:r>
        <w:rPr>
          <w:sz w:val="22"/>
          <w:szCs w:val="22"/>
        </w:rPr>
        <w:t xml:space="preserve"> osutajas. Sellisel juhul peab </w:t>
      </w:r>
      <w:r w:rsidR="00BA7A3A">
        <w:rPr>
          <w:sz w:val="22"/>
          <w:szCs w:val="22"/>
        </w:rPr>
        <w:t xml:space="preserve">olema </w:t>
      </w:r>
      <w:r>
        <w:rPr>
          <w:sz w:val="22"/>
          <w:szCs w:val="22"/>
        </w:rPr>
        <w:t xml:space="preserve">tagatud, et osalust omandava või suurendava isiku  </w:t>
      </w:r>
      <w:r w:rsidRPr="00657559">
        <w:rPr>
          <w:sz w:val="22"/>
          <w:szCs w:val="22"/>
        </w:rPr>
        <w:t xml:space="preserve">majanduslik usaldusväärsus võimaldab tagada teenuseosutaja korrapärast ja usaldusväärset tegevust, arvestades </w:t>
      </w:r>
      <w:proofErr w:type="spellStart"/>
      <w:r w:rsidRPr="00657559">
        <w:rPr>
          <w:sz w:val="22"/>
          <w:szCs w:val="22"/>
        </w:rPr>
        <w:t>krüptovarateenuse</w:t>
      </w:r>
      <w:proofErr w:type="spellEnd"/>
      <w:r w:rsidRPr="00657559">
        <w:rPr>
          <w:sz w:val="22"/>
          <w:szCs w:val="22"/>
        </w:rPr>
        <w:t xml:space="preserve"> osutaja senist ja kavandatud äritegevuse laadi.</w:t>
      </w:r>
      <w:r>
        <w:rPr>
          <w:sz w:val="22"/>
          <w:szCs w:val="22"/>
        </w:rPr>
        <w:t xml:space="preserve"> Vastav erisus on tehtud </w:t>
      </w:r>
      <w:proofErr w:type="spellStart"/>
      <w:r>
        <w:rPr>
          <w:sz w:val="22"/>
          <w:szCs w:val="22"/>
        </w:rPr>
        <w:t>krüptovarateenuste</w:t>
      </w:r>
      <w:proofErr w:type="spellEnd"/>
      <w:r>
        <w:rPr>
          <w:sz w:val="22"/>
          <w:szCs w:val="22"/>
        </w:rPr>
        <w:t xml:space="preserve"> osutajatele, sest </w:t>
      </w:r>
      <w:proofErr w:type="spellStart"/>
      <w:r>
        <w:rPr>
          <w:sz w:val="22"/>
          <w:szCs w:val="22"/>
        </w:rPr>
        <w:t>ühisrahastusteenuse</w:t>
      </w:r>
      <w:proofErr w:type="spellEnd"/>
      <w:r>
        <w:rPr>
          <w:sz w:val="22"/>
          <w:szCs w:val="22"/>
        </w:rPr>
        <w:t xml:space="preserve"> osutajad pigem vahendavad kapitali kaasamist ning seeläbi ei ole </w:t>
      </w:r>
      <w:proofErr w:type="spellStart"/>
      <w:r>
        <w:rPr>
          <w:sz w:val="22"/>
          <w:szCs w:val="22"/>
        </w:rPr>
        <w:t>ühisrahasteenuse</w:t>
      </w:r>
      <w:proofErr w:type="spellEnd"/>
      <w:r>
        <w:rPr>
          <w:sz w:val="22"/>
          <w:szCs w:val="22"/>
        </w:rPr>
        <w:t xml:space="preserve"> osutajates osaluse omajate puhul oluline nende majanduslik usaldusväärsus. </w:t>
      </w:r>
      <w:proofErr w:type="spellStart"/>
      <w:r>
        <w:rPr>
          <w:sz w:val="22"/>
          <w:szCs w:val="22"/>
        </w:rPr>
        <w:t>Krüptovarateenuste</w:t>
      </w:r>
      <w:proofErr w:type="spellEnd"/>
      <w:r>
        <w:rPr>
          <w:sz w:val="22"/>
          <w:szCs w:val="22"/>
        </w:rPr>
        <w:t xml:space="preserve"> osutajate puhul on lähtutud peaasjalikult </w:t>
      </w:r>
      <w:proofErr w:type="spellStart"/>
      <w:r>
        <w:rPr>
          <w:sz w:val="22"/>
          <w:szCs w:val="22"/>
        </w:rPr>
        <w:t>MiCA</w:t>
      </w:r>
      <w:proofErr w:type="spellEnd"/>
      <w:r>
        <w:rPr>
          <w:sz w:val="22"/>
          <w:szCs w:val="22"/>
        </w:rPr>
        <w:t xml:space="preserve"> ettepaneku art 75(1) punktist </w:t>
      </w:r>
      <w:proofErr w:type="spellStart"/>
      <w:r>
        <w:rPr>
          <w:sz w:val="22"/>
          <w:szCs w:val="22"/>
        </w:rPr>
        <w:t>c.</w:t>
      </w:r>
      <w:proofErr w:type="spellEnd"/>
    </w:p>
    <w:p w14:paraId="340E2160" w14:textId="77777777" w:rsidR="00356262" w:rsidRPr="005A55CA" w:rsidRDefault="00356262" w:rsidP="00356262">
      <w:pPr>
        <w:spacing w:before="0"/>
        <w:ind w:right="-64"/>
        <w:rPr>
          <w:sz w:val="22"/>
          <w:szCs w:val="22"/>
        </w:rPr>
      </w:pPr>
    </w:p>
    <w:p w14:paraId="1D231C7F" w14:textId="77777777" w:rsidR="00356262" w:rsidRPr="005A55CA" w:rsidRDefault="00356262" w:rsidP="00356262">
      <w:pPr>
        <w:spacing w:before="0"/>
        <w:ind w:right="-64"/>
        <w:rPr>
          <w:sz w:val="22"/>
          <w:szCs w:val="22"/>
        </w:rPr>
      </w:pPr>
      <w:r w:rsidRPr="005A55CA">
        <w:rPr>
          <w:b/>
          <w:bCs/>
          <w:sz w:val="22"/>
          <w:szCs w:val="22"/>
        </w:rPr>
        <w:t>Paragrahv 1</w:t>
      </w:r>
      <w:r>
        <w:rPr>
          <w:b/>
          <w:bCs/>
          <w:sz w:val="22"/>
          <w:szCs w:val="22"/>
        </w:rPr>
        <w:t>9</w:t>
      </w:r>
      <w:r w:rsidRPr="005A55CA">
        <w:rPr>
          <w:b/>
          <w:bCs/>
          <w:sz w:val="22"/>
          <w:szCs w:val="22"/>
        </w:rPr>
        <w:t xml:space="preserve"> </w:t>
      </w:r>
      <w:r w:rsidRPr="005A55CA">
        <w:rPr>
          <w:sz w:val="22"/>
          <w:szCs w:val="22"/>
        </w:rPr>
        <w:t xml:space="preserve">kirjeldab </w:t>
      </w:r>
      <w:r>
        <w:rPr>
          <w:sz w:val="22"/>
          <w:szCs w:val="22"/>
        </w:rPr>
        <w:t xml:space="preserve">teavitamise </w:t>
      </w:r>
      <w:r w:rsidRPr="005A55CA">
        <w:rPr>
          <w:sz w:val="22"/>
          <w:szCs w:val="22"/>
        </w:rPr>
        <w:t xml:space="preserve">protsessi olulise osaluse omandamisel või suurendamisel. </w:t>
      </w:r>
      <w:r w:rsidRPr="005A55CA">
        <w:rPr>
          <w:b/>
          <w:sz w:val="22"/>
          <w:szCs w:val="22"/>
        </w:rPr>
        <w:t xml:space="preserve">Lõike 1 </w:t>
      </w:r>
      <w:r w:rsidRPr="005A55CA">
        <w:rPr>
          <w:sz w:val="22"/>
          <w:szCs w:val="22"/>
        </w:rPr>
        <w:t>kohaselt teatab olulist osalust omandav või suurenda</w:t>
      </w:r>
      <w:r>
        <w:rPr>
          <w:sz w:val="22"/>
          <w:szCs w:val="22"/>
        </w:rPr>
        <w:t>v</w:t>
      </w:r>
      <w:r w:rsidRPr="005A55CA">
        <w:rPr>
          <w:sz w:val="22"/>
          <w:szCs w:val="22"/>
        </w:rPr>
        <w:t xml:space="preserve"> isik ehk omandaja Finantsinspektsiooni ning esitab järgmises paragrahvis nõutud andmed ja dokumendid. </w:t>
      </w:r>
      <w:r w:rsidRPr="005A55CA">
        <w:rPr>
          <w:b/>
          <w:sz w:val="22"/>
          <w:szCs w:val="22"/>
        </w:rPr>
        <w:t>Lõi</w:t>
      </w:r>
      <w:r>
        <w:rPr>
          <w:b/>
          <w:sz w:val="22"/>
          <w:szCs w:val="22"/>
        </w:rPr>
        <w:t>g</w:t>
      </w:r>
      <w:r w:rsidRPr="005A55CA">
        <w:rPr>
          <w:b/>
          <w:sz w:val="22"/>
          <w:szCs w:val="22"/>
        </w:rPr>
        <w:t xml:space="preserve">e 2 </w:t>
      </w:r>
      <w:r w:rsidRPr="005A55CA">
        <w:rPr>
          <w:sz w:val="22"/>
          <w:szCs w:val="22"/>
        </w:rPr>
        <w:t xml:space="preserve">täpsustab, et </w:t>
      </w:r>
      <w:r>
        <w:rPr>
          <w:sz w:val="22"/>
          <w:szCs w:val="22"/>
        </w:rPr>
        <w:t>käesolevas peatükis sätestatut</w:t>
      </w:r>
      <w:r w:rsidRPr="005A55CA">
        <w:rPr>
          <w:sz w:val="22"/>
          <w:szCs w:val="22"/>
        </w:rPr>
        <w:t xml:space="preserve"> kohaldatakse ka juhul, kui isiku osalus suureneb muu sündmuse või tehingu tulemusel või kui teenuseosutaja muutub selle sündmuse või tehingu tõttu tema kontrollitavaks äriühinguks. </w:t>
      </w:r>
      <w:r>
        <w:rPr>
          <w:sz w:val="22"/>
          <w:szCs w:val="22"/>
        </w:rPr>
        <w:t>L</w:t>
      </w:r>
      <w:r w:rsidRPr="005A55CA">
        <w:rPr>
          <w:sz w:val="22"/>
          <w:szCs w:val="22"/>
        </w:rPr>
        <w:t>õike</w:t>
      </w:r>
      <w:r>
        <w:rPr>
          <w:sz w:val="22"/>
          <w:szCs w:val="22"/>
        </w:rPr>
        <w:t xml:space="preserve"> 2</w:t>
      </w:r>
      <w:r w:rsidRPr="005A55CA">
        <w:rPr>
          <w:sz w:val="22"/>
          <w:szCs w:val="22"/>
        </w:rPr>
        <w:t xml:space="preserve"> all mõeldakse eeskätt olukordi, kus olulise osaluse omandamine äriühingus ei pruukinud olla omaette eesmärk, näiteks osaluse omandamine pärandusega, abielludes või muul sarnasel moel. </w:t>
      </w:r>
      <w:r w:rsidRPr="005A55CA">
        <w:rPr>
          <w:b/>
          <w:sz w:val="22"/>
          <w:szCs w:val="22"/>
        </w:rPr>
        <w:t>Lõike 3</w:t>
      </w:r>
      <w:r w:rsidRPr="005A55CA">
        <w:rPr>
          <w:sz w:val="22"/>
          <w:szCs w:val="22"/>
        </w:rPr>
        <w:t xml:space="preserve"> idee on sätestada, et Finantsinspektsioon peab kahe tööpäeva jooksul omandajale kirjalikult edastama kinnituse selle kohta, et ta on omandamise soovist teavitava teate ning hindamiseks vajalikud andmed ja dokumendid kätte saanud. Omandajale tuleb edastada kirjalik kinnitus teabe kättesaamise kohta ka juhul, kui Finantsinspektsioon on palunud omandajalt lisaandmeid- ja dokumente, mis on vajalikud hindamise lõpuleviimiseks. Samuti antakse omandajale teada menetlustähtaja võimalik lõppkuupäev. </w:t>
      </w:r>
    </w:p>
    <w:p w14:paraId="6708E596" w14:textId="77777777" w:rsidR="00356262" w:rsidRPr="005A55CA" w:rsidRDefault="00356262" w:rsidP="00356262">
      <w:pPr>
        <w:spacing w:before="0"/>
        <w:ind w:right="-64"/>
        <w:rPr>
          <w:sz w:val="22"/>
          <w:szCs w:val="22"/>
        </w:rPr>
      </w:pPr>
    </w:p>
    <w:p w14:paraId="5B5CA733" w14:textId="77777777" w:rsidR="00356262" w:rsidRDefault="00356262" w:rsidP="00356262">
      <w:pPr>
        <w:spacing w:before="0"/>
        <w:ind w:right="-62"/>
        <w:rPr>
          <w:sz w:val="22"/>
          <w:szCs w:val="22"/>
        </w:rPr>
      </w:pPr>
      <w:r w:rsidRPr="005A55CA">
        <w:rPr>
          <w:b/>
          <w:bCs/>
          <w:sz w:val="22"/>
          <w:szCs w:val="22"/>
        </w:rPr>
        <w:t xml:space="preserve">Paragrahvis </w:t>
      </w:r>
      <w:r>
        <w:rPr>
          <w:b/>
          <w:bCs/>
          <w:sz w:val="22"/>
          <w:szCs w:val="22"/>
        </w:rPr>
        <w:t>20</w:t>
      </w:r>
      <w:r w:rsidRPr="005A55CA">
        <w:rPr>
          <w:b/>
          <w:bCs/>
          <w:sz w:val="22"/>
          <w:szCs w:val="22"/>
        </w:rPr>
        <w:t xml:space="preserve"> </w:t>
      </w:r>
      <w:r w:rsidRPr="0022209C">
        <w:rPr>
          <w:bCs/>
          <w:sz w:val="22"/>
          <w:szCs w:val="22"/>
        </w:rPr>
        <w:t>sätestatakse</w:t>
      </w:r>
      <w:r w:rsidRPr="00390D8B">
        <w:rPr>
          <w:b/>
          <w:bCs/>
          <w:sz w:val="22"/>
          <w:szCs w:val="22"/>
        </w:rPr>
        <w:t xml:space="preserve"> </w:t>
      </w:r>
      <w:r w:rsidRPr="004E0F3C">
        <w:rPr>
          <w:bCs/>
          <w:sz w:val="22"/>
          <w:szCs w:val="22"/>
        </w:rPr>
        <w:t>o</w:t>
      </w:r>
      <w:r w:rsidRPr="00C72408">
        <w:rPr>
          <w:bCs/>
          <w:sz w:val="22"/>
          <w:szCs w:val="22"/>
        </w:rPr>
        <w:t xml:space="preserve">lulise osaluse omandamisel </w:t>
      </w:r>
      <w:r w:rsidRPr="00FF1CD1">
        <w:rPr>
          <w:sz w:val="22"/>
          <w:szCs w:val="22"/>
        </w:rPr>
        <w:t xml:space="preserve">Finantsinspektsioonile esitavate andmete ja dokumentide nimekiri. </w:t>
      </w:r>
      <w:r w:rsidRPr="00F12CA8">
        <w:rPr>
          <w:b/>
          <w:sz w:val="22"/>
          <w:szCs w:val="22"/>
        </w:rPr>
        <w:t xml:space="preserve">Lõike 1 </w:t>
      </w:r>
      <w:r w:rsidRPr="00390D8B">
        <w:rPr>
          <w:b/>
          <w:sz w:val="22"/>
          <w:szCs w:val="22"/>
        </w:rPr>
        <w:t>punkti</w:t>
      </w:r>
      <w:r w:rsidRPr="00390D8B">
        <w:rPr>
          <w:sz w:val="22"/>
          <w:szCs w:val="22"/>
        </w:rPr>
        <w:t xml:space="preserve"> </w:t>
      </w:r>
      <w:r w:rsidRPr="00390D8B">
        <w:rPr>
          <w:b/>
          <w:bCs/>
          <w:sz w:val="22"/>
          <w:szCs w:val="22"/>
        </w:rPr>
        <w:t>1</w:t>
      </w:r>
      <w:r>
        <w:rPr>
          <w:sz w:val="22"/>
          <w:szCs w:val="22"/>
        </w:rPr>
        <w:t xml:space="preserve"> </w:t>
      </w:r>
      <w:r w:rsidRPr="00390D8B">
        <w:rPr>
          <w:sz w:val="22"/>
          <w:szCs w:val="22"/>
        </w:rPr>
        <w:t xml:space="preserve">kohaselt tuleb finantsjärelevalvele esitada </w:t>
      </w:r>
      <w:r w:rsidRPr="00390D8B">
        <w:rPr>
          <w:bCs/>
          <w:sz w:val="22"/>
          <w:szCs w:val="22"/>
        </w:rPr>
        <w:t xml:space="preserve">äriühingu nimi, milles olulist </w:t>
      </w:r>
      <w:r w:rsidRPr="0022209C">
        <w:rPr>
          <w:bCs/>
          <w:sz w:val="22"/>
          <w:szCs w:val="22"/>
        </w:rPr>
        <w:t xml:space="preserve">osalust </w:t>
      </w:r>
      <w:r>
        <w:rPr>
          <w:bCs/>
          <w:sz w:val="22"/>
          <w:szCs w:val="22"/>
        </w:rPr>
        <w:t xml:space="preserve">soovitakse </w:t>
      </w:r>
      <w:r w:rsidRPr="0022209C">
        <w:rPr>
          <w:bCs/>
          <w:sz w:val="22"/>
          <w:szCs w:val="22"/>
        </w:rPr>
        <w:t>omanda</w:t>
      </w:r>
      <w:r>
        <w:rPr>
          <w:bCs/>
          <w:sz w:val="22"/>
          <w:szCs w:val="22"/>
        </w:rPr>
        <w:t>da</w:t>
      </w:r>
      <w:r w:rsidRPr="0022209C">
        <w:rPr>
          <w:bCs/>
          <w:sz w:val="22"/>
          <w:szCs w:val="22"/>
        </w:rPr>
        <w:t>, suurenda</w:t>
      </w:r>
      <w:r>
        <w:rPr>
          <w:bCs/>
          <w:sz w:val="22"/>
          <w:szCs w:val="22"/>
        </w:rPr>
        <w:t>da</w:t>
      </w:r>
      <w:r w:rsidRPr="0022209C">
        <w:rPr>
          <w:bCs/>
          <w:sz w:val="22"/>
          <w:szCs w:val="22"/>
        </w:rPr>
        <w:t xml:space="preserve"> või mi</w:t>
      </w:r>
      <w:r>
        <w:rPr>
          <w:bCs/>
          <w:sz w:val="22"/>
          <w:szCs w:val="22"/>
        </w:rPr>
        <w:t>da</w:t>
      </w:r>
      <w:r w:rsidRPr="0022209C">
        <w:rPr>
          <w:bCs/>
          <w:sz w:val="22"/>
          <w:szCs w:val="22"/>
        </w:rPr>
        <w:t xml:space="preserve"> muu</w:t>
      </w:r>
      <w:r>
        <w:rPr>
          <w:bCs/>
          <w:sz w:val="22"/>
          <w:szCs w:val="22"/>
        </w:rPr>
        <w:t>ta</w:t>
      </w:r>
      <w:r w:rsidRPr="0022209C">
        <w:rPr>
          <w:bCs/>
          <w:sz w:val="22"/>
          <w:szCs w:val="22"/>
        </w:rPr>
        <w:t xml:space="preserve"> omandaja kontrollitavaks, ja selles äriühingus omandatava osaluse suurus. Lisaks tuleb kirjeldada omandatavat äriühingut</w:t>
      </w:r>
      <w:r w:rsidRPr="00390D8B">
        <w:rPr>
          <w:bCs/>
          <w:sz w:val="22"/>
          <w:szCs w:val="22"/>
        </w:rPr>
        <w:t xml:space="preserve">. </w:t>
      </w:r>
      <w:r w:rsidRPr="0022209C">
        <w:rPr>
          <w:sz w:val="22"/>
          <w:szCs w:val="22"/>
        </w:rPr>
        <w:t xml:space="preserve"> Kirjelduse sisaldab muu hulgas aktsionäride nimekirja koos igale aktsionärile kuuluvate aktsiate arvuga või osanike nimekirja koos igale osanikule kuuluva osa nominaalväärtusega,  ning andmeid omandaja poolt omandatavate või talle varem kuulunud aktsiate või osade tüübi või osa suuruse ja häälte arvu kohta ning vajaduse korral muud informatsiooni</w:t>
      </w:r>
      <w:r>
        <w:rPr>
          <w:sz w:val="22"/>
          <w:szCs w:val="22"/>
        </w:rPr>
        <w:t xml:space="preserve"> (</w:t>
      </w:r>
      <w:r w:rsidRPr="00390D8B">
        <w:rPr>
          <w:b/>
          <w:bCs/>
          <w:sz w:val="22"/>
          <w:szCs w:val="22"/>
        </w:rPr>
        <w:t>punkt 2</w:t>
      </w:r>
      <w:r>
        <w:rPr>
          <w:sz w:val="22"/>
          <w:szCs w:val="22"/>
        </w:rPr>
        <w:t>)</w:t>
      </w:r>
      <w:r w:rsidRPr="0022209C">
        <w:rPr>
          <w:sz w:val="22"/>
          <w:szCs w:val="22"/>
        </w:rPr>
        <w:t>.</w:t>
      </w:r>
      <w:r>
        <w:rPr>
          <w:sz w:val="22"/>
          <w:szCs w:val="22"/>
        </w:rPr>
        <w:t xml:space="preserve"> </w:t>
      </w:r>
    </w:p>
    <w:p w14:paraId="0C872519" w14:textId="77777777" w:rsidR="00356262" w:rsidRDefault="00356262" w:rsidP="00356262">
      <w:pPr>
        <w:spacing w:before="0"/>
        <w:ind w:right="-62"/>
        <w:rPr>
          <w:sz w:val="22"/>
          <w:szCs w:val="22"/>
        </w:rPr>
      </w:pPr>
    </w:p>
    <w:p w14:paraId="37A6F431" w14:textId="77777777" w:rsidR="00356262" w:rsidRPr="00380B05" w:rsidRDefault="00356262" w:rsidP="00356262">
      <w:pPr>
        <w:spacing w:before="0"/>
        <w:ind w:right="-62"/>
        <w:rPr>
          <w:sz w:val="22"/>
          <w:szCs w:val="22"/>
        </w:rPr>
      </w:pPr>
      <w:r>
        <w:rPr>
          <w:b/>
          <w:sz w:val="22"/>
          <w:szCs w:val="22"/>
        </w:rPr>
        <w:t>P</w:t>
      </w:r>
      <w:r w:rsidRPr="009B2942">
        <w:rPr>
          <w:b/>
          <w:sz w:val="22"/>
          <w:szCs w:val="22"/>
        </w:rPr>
        <w:t>unktis</w:t>
      </w:r>
      <w:r w:rsidRPr="005A55CA">
        <w:rPr>
          <w:sz w:val="22"/>
          <w:szCs w:val="22"/>
        </w:rPr>
        <w:t xml:space="preserve"> </w:t>
      </w:r>
      <w:r>
        <w:rPr>
          <w:b/>
          <w:bCs/>
          <w:sz w:val="22"/>
          <w:szCs w:val="22"/>
        </w:rPr>
        <w:t xml:space="preserve">3 </w:t>
      </w:r>
      <w:r w:rsidRPr="005A55CA">
        <w:rPr>
          <w:sz w:val="22"/>
          <w:szCs w:val="22"/>
        </w:rPr>
        <w:t xml:space="preserve">täpsustatakse, et füüsilisest isikust omandaja peab Finantsinspektsioonile esitama lisaks teistele seaduses ette nähtud andmetele ka elulookirjelduse, mis sisaldab muuhulgas tema nime, elukohta, senist haridus, töö ja teenistuskäiku ning olemasolul isikukoodi. </w:t>
      </w:r>
      <w:r>
        <w:rPr>
          <w:b/>
          <w:sz w:val="22"/>
          <w:szCs w:val="22"/>
        </w:rPr>
        <w:t>P</w:t>
      </w:r>
      <w:r w:rsidRPr="00DD0EF1">
        <w:rPr>
          <w:b/>
          <w:sz w:val="22"/>
          <w:szCs w:val="22"/>
        </w:rPr>
        <w:t>unkti</w:t>
      </w:r>
      <w:r>
        <w:rPr>
          <w:sz w:val="22"/>
          <w:szCs w:val="22"/>
        </w:rPr>
        <w:t xml:space="preserve"> </w:t>
      </w:r>
      <w:r w:rsidRPr="00390D8B">
        <w:rPr>
          <w:b/>
          <w:bCs/>
          <w:sz w:val="22"/>
          <w:szCs w:val="22"/>
        </w:rPr>
        <w:t>4</w:t>
      </w:r>
      <w:r>
        <w:rPr>
          <w:sz w:val="22"/>
          <w:szCs w:val="22"/>
        </w:rPr>
        <w:t xml:space="preserve"> kohaselt tuleb finantsjärelevalvele esitada omandaja osanike või aktsionäride või liikmete nimekiri koos täpsustavate andmetega. </w:t>
      </w:r>
      <w:r w:rsidRPr="00DD0EF1">
        <w:rPr>
          <w:b/>
          <w:sz w:val="22"/>
          <w:szCs w:val="22"/>
        </w:rPr>
        <w:t xml:space="preserve">Punktiga </w:t>
      </w:r>
      <w:r>
        <w:rPr>
          <w:b/>
          <w:sz w:val="22"/>
          <w:szCs w:val="22"/>
        </w:rPr>
        <w:t>5</w:t>
      </w:r>
      <w:r>
        <w:rPr>
          <w:sz w:val="22"/>
          <w:szCs w:val="22"/>
        </w:rPr>
        <w:t xml:space="preserve"> tuleb esitada täpsustavad andmed juriidilisest isikust omandaja või varakogumit valitseva isiku kohta, sh nimi, asukoht, registritunnus jne. </w:t>
      </w:r>
      <w:r>
        <w:rPr>
          <w:b/>
          <w:sz w:val="22"/>
          <w:szCs w:val="22"/>
        </w:rPr>
        <w:t>P</w:t>
      </w:r>
      <w:r w:rsidRPr="00DD0EF1">
        <w:rPr>
          <w:b/>
          <w:sz w:val="22"/>
          <w:szCs w:val="22"/>
        </w:rPr>
        <w:t>unkti</w:t>
      </w:r>
      <w:r>
        <w:rPr>
          <w:sz w:val="22"/>
          <w:szCs w:val="22"/>
        </w:rPr>
        <w:t xml:space="preserve"> </w:t>
      </w:r>
      <w:r w:rsidRPr="004E0F3C">
        <w:rPr>
          <w:b/>
          <w:bCs/>
          <w:sz w:val="22"/>
          <w:szCs w:val="22"/>
        </w:rPr>
        <w:t>6</w:t>
      </w:r>
      <w:r>
        <w:rPr>
          <w:sz w:val="22"/>
          <w:szCs w:val="22"/>
        </w:rPr>
        <w:t xml:space="preserve"> alusel esitatakse andmed omandaja juhtorgani liikmete kohta. Nõukogu liikmete kohta tuleb andmed esitada juhul, kui äriühingul on nõukogu loomise kohustus. </w:t>
      </w:r>
      <w:r>
        <w:rPr>
          <w:b/>
          <w:sz w:val="22"/>
          <w:szCs w:val="22"/>
        </w:rPr>
        <w:t>P</w:t>
      </w:r>
      <w:r w:rsidRPr="00DD0EF1">
        <w:rPr>
          <w:b/>
          <w:sz w:val="22"/>
          <w:szCs w:val="22"/>
        </w:rPr>
        <w:t>unkti</w:t>
      </w:r>
      <w:r w:rsidRPr="005A55CA">
        <w:rPr>
          <w:sz w:val="22"/>
          <w:szCs w:val="22"/>
        </w:rPr>
        <w:t xml:space="preserve"> </w:t>
      </w:r>
      <w:r>
        <w:rPr>
          <w:b/>
          <w:bCs/>
          <w:sz w:val="22"/>
          <w:szCs w:val="22"/>
        </w:rPr>
        <w:t xml:space="preserve">7 </w:t>
      </w:r>
      <w:r w:rsidRPr="005A55CA">
        <w:rPr>
          <w:sz w:val="22"/>
          <w:szCs w:val="22"/>
        </w:rPr>
        <w:t xml:space="preserve">eesmärgiks on tagada, et </w:t>
      </w:r>
      <w:r>
        <w:rPr>
          <w:sz w:val="22"/>
          <w:szCs w:val="22"/>
        </w:rPr>
        <w:t>omandamise tulemusel teenuseosutaja juhtorganite liikmeks saaval isikul</w:t>
      </w:r>
      <w:r w:rsidRPr="005A55CA">
        <w:rPr>
          <w:sz w:val="22"/>
          <w:szCs w:val="22"/>
        </w:rPr>
        <w:t xml:space="preserve"> ei oleks kehtivaid karistusandmeid. Nende puudumise kinnitamiseks tuleb Finantsinspektsioonile esitada vastav tõend</w:t>
      </w:r>
      <w:r>
        <w:rPr>
          <w:sz w:val="22"/>
          <w:szCs w:val="22"/>
        </w:rPr>
        <w:t xml:space="preserve"> (</w:t>
      </w:r>
      <w:r w:rsidRPr="00C72408">
        <w:rPr>
          <w:b/>
          <w:bCs/>
          <w:sz w:val="22"/>
          <w:szCs w:val="22"/>
        </w:rPr>
        <w:t>punkt 8</w:t>
      </w:r>
      <w:r>
        <w:rPr>
          <w:sz w:val="22"/>
          <w:szCs w:val="22"/>
        </w:rPr>
        <w:t>)</w:t>
      </w:r>
      <w:r w:rsidRPr="005A55CA">
        <w:rPr>
          <w:sz w:val="22"/>
          <w:szCs w:val="22"/>
        </w:rPr>
        <w:t>. Nimelt ei saa kehtivate seaduste kohaselt finantsasutuse juhtorgani liikmeks olla isik, keda on karistatud majandusalase, ametialase, varavastase või avaliku usalduse vastase süüteo eest ja kelle karistusandmed ei ole karistusregistri seaduse kohaselt karistusregistrist kustutatud.</w:t>
      </w:r>
      <w:r>
        <w:rPr>
          <w:sz w:val="22"/>
          <w:szCs w:val="22"/>
        </w:rPr>
        <w:t xml:space="preserve"> </w:t>
      </w:r>
      <w:r w:rsidRPr="00C72408">
        <w:rPr>
          <w:sz w:val="22"/>
          <w:szCs w:val="22"/>
        </w:rPr>
        <w:t>Kinnitada tule</w:t>
      </w:r>
      <w:r>
        <w:rPr>
          <w:sz w:val="22"/>
          <w:szCs w:val="22"/>
        </w:rPr>
        <w:t>b</w:t>
      </w:r>
      <w:r w:rsidRPr="00C72408">
        <w:rPr>
          <w:sz w:val="22"/>
          <w:szCs w:val="22"/>
        </w:rPr>
        <w:t xml:space="preserve"> ka, et  olulise osaluse omandaj</w:t>
      </w:r>
      <w:r>
        <w:rPr>
          <w:sz w:val="22"/>
          <w:szCs w:val="22"/>
        </w:rPr>
        <w:t>a</w:t>
      </w:r>
      <w:r w:rsidRPr="00C72408">
        <w:rPr>
          <w:sz w:val="22"/>
          <w:szCs w:val="22"/>
        </w:rPr>
        <w:t xml:space="preserve"> või tema juhtorganite liikmete suhtes ei ole kehtestatud rahvusvahelisi sanktsioone (</w:t>
      </w:r>
      <w:r w:rsidRPr="00C72408">
        <w:rPr>
          <w:b/>
          <w:bCs/>
          <w:sz w:val="22"/>
          <w:szCs w:val="22"/>
        </w:rPr>
        <w:t>punkt 9</w:t>
      </w:r>
      <w:r w:rsidRPr="00C72408">
        <w:rPr>
          <w:sz w:val="22"/>
          <w:szCs w:val="22"/>
        </w:rPr>
        <w:t>).</w:t>
      </w:r>
      <w:r w:rsidRPr="005A55CA">
        <w:rPr>
          <w:sz w:val="22"/>
          <w:szCs w:val="22"/>
        </w:rPr>
        <w:t xml:space="preserve"> </w:t>
      </w:r>
      <w:r w:rsidRPr="00DD0EF1">
        <w:rPr>
          <w:b/>
          <w:sz w:val="22"/>
          <w:szCs w:val="22"/>
        </w:rPr>
        <w:t xml:space="preserve">Punkti </w:t>
      </w:r>
      <w:r>
        <w:rPr>
          <w:b/>
          <w:sz w:val="22"/>
          <w:szCs w:val="22"/>
        </w:rPr>
        <w:t>10</w:t>
      </w:r>
      <w:r w:rsidRPr="005A55CA">
        <w:rPr>
          <w:sz w:val="22"/>
          <w:szCs w:val="22"/>
        </w:rPr>
        <w:t xml:space="preserve"> puhul tuleb esitada kirjeldus oma senise tegevuse kohta ettevõtluses. </w:t>
      </w:r>
      <w:r w:rsidRPr="00DD0EF1">
        <w:rPr>
          <w:b/>
          <w:sz w:val="22"/>
          <w:szCs w:val="22"/>
        </w:rPr>
        <w:t xml:space="preserve">Punkt </w:t>
      </w:r>
      <w:r>
        <w:rPr>
          <w:b/>
          <w:sz w:val="22"/>
          <w:szCs w:val="22"/>
        </w:rPr>
        <w:t>11</w:t>
      </w:r>
      <w:r w:rsidRPr="00DD0EF1">
        <w:rPr>
          <w:b/>
          <w:sz w:val="22"/>
          <w:szCs w:val="22"/>
        </w:rPr>
        <w:t xml:space="preserve"> </w:t>
      </w:r>
      <w:r w:rsidRPr="005A55CA">
        <w:rPr>
          <w:sz w:val="22"/>
          <w:szCs w:val="22"/>
        </w:rPr>
        <w:t xml:space="preserve">näeb aga ette juhtorgani liikmeks saava isiku kinnituse oma usaldusväärsuse kohta ehk selle, et on enda kohta esitanud ainult tõeseid andmeid ning ei esine asjaolusid, millised välistaksid tema õiguse olla teenuseosutaja juhtorgani liige. </w:t>
      </w:r>
      <w:r w:rsidRPr="00DD0EF1">
        <w:rPr>
          <w:b/>
          <w:sz w:val="22"/>
          <w:szCs w:val="22"/>
        </w:rPr>
        <w:t xml:space="preserve">Punktist </w:t>
      </w:r>
      <w:r>
        <w:rPr>
          <w:b/>
          <w:sz w:val="22"/>
          <w:szCs w:val="22"/>
        </w:rPr>
        <w:t>12</w:t>
      </w:r>
      <w:r w:rsidRPr="005A55CA">
        <w:rPr>
          <w:sz w:val="22"/>
          <w:szCs w:val="22"/>
        </w:rPr>
        <w:t xml:space="preserve"> leiab ka kohustuse </w:t>
      </w:r>
      <w:r>
        <w:rPr>
          <w:sz w:val="22"/>
          <w:szCs w:val="22"/>
        </w:rPr>
        <w:t xml:space="preserve">esitada juriidilisest isikust omandaja puhul tema kolme viimase majandusaasta aruanded, kui on olemas vastavas ulatuses tegevusajalugu. Eeltoodu tähendab, et kui omandajal on seadusest tulenev kohustus esitada majandusaasta aruandeid, kuid ta ei ole seda teinud, siis see ei vabasta </w:t>
      </w:r>
      <w:proofErr w:type="spellStart"/>
      <w:r>
        <w:rPr>
          <w:sz w:val="22"/>
          <w:szCs w:val="22"/>
        </w:rPr>
        <w:t>omandajat</w:t>
      </w:r>
      <w:proofErr w:type="spellEnd"/>
      <w:r>
        <w:rPr>
          <w:sz w:val="22"/>
          <w:szCs w:val="22"/>
        </w:rPr>
        <w:t xml:space="preserve"> majandusaasta aruannete esitamist Finantsinspektsioonile. Majandusaasta aruannetele lisaks </w:t>
      </w:r>
      <w:r>
        <w:rPr>
          <w:sz w:val="22"/>
          <w:szCs w:val="22"/>
        </w:rPr>
        <w:lastRenderedPageBreak/>
        <w:t xml:space="preserve">esitatakse ka </w:t>
      </w:r>
      <w:r w:rsidRPr="005A55CA">
        <w:rPr>
          <w:sz w:val="22"/>
          <w:szCs w:val="22"/>
        </w:rPr>
        <w:t xml:space="preserve">audiitori järeldusotsus, kui see on õigusaktiga ette nähtud. See peaks peegeldama võimalikku olukorda, kui rahvusvahelisel tasandil kehtestatakse täiendavaid nõudeid finantsaruandlusele ning sellisel puhul täienevad seaduse sätted selliste kohustuste võrra. </w:t>
      </w:r>
      <w:r w:rsidRPr="00DD0EF1">
        <w:rPr>
          <w:b/>
          <w:sz w:val="22"/>
          <w:szCs w:val="22"/>
        </w:rPr>
        <w:t>Punkti 1</w:t>
      </w:r>
      <w:r>
        <w:rPr>
          <w:b/>
          <w:sz w:val="22"/>
          <w:szCs w:val="22"/>
        </w:rPr>
        <w:t>3</w:t>
      </w:r>
      <w:r>
        <w:rPr>
          <w:sz w:val="22"/>
          <w:szCs w:val="22"/>
        </w:rPr>
        <w:t xml:space="preserve"> korral esitatakse</w:t>
      </w:r>
      <w:r w:rsidRPr="00380B05">
        <w:rPr>
          <w:sz w:val="22"/>
          <w:szCs w:val="22"/>
        </w:rPr>
        <w:t xml:space="preserve"> võimaluse korral füüsilisest isikust omandaja ning temaga seotud äriühingute finantsseisundi hindamiseks vajalikud reitingud ning avalikkusele mõeldud aruanded, juriidilisest isikust omandaja puhul </w:t>
      </w:r>
      <w:r>
        <w:rPr>
          <w:sz w:val="22"/>
          <w:szCs w:val="22"/>
        </w:rPr>
        <w:t xml:space="preserve">ning asjakohasel juhul </w:t>
      </w:r>
      <w:r w:rsidRPr="00380B05">
        <w:rPr>
          <w:sz w:val="22"/>
          <w:szCs w:val="22"/>
        </w:rPr>
        <w:t>tema ning konsolideerimisgrupi suhte</w:t>
      </w:r>
      <w:r>
        <w:rPr>
          <w:sz w:val="22"/>
          <w:szCs w:val="22"/>
        </w:rPr>
        <w:t>s väljastatud krediidireitingud.</w:t>
      </w:r>
      <w:r w:rsidRPr="00380B05">
        <w:rPr>
          <w:sz w:val="22"/>
          <w:szCs w:val="22"/>
        </w:rPr>
        <w:br/>
      </w:r>
      <w:r w:rsidRPr="00DD0EF1">
        <w:rPr>
          <w:b/>
          <w:sz w:val="22"/>
          <w:szCs w:val="22"/>
        </w:rPr>
        <w:t>Punkt 1</w:t>
      </w:r>
      <w:r>
        <w:rPr>
          <w:b/>
          <w:sz w:val="22"/>
          <w:szCs w:val="22"/>
        </w:rPr>
        <w:t>4</w:t>
      </w:r>
      <w:r>
        <w:rPr>
          <w:sz w:val="22"/>
          <w:szCs w:val="22"/>
        </w:rPr>
        <w:t xml:space="preserve"> sätestab</w:t>
      </w:r>
      <w:r w:rsidRPr="00380B05">
        <w:rPr>
          <w:sz w:val="22"/>
          <w:szCs w:val="22"/>
        </w:rPr>
        <w:t> konsolideerimisgruppi kuuluva omandaja puhul konsolide</w:t>
      </w:r>
      <w:r>
        <w:rPr>
          <w:sz w:val="22"/>
          <w:szCs w:val="22"/>
        </w:rPr>
        <w:t>erimisgrupi struktuuri kirjelduse esitamise kohustuse</w:t>
      </w:r>
      <w:r w:rsidRPr="00380B05">
        <w:rPr>
          <w:sz w:val="22"/>
          <w:szCs w:val="22"/>
        </w:rPr>
        <w:t xml:space="preserve"> koos andmetega sinna kuuluvate äriühingute osaluse suuruse kohta ja konsolideerimisgrupi kolme viimase majandusaasta aruand</w:t>
      </w:r>
      <w:r>
        <w:rPr>
          <w:sz w:val="22"/>
          <w:szCs w:val="22"/>
        </w:rPr>
        <w:t>ed ning vandeaudiitori aruanded.</w:t>
      </w:r>
    </w:p>
    <w:p w14:paraId="1AF2D9EA" w14:textId="77777777" w:rsidR="00356262" w:rsidRPr="00380B05" w:rsidRDefault="00356262" w:rsidP="00356262">
      <w:pPr>
        <w:spacing w:before="0"/>
        <w:ind w:right="-62"/>
        <w:rPr>
          <w:sz w:val="22"/>
          <w:szCs w:val="22"/>
        </w:rPr>
      </w:pPr>
      <w:r>
        <w:rPr>
          <w:sz w:val="22"/>
          <w:szCs w:val="22"/>
        </w:rPr>
        <w:t>Lisaks esitatakse</w:t>
      </w:r>
      <w:r w:rsidRPr="00380B05">
        <w:rPr>
          <w:sz w:val="22"/>
          <w:szCs w:val="22"/>
        </w:rPr>
        <w:t> füüsilisest isikust omandaja varanduslikku seisu tõendavad dokum</w:t>
      </w:r>
      <w:r>
        <w:rPr>
          <w:sz w:val="22"/>
          <w:szCs w:val="22"/>
        </w:rPr>
        <w:t>endid kolme viimase aasta kohta (</w:t>
      </w:r>
      <w:r w:rsidRPr="00DD0EF1">
        <w:rPr>
          <w:b/>
          <w:sz w:val="22"/>
          <w:szCs w:val="22"/>
        </w:rPr>
        <w:t>punkt 1</w:t>
      </w:r>
      <w:r>
        <w:rPr>
          <w:b/>
          <w:sz w:val="22"/>
          <w:szCs w:val="22"/>
        </w:rPr>
        <w:t>5</w:t>
      </w:r>
      <w:r>
        <w:rPr>
          <w:sz w:val="22"/>
          <w:szCs w:val="22"/>
        </w:rPr>
        <w:t xml:space="preserve">), </w:t>
      </w:r>
      <w:r w:rsidRPr="00380B05">
        <w:rPr>
          <w:sz w:val="22"/>
          <w:szCs w:val="22"/>
        </w:rPr>
        <w:t>andmed ja dokumendid nende rahaliste ja mitterahaliste vahendite päritolu kohta, mille eest kavatsetakse oluline osalus omandada või seda suurendada või kontroll saavutada</w:t>
      </w:r>
      <w:r>
        <w:rPr>
          <w:sz w:val="22"/>
          <w:szCs w:val="22"/>
        </w:rPr>
        <w:t xml:space="preserve"> (</w:t>
      </w:r>
      <w:r w:rsidRPr="00DD0EF1">
        <w:rPr>
          <w:b/>
          <w:sz w:val="22"/>
          <w:szCs w:val="22"/>
        </w:rPr>
        <w:t>punkt 1</w:t>
      </w:r>
      <w:r>
        <w:rPr>
          <w:b/>
          <w:sz w:val="22"/>
          <w:szCs w:val="22"/>
        </w:rPr>
        <w:t>6</w:t>
      </w:r>
      <w:r>
        <w:rPr>
          <w:sz w:val="22"/>
          <w:szCs w:val="22"/>
        </w:rPr>
        <w:t xml:space="preserve">), </w:t>
      </w:r>
      <w:r w:rsidRPr="00380B05">
        <w:rPr>
          <w:sz w:val="22"/>
          <w:szCs w:val="22"/>
        </w:rPr>
        <w:t>osaluse omandamisega seotud asjaolud vastavalt väärtpaberituru seaduse §-dele 9, 10 ja 72</w:t>
      </w:r>
      <w:r w:rsidRPr="00380B05">
        <w:rPr>
          <w:sz w:val="22"/>
          <w:szCs w:val="22"/>
          <w:vertAlign w:val="superscript"/>
        </w:rPr>
        <w:t>1</w:t>
      </w:r>
      <w:r>
        <w:rPr>
          <w:sz w:val="22"/>
          <w:szCs w:val="22"/>
          <w:vertAlign w:val="superscript"/>
        </w:rPr>
        <w:t xml:space="preserve"> </w:t>
      </w:r>
      <w:r>
        <w:rPr>
          <w:sz w:val="22"/>
          <w:szCs w:val="22"/>
        </w:rPr>
        <w:t>(</w:t>
      </w:r>
      <w:r>
        <w:rPr>
          <w:b/>
          <w:sz w:val="22"/>
          <w:szCs w:val="22"/>
        </w:rPr>
        <w:t>punkt 17</w:t>
      </w:r>
      <w:r>
        <w:rPr>
          <w:sz w:val="22"/>
          <w:szCs w:val="22"/>
        </w:rPr>
        <w:t xml:space="preserve">), </w:t>
      </w:r>
      <w:r w:rsidRPr="00380B05">
        <w:rPr>
          <w:sz w:val="22"/>
          <w:szCs w:val="22"/>
        </w:rPr>
        <w:t>pärast osaluse omandamist omatava olulise osaluse suurus ja selle omamisega seotud asjaolud vastavalt väärtpaberituru seaduse §-dele 9, 10 ja 72</w:t>
      </w:r>
      <w:r w:rsidRPr="00380B05">
        <w:rPr>
          <w:sz w:val="22"/>
          <w:szCs w:val="22"/>
          <w:vertAlign w:val="superscript"/>
        </w:rPr>
        <w:t>1</w:t>
      </w:r>
      <w:r>
        <w:rPr>
          <w:sz w:val="22"/>
          <w:szCs w:val="22"/>
          <w:vertAlign w:val="superscript"/>
        </w:rPr>
        <w:t xml:space="preserve"> </w:t>
      </w:r>
      <w:r>
        <w:rPr>
          <w:sz w:val="22"/>
          <w:szCs w:val="22"/>
        </w:rPr>
        <w:t>(</w:t>
      </w:r>
      <w:r>
        <w:rPr>
          <w:b/>
          <w:sz w:val="22"/>
          <w:szCs w:val="22"/>
        </w:rPr>
        <w:t>punkt 18</w:t>
      </w:r>
      <w:r>
        <w:rPr>
          <w:sz w:val="22"/>
          <w:szCs w:val="22"/>
        </w:rPr>
        <w:t xml:space="preserve">), </w:t>
      </w:r>
      <w:r w:rsidRPr="00380B05">
        <w:rPr>
          <w:sz w:val="22"/>
          <w:szCs w:val="22"/>
        </w:rPr>
        <w:t>teenuseosutajat kontrollivaks äriühinguks muutumise korral äriplaan ning muud kontrolli teostamisega ja saamisega seotud asjaolud</w:t>
      </w:r>
      <w:r>
        <w:rPr>
          <w:sz w:val="22"/>
          <w:szCs w:val="22"/>
        </w:rPr>
        <w:t xml:space="preserve"> (</w:t>
      </w:r>
      <w:r>
        <w:rPr>
          <w:b/>
          <w:sz w:val="22"/>
          <w:szCs w:val="22"/>
        </w:rPr>
        <w:t>punkt 19</w:t>
      </w:r>
      <w:r>
        <w:rPr>
          <w:sz w:val="22"/>
          <w:szCs w:val="22"/>
        </w:rPr>
        <w:t xml:space="preserve">) ning </w:t>
      </w:r>
      <w:r w:rsidRPr="00380B05">
        <w:rPr>
          <w:sz w:val="22"/>
          <w:szCs w:val="22"/>
        </w:rPr>
        <w:t xml:space="preserve">ülevaade teenuseosutajas seoses osaluse omandamisega rakendatavast strateegiast, kui teenuseosutaja </w:t>
      </w:r>
      <w:r>
        <w:rPr>
          <w:sz w:val="22"/>
          <w:szCs w:val="22"/>
        </w:rPr>
        <w:t xml:space="preserve">ei muutu </w:t>
      </w:r>
      <w:r w:rsidRPr="00380B05">
        <w:rPr>
          <w:sz w:val="22"/>
          <w:szCs w:val="22"/>
        </w:rPr>
        <w:t>omandamise tulemusel kontrollitavaks äriühinguks</w:t>
      </w:r>
      <w:r>
        <w:rPr>
          <w:sz w:val="22"/>
          <w:szCs w:val="22"/>
        </w:rPr>
        <w:t xml:space="preserve"> (</w:t>
      </w:r>
      <w:r>
        <w:rPr>
          <w:b/>
          <w:sz w:val="22"/>
          <w:szCs w:val="22"/>
        </w:rPr>
        <w:t>punkt 20</w:t>
      </w:r>
      <w:r>
        <w:rPr>
          <w:sz w:val="22"/>
          <w:szCs w:val="22"/>
        </w:rPr>
        <w:t>)</w:t>
      </w:r>
      <w:r w:rsidRPr="00380B05">
        <w:rPr>
          <w:sz w:val="22"/>
          <w:szCs w:val="22"/>
        </w:rPr>
        <w:t>.</w:t>
      </w:r>
    </w:p>
    <w:p w14:paraId="719E9EE0" w14:textId="77777777" w:rsidR="00356262" w:rsidRPr="005A55CA" w:rsidRDefault="00356262" w:rsidP="00356262">
      <w:pPr>
        <w:spacing w:before="0"/>
        <w:ind w:right="-62"/>
        <w:rPr>
          <w:sz w:val="22"/>
          <w:szCs w:val="22"/>
        </w:rPr>
      </w:pPr>
    </w:p>
    <w:p w14:paraId="6D41F268" w14:textId="77777777" w:rsidR="00356262" w:rsidRPr="005A55CA" w:rsidRDefault="00356262" w:rsidP="00356262">
      <w:pPr>
        <w:spacing w:before="0"/>
        <w:ind w:right="-62"/>
        <w:rPr>
          <w:sz w:val="22"/>
          <w:szCs w:val="22"/>
        </w:rPr>
      </w:pPr>
      <w:r w:rsidRPr="005A55CA">
        <w:rPr>
          <w:b/>
          <w:sz w:val="22"/>
          <w:szCs w:val="22"/>
        </w:rPr>
        <w:t>Lõige 2</w:t>
      </w:r>
      <w:r w:rsidRPr="005A55CA">
        <w:rPr>
          <w:sz w:val="22"/>
          <w:szCs w:val="22"/>
        </w:rPr>
        <w:t xml:space="preserve"> täpsustab lõike </w:t>
      </w:r>
      <w:r>
        <w:rPr>
          <w:sz w:val="22"/>
          <w:szCs w:val="22"/>
        </w:rPr>
        <w:t xml:space="preserve">1 </w:t>
      </w:r>
      <w:r w:rsidRPr="005A55CA">
        <w:rPr>
          <w:sz w:val="22"/>
          <w:szCs w:val="22"/>
        </w:rPr>
        <w:t xml:space="preserve">punkti </w:t>
      </w:r>
      <w:r>
        <w:rPr>
          <w:sz w:val="22"/>
          <w:szCs w:val="22"/>
        </w:rPr>
        <w:t xml:space="preserve">7 ja selle </w:t>
      </w:r>
      <w:r w:rsidRPr="005A55CA">
        <w:rPr>
          <w:sz w:val="22"/>
          <w:szCs w:val="22"/>
        </w:rPr>
        <w:t xml:space="preserve">kohaselt tuleb </w:t>
      </w:r>
      <w:r>
        <w:rPr>
          <w:sz w:val="22"/>
          <w:szCs w:val="22"/>
        </w:rPr>
        <w:t xml:space="preserve">viidatud </w:t>
      </w:r>
      <w:r w:rsidRPr="005A55CA">
        <w:rPr>
          <w:sz w:val="22"/>
          <w:szCs w:val="22"/>
        </w:rPr>
        <w:t xml:space="preserve">punktis nimetatud kinnituse asemel esitada välisriigi kodaniku päritoluriigi karistusregistri tõend või pädeva kohtu- või haldusorgani väljastatud samaväärne dokument, mille väljastamisest ei ole möödunud rohkem kui kolm kuud. Nimetatud lähenemine ühtib teiste finantsjärelevalvesubjektide kohta käivate normidega kui ka </w:t>
      </w:r>
      <w:proofErr w:type="spellStart"/>
      <w:r w:rsidRPr="005A55CA">
        <w:rPr>
          <w:sz w:val="22"/>
          <w:szCs w:val="22"/>
        </w:rPr>
        <w:t>RahaPTS-is</w:t>
      </w:r>
      <w:proofErr w:type="spellEnd"/>
      <w:r w:rsidRPr="005A55CA">
        <w:rPr>
          <w:sz w:val="22"/>
          <w:szCs w:val="22"/>
        </w:rPr>
        <w:t xml:space="preserve"> sätestatuga. </w:t>
      </w:r>
    </w:p>
    <w:p w14:paraId="15FD6384" w14:textId="77777777" w:rsidR="00356262" w:rsidRPr="005A55CA" w:rsidRDefault="00356262" w:rsidP="00356262">
      <w:pPr>
        <w:spacing w:before="0"/>
        <w:ind w:right="-62"/>
        <w:rPr>
          <w:sz w:val="22"/>
          <w:szCs w:val="22"/>
        </w:rPr>
      </w:pPr>
    </w:p>
    <w:p w14:paraId="34DF6970" w14:textId="77777777" w:rsidR="00356262" w:rsidRPr="005A55CA" w:rsidRDefault="00356262" w:rsidP="00356262">
      <w:pPr>
        <w:spacing w:before="0"/>
        <w:ind w:right="-62"/>
        <w:rPr>
          <w:sz w:val="22"/>
          <w:szCs w:val="22"/>
        </w:rPr>
      </w:pPr>
      <w:r w:rsidRPr="005A55CA">
        <w:rPr>
          <w:sz w:val="22"/>
          <w:szCs w:val="22"/>
        </w:rPr>
        <w:t>Ku</w:t>
      </w:r>
      <w:r>
        <w:rPr>
          <w:sz w:val="22"/>
          <w:szCs w:val="22"/>
        </w:rPr>
        <w:t>igi</w:t>
      </w:r>
      <w:r w:rsidRPr="005A55CA">
        <w:rPr>
          <w:sz w:val="22"/>
          <w:szCs w:val="22"/>
        </w:rPr>
        <w:t xml:space="preserve"> kehtivates seadustes pole reguleeritud, mis keeles tuleb Finantsinspektsioonile andmed ja dokumendid esitada, on täpsustatud, et andmed ja dokumendid esitatakse Finantsinspektsioonile eesti keeles või muus keeles (</w:t>
      </w:r>
      <w:r w:rsidRPr="005A55CA">
        <w:rPr>
          <w:b/>
          <w:sz w:val="22"/>
          <w:szCs w:val="22"/>
        </w:rPr>
        <w:t xml:space="preserve">lõige </w:t>
      </w:r>
      <w:r>
        <w:rPr>
          <w:b/>
          <w:sz w:val="22"/>
          <w:szCs w:val="22"/>
        </w:rPr>
        <w:t>3</w:t>
      </w:r>
      <w:r w:rsidRPr="005A55CA">
        <w:rPr>
          <w:sz w:val="22"/>
          <w:szCs w:val="22"/>
        </w:rPr>
        <w:t>).</w:t>
      </w:r>
      <w:r>
        <w:rPr>
          <w:sz w:val="22"/>
          <w:szCs w:val="22"/>
        </w:rPr>
        <w:t xml:space="preserve"> </w:t>
      </w:r>
    </w:p>
    <w:p w14:paraId="79DCC726" w14:textId="77777777" w:rsidR="00356262" w:rsidRPr="005A55CA" w:rsidRDefault="00356262" w:rsidP="00356262">
      <w:pPr>
        <w:spacing w:before="0"/>
        <w:ind w:right="-62"/>
        <w:rPr>
          <w:sz w:val="22"/>
          <w:szCs w:val="22"/>
        </w:rPr>
      </w:pPr>
    </w:p>
    <w:p w14:paraId="25D0F85D" w14:textId="77777777" w:rsidR="00356262" w:rsidRPr="005A55CA" w:rsidRDefault="00356262" w:rsidP="00356262">
      <w:pPr>
        <w:spacing w:before="0"/>
        <w:ind w:right="-62"/>
        <w:rPr>
          <w:sz w:val="22"/>
          <w:szCs w:val="22"/>
        </w:rPr>
      </w:pPr>
      <w:r w:rsidRPr="005A55CA">
        <w:rPr>
          <w:b/>
          <w:sz w:val="22"/>
          <w:szCs w:val="22"/>
        </w:rPr>
        <w:t xml:space="preserve">Lõikes </w:t>
      </w:r>
      <w:r>
        <w:rPr>
          <w:b/>
          <w:sz w:val="22"/>
          <w:szCs w:val="22"/>
        </w:rPr>
        <w:t>4</w:t>
      </w:r>
      <w:r w:rsidRPr="005A55CA">
        <w:rPr>
          <w:sz w:val="22"/>
          <w:szCs w:val="22"/>
        </w:rPr>
        <w:t xml:space="preserve"> täpsustatakse, et juhul kui Finantsinspektsioon soovib omandajalt saada andmete ja dokumentide täpsustamiseks ja kontrollimiseks lisaandmeid, peab ta selleks esitama kirjaliku taotluse, milles on selgitatud, millist täiendavat teavet hindamise lõpuleviimiseks omandajalt soovitakse.</w:t>
      </w:r>
    </w:p>
    <w:p w14:paraId="5CD4CF7D" w14:textId="77777777" w:rsidR="00356262" w:rsidRDefault="00356262" w:rsidP="00356262">
      <w:pPr>
        <w:spacing w:before="0"/>
        <w:ind w:right="-64"/>
        <w:rPr>
          <w:sz w:val="22"/>
          <w:szCs w:val="22"/>
        </w:rPr>
      </w:pPr>
    </w:p>
    <w:p w14:paraId="6B28E817" w14:textId="77777777" w:rsidR="00356262" w:rsidRDefault="00356262" w:rsidP="00356262">
      <w:pPr>
        <w:spacing w:before="0"/>
        <w:ind w:right="-64"/>
        <w:rPr>
          <w:sz w:val="22"/>
          <w:szCs w:val="22"/>
        </w:rPr>
      </w:pPr>
      <w:r w:rsidRPr="005A55CA">
        <w:rPr>
          <w:sz w:val="22"/>
          <w:szCs w:val="22"/>
        </w:rPr>
        <w:t xml:space="preserve">Paragrahvi </w:t>
      </w:r>
      <w:r w:rsidRPr="005A55CA">
        <w:rPr>
          <w:b/>
          <w:sz w:val="22"/>
          <w:szCs w:val="22"/>
        </w:rPr>
        <w:t xml:space="preserve">lõikes </w:t>
      </w:r>
      <w:r>
        <w:rPr>
          <w:b/>
          <w:sz w:val="22"/>
          <w:szCs w:val="22"/>
        </w:rPr>
        <w:t>5</w:t>
      </w:r>
      <w:r w:rsidRPr="005A55CA">
        <w:rPr>
          <w:sz w:val="22"/>
          <w:szCs w:val="22"/>
        </w:rPr>
        <w:t xml:space="preserve"> sätestatakse ka volitusnorm valdkonna eest vastutavale ministrile, mille alusel saab </w:t>
      </w:r>
      <w:r>
        <w:rPr>
          <w:sz w:val="22"/>
          <w:szCs w:val="22"/>
        </w:rPr>
        <w:t xml:space="preserve">vajadusel </w:t>
      </w:r>
      <w:r w:rsidRPr="005A55CA">
        <w:rPr>
          <w:sz w:val="22"/>
          <w:szCs w:val="22"/>
        </w:rPr>
        <w:t xml:space="preserve">kehtestada täpsustavaid nõudeid, milliseid andmeid </w:t>
      </w:r>
      <w:r>
        <w:rPr>
          <w:sz w:val="22"/>
          <w:szCs w:val="22"/>
        </w:rPr>
        <w:t xml:space="preserve">tuleb </w:t>
      </w:r>
      <w:r w:rsidRPr="005A55CA">
        <w:rPr>
          <w:sz w:val="22"/>
          <w:szCs w:val="22"/>
        </w:rPr>
        <w:t>Finantsinspektsioonile</w:t>
      </w:r>
      <w:r>
        <w:rPr>
          <w:sz w:val="22"/>
          <w:szCs w:val="22"/>
        </w:rPr>
        <w:t xml:space="preserve"> esitada.</w:t>
      </w:r>
    </w:p>
    <w:p w14:paraId="1B5CB9F6" w14:textId="77777777" w:rsidR="00356262" w:rsidRPr="005A55CA" w:rsidRDefault="00356262" w:rsidP="00356262">
      <w:pPr>
        <w:spacing w:before="0"/>
        <w:ind w:right="-64"/>
        <w:rPr>
          <w:sz w:val="22"/>
          <w:szCs w:val="22"/>
        </w:rPr>
      </w:pPr>
    </w:p>
    <w:p w14:paraId="4F56D2BB" w14:textId="77777777" w:rsidR="00356262" w:rsidRPr="005A55CA" w:rsidRDefault="00356262" w:rsidP="00356262">
      <w:pPr>
        <w:spacing w:before="0"/>
        <w:ind w:right="-62"/>
        <w:rPr>
          <w:sz w:val="22"/>
          <w:szCs w:val="22"/>
        </w:rPr>
      </w:pPr>
      <w:r w:rsidRPr="005A55CA">
        <w:rPr>
          <w:b/>
          <w:bCs/>
          <w:sz w:val="22"/>
          <w:szCs w:val="22"/>
        </w:rPr>
        <w:t xml:space="preserve">Paragrahvis </w:t>
      </w:r>
      <w:r>
        <w:rPr>
          <w:b/>
          <w:bCs/>
          <w:sz w:val="22"/>
          <w:szCs w:val="22"/>
        </w:rPr>
        <w:t>21</w:t>
      </w:r>
      <w:r w:rsidRPr="005A55CA">
        <w:rPr>
          <w:sz w:val="22"/>
          <w:szCs w:val="22"/>
        </w:rPr>
        <w:t xml:space="preserve"> sätestatakse olulise osaluse hindamise protseduur, menetluse tähtajad ja koostöö finantsjärelevalve asutuste vahel. </w:t>
      </w:r>
      <w:r w:rsidRPr="005A55CA">
        <w:rPr>
          <w:b/>
          <w:sz w:val="22"/>
          <w:szCs w:val="22"/>
        </w:rPr>
        <w:t>Lõike 1</w:t>
      </w:r>
      <w:r w:rsidRPr="005A55CA">
        <w:rPr>
          <w:sz w:val="22"/>
          <w:szCs w:val="22"/>
        </w:rPr>
        <w:t xml:space="preserve"> kohaselt on Finantsinspektsioonil hindamise teostamiseks aega 60 tööpäeva ning seda alates hetkest, mil ta edastab omandajale kirjaliku kinnituse selle kohta, et on olulise osaluse omandamissoovi kohta teate ja hindamiseks vajalikud andmed ja dokumendid omandajalt kätte saanud. Seejärel hindab Finantsinspektsioon menetlustähtaja jooksul omandaja vastavust käesoleva seaduse §-s 18 esitatud nõuetele ning otsustab osaluse omandamise keelamise või lubamise nimetatud aja jooksul.</w:t>
      </w:r>
    </w:p>
    <w:p w14:paraId="50DF2AE5" w14:textId="77777777" w:rsidR="00356262" w:rsidRPr="005A55CA" w:rsidRDefault="00356262" w:rsidP="00356262">
      <w:pPr>
        <w:spacing w:before="0"/>
        <w:ind w:right="-62"/>
        <w:rPr>
          <w:sz w:val="22"/>
          <w:szCs w:val="22"/>
        </w:rPr>
      </w:pPr>
    </w:p>
    <w:p w14:paraId="1C7D80AA" w14:textId="77777777" w:rsidR="00356262" w:rsidRPr="005A55CA" w:rsidRDefault="00356262" w:rsidP="00356262">
      <w:pPr>
        <w:spacing w:before="0"/>
        <w:ind w:right="-62"/>
        <w:rPr>
          <w:sz w:val="22"/>
          <w:szCs w:val="22"/>
        </w:rPr>
      </w:pPr>
      <w:r w:rsidRPr="005A55CA">
        <w:rPr>
          <w:sz w:val="22"/>
          <w:szCs w:val="22"/>
        </w:rPr>
        <w:t>Vajaduse korral võib Finantsinspektsioon menetlusaja jooksul, kuid mitte pärast viiekümnendat tööpäeva, nõuda lisateavet</w:t>
      </w:r>
      <w:r>
        <w:rPr>
          <w:sz w:val="22"/>
          <w:szCs w:val="22"/>
        </w:rPr>
        <w:t xml:space="preserve"> (</w:t>
      </w:r>
      <w:r w:rsidRPr="00DD0EF1">
        <w:rPr>
          <w:b/>
          <w:sz w:val="22"/>
          <w:szCs w:val="22"/>
        </w:rPr>
        <w:t>lõige 2</w:t>
      </w:r>
      <w:r>
        <w:rPr>
          <w:sz w:val="22"/>
          <w:szCs w:val="22"/>
        </w:rPr>
        <w:t>)</w:t>
      </w:r>
      <w:r w:rsidRPr="005A55CA">
        <w:rPr>
          <w:sz w:val="22"/>
          <w:szCs w:val="22"/>
        </w:rPr>
        <w:t xml:space="preserve">. Omandajale saadetakse kirjalik teade ning selles täpsustatakse, millist täiendavat teavet on hindamiseks vaja. Teabepäringu ja sellele kavandavalt omandajalt vastuse saamise vaheliseks perioodiks menetlustähtaeg peatub, kuid see peatumine ei tohi kesta kauem kui 20 tööpäeva. Edaspidised täiendavat või selgitavat teavet nõudvad teabepäringud on Finantsinspektsiooni kasutada tema äranägemisel, kuid nende tulemusel ei tohi menetlustähtaeg enam peatuda. </w:t>
      </w:r>
    </w:p>
    <w:p w14:paraId="15BDBBB3" w14:textId="77777777" w:rsidR="00356262" w:rsidRPr="005A55CA" w:rsidRDefault="00356262" w:rsidP="00356262">
      <w:pPr>
        <w:spacing w:before="0"/>
        <w:ind w:right="-62"/>
        <w:rPr>
          <w:sz w:val="22"/>
          <w:szCs w:val="22"/>
        </w:rPr>
      </w:pPr>
    </w:p>
    <w:p w14:paraId="2AD66F83" w14:textId="77777777" w:rsidR="00356262" w:rsidRPr="005A55CA" w:rsidRDefault="00356262" w:rsidP="00356262">
      <w:pPr>
        <w:spacing w:before="0"/>
        <w:ind w:right="-62"/>
        <w:rPr>
          <w:sz w:val="22"/>
          <w:szCs w:val="22"/>
        </w:rPr>
      </w:pPr>
      <w:r w:rsidRPr="005A55CA">
        <w:rPr>
          <w:sz w:val="22"/>
          <w:szCs w:val="22"/>
        </w:rPr>
        <w:t>Hindamisa</w:t>
      </w:r>
      <w:r>
        <w:rPr>
          <w:sz w:val="22"/>
          <w:szCs w:val="22"/>
        </w:rPr>
        <w:t>ja peatamist</w:t>
      </w:r>
      <w:r w:rsidRPr="005A55CA">
        <w:rPr>
          <w:sz w:val="22"/>
          <w:szCs w:val="22"/>
        </w:rPr>
        <w:t xml:space="preserve"> võib pikendada kuni 30 tööpäevani, kui omandaja üle ei teostata finantsjärelevalvet või kui omandaja üle teostab järelevalvet kolmanda riigi finantsjärelevalve asutus (</w:t>
      </w:r>
      <w:r w:rsidRPr="005A55CA">
        <w:rPr>
          <w:b/>
          <w:sz w:val="22"/>
          <w:szCs w:val="22"/>
        </w:rPr>
        <w:t xml:space="preserve">lõige </w:t>
      </w:r>
      <w:r>
        <w:rPr>
          <w:b/>
          <w:sz w:val="22"/>
          <w:szCs w:val="22"/>
        </w:rPr>
        <w:t>4</w:t>
      </w:r>
      <w:r w:rsidRPr="005A55CA">
        <w:rPr>
          <w:sz w:val="22"/>
          <w:szCs w:val="22"/>
        </w:rPr>
        <w:t>)</w:t>
      </w:r>
      <w:r w:rsidRPr="005A55CA">
        <w:rPr>
          <w:b/>
          <w:bCs/>
          <w:sz w:val="22"/>
          <w:szCs w:val="22"/>
        </w:rPr>
        <w:t>.</w:t>
      </w:r>
    </w:p>
    <w:p w14:paraId="7F80B1E1" w14:textId="77777777" w:rsidR="00356262" w:rsidRPr="005A55CA" w:rsidRDefault="00356262" w:rsidP="00356262">
      <w:pPr>
        <w:spacing w:before="0"/>
        <w:ind w:right="-62"/>
        <w:rPr>
          <w:sz w:val="22"/>
          <w:szCs w:val="22"/>
        </w:rPr>
      </w:pPr>
    </w:p>
    <w:p w14:paraId="0734F4E9" w14:textId="77777777" w:rsidR="00356262" w:rsidRPr="005A55CA" w:rsidRDefault="00356262" w:rsidP="00356262">
      <w:pPr>
        <w:spacing w:before="0"/>
        <w:ind w:right="-62"/>
        <w:rPr>
          <w:sz w:val="22"/>
          <w:szCs w:val="22"/>
        </w:rPr>
      </w:pPr>
      <w:r w:rsidRPr="005A55CA">
        <w:rPr>
          <w:sz w:val="22"/>
          <w:szCs w:val="22"/>
        </w:rPr>
        <w:t>Paragrahvis sätestatakse ka finantsjärelevalve asutuste vahelise koostöö alused (</w:t>
      </w:r>
      <w:r w:rsidRPr="005A55CA">
        <w:rPr>
          <w:b/>
          <w:sz w:val="22"/>
          <w:szCs w:val="22"/>
        </w:rPr>
        <w:t xml:space="preserve">lõiked </w:t>
      </w:r>
      <w:r>
        <w:rPr>
          <w:b/>
          <w:sz w:val="22"/>
          <w:szCs w:val="22"/>
        </w:rPr>
        <w:t>5</w:t>
      </w:r>
      <w:r w:rsidRPr="005A55CA">
        <w:rPr>
          <w:b/>
          <w:sz w:val="22"/>
          <w:szCs w:val="22"/>
        </w:rPr>
        <w:t>-6</w:t>
      </w:r>
      <w:r w:rsidRPr="005A55CA">
        <w:rPr>
          <w:sz w:val="22"/>
          <w:szCs w:val="22"/>
        </w:rPr>
        <w:t xml:space="preserve">). Finantsinspektsioon teeb olulise osaluse hindamisel koostööd lepinguriigi finantsjärelevalve asutusega, </w:t>
      </w:r>
      <w:r w:rsidRPr="005A55CA">
        <w:rPr>
          <w:sz w:val="22"/>
          <w:szCs w:val="22"/>
        </w:rPr>
        <w:lastRenderedPageBreak/>
        <w:t xml:space="preserve">kui omandaja on lepinguriigis tegevusloa saanud finantsasutus või muu finantsjärelevalve alla kuuluv isik, lepinguriigis tegevusloa saanud finantsasutuse või muu finantsjärelevalve alla kuuluva isiku emaettevõtja või isik kelle kontrollitavaks äriühinguks on teises liikmesriigis tegevusloa saanud finantsasutus või muu finantsjärelevalve alla kuuluv isik. Koostöö raames konsulteerib Finantsinspektsioon teiste finantsjärelevalve asutustega, edastades viivitamata üksteisele kõik andmed, mis on olulised </w:t>
      </w:r>
      <w:r>
        <w:rPr>
          <w:sz w:val="22"/>
          <w:szCs w:val="22"/>
        </w:rPr>
        <w:t>olulise osaluse omandamise, suurendamise või kontrollitavaks äriühinguks muutmise hindamisel</w:t>
      </w:r>
      <w:r w:rsidRPr="005A55CA">
        <w:rPr>
          <w:sz w:val="22"/>
          <w:szCs w:val="22"/>
        </w:rPr>
        <w:t>.</w:t>
      </w:r>
    </w:p>
    <w:p w14:paraId="15A43EFA" w14:textId="77777777" w:rsidR="00356262" w:rsidRPr="005A55CA" w:rsidRDefault="00356262" w:rsidP="00356262">
      <w:pPr>
        <w:spacing w:before="0"/>
        <w:ind w:right="-64"/>
        <w:rPr>
          <w:sz w:val="22"/>
          <w:szCs w:val="22"/>
        </w:rPr>
      </w:pPr>
    </w:p>
    <w:p w14:paraId="5910B65D" w14:textId="77777777" w:rsidR="00356262" w:rsidRPr="005A55CA" w:rsidRDefault="00356262" w:rsidP="00356262">
      <w:pPr>
        <w:spacing w:before="0"/>
        <w:ind w:right="-62"/>
        <w:rPr>
          <w:sz w:val="22"/>
          <w:szCs w:val="22"/>
        </w:rPr>
      </w:pPr>
      <w:r w:rsidRPr="005A55CA">
        <w:rPr>
          <w:b/>
          <w:bCs/>
          <w:sz w:val="22"/>
          <w:szCs w:val="22"/>
        </w:rPr>
        <w:t>Paragrahvi 2</w:t>
      </w:r>
      <w:r>
        <w:rPr>
          <w:b/>
          <w:bCs/>
          <w:sz w:val="22"/>
          <w:szCs w:val="22"/>
        </w:rPr>
        <w:t>2</w:t>
      </w:r>
      <w:r w:rsidRPr="005A55CA">
        <w:rPr>
          <w:sz w:val="22"/>
          <w:szCs w:val="22"/>
        </w:rPr>
        <w:t xml:space="preserve"> </w:t>
      </w:r>
      <w:r w:rsidRPr="005A55CA">
        <w:rPr>
          <w:b/>
          <w:sz w:val="22"/>
          <w:szCs w:val="22"/>
        </w:rPr>
        <w:t>lõike 1</w:t>
      </w:r>
      <w:r w:rsidRPr="005A55CA">
        <w:rPr>
          <w:sz w:val="22"/>
          <w:szCs w:val="22"/>
        </w:rPr>
        <w:t xml:space="preserve"> kohaselt on Finantsinspektsioonil õigus määrata omandajale tähtaeg, mille jooksul ta peab olulist osalust omandama, seda suurendama või muutma finantsasutuse kontrollitavaks äriühinguks. Kehtivates finantssektori seadustes on selleks tähtajaks juba varasemalt sätestatud 12 kuud ning Finantsinspektsioon võib omandamiseks ette nähtud tähtaega küll pikendada, kuid eelnõu kohaselt ei tohi ka sellisel juhul omandamise tähtaeg ületada 12 kuud. </w:t>
      </w:r>
    </w:p>
    <w:p w14:paraId="7130FACE" w14:textId="77777777" w:rsidR="00356262" w:rsidRPr="005A55CA" w:rsidRDefault="00356262" w:rsidP="00356262">
      <w:pPr>
        <w:spacing w:before="0"/>
        <w:ind w:right="-62"/>
        <w:rPr>
          <w:sz w:val="22"/>
          <w:szCs w:val="22"/>
        </w:rPr>
      </w:pPr>
    </w:p>
    <w:p w14:paraId="7F1295B0" w14:textId="77777777" w:rsidR="00356262" w:rsidRPr="005A55CA" w:rsidRDefault="00356262" w:rsidP="00356262">
      <w:pPr>
        <w:spacing w:before="0"/>
        <w:ind w:right="-62"/>
        <w:rPr>
          <w:sz w:val="22"/>
          <w:szCs w:val="22"/>
        </w:rPr>
      </w:pPr>
      <w:r w:rsidRPr="005A55CA">
        <w:rPr>
          <w:b/>
          <w:sz w:val="22"/>
          <w:szCs w:val="22"/>
        </w:rPr>
        <w:t>Lõike 2</w:t>
      </w:r>
      <w:r w:rsidRPr="005A55CA">
        <w:rPr>
          <w:sz w:val="22"/>
          <w:szCs w:val="22"/>
        </w:rPr>
        <w:t xml:space="preserve"> eesmärgiks on sätestada </w:t>
      </w:r>
      <w:r>
        <w:rPr>
          <w:sz w:val="22"/>
          <w:szCs w:val="22"/>
        </w:rPr>
        <w:t>eelnev Finantsinspektsiooni nõusolek</w:t>
      </w:r>
      <w:r w:rsidRPr="005A55CA">
        <w:rPr>
          <w:sz w:val="22"/>
          <w:szCs w:val="22"/>
        </w:rPr>
        <w:t xml:space="preserve"> osaluse omandamiseks. </w:t>
      </w:r>
      <w:r>
        <w:rPr>
          <w:sz w:val="22"/>
          <w:szCs w:val="22"/>
        </w:rPr>
        <w:t xml:space="preserve">See tähendab, et </w:t>
      </w:r>
      <w:r w:rsidRPr="005A55CA">
        <w:rPr>
          <w:sz w:val="22"/>
          <w:szCs w:val="22"/>
        </w:rPr>
        <w:t xml:space="preserve">omandaja </w:t>
      </w:r>
      <w:r>
        <w:rPr>
          <w:sz w:val="22"/>
          <w:szCs w:val="22"/>
        </w:rPr>
        <w:t xml:space="preserve">võib </w:t>
      </w:r>
      <w:r w:rsidRPr="005A55CA">
        <w:rPr>
          <w:sz w:val="22"/>
          <w:szCs w:val="22"/>
        </w:rPr>
        <w:t xml:space="preserve">osalust omandada, seda suurendada ja muuta </w:t>
      </w:r>
      <w:r>
        <w:rPr>
          <w:sz w:val="22"/>
          <w:szCs w:val="22"/>
        </w:rPr>
        <w:t>teenuseosutaja</w:t>
      </w:r>
      <w:r w:rsidRPr="005A55CA">
        <w:rPr>
          <w:sz w:val="22"/>
          <w:szCs w:val="22"/>
        </w:rPr>
        <w:t xml:space="preserve"> </w:t>
      </w:r>
      <w:r>
        <w:rPr>
          <w:sz w:val="22"/>
          <w:szCs w:val="22"/>
        </w:rPr>
        <w:t>sellisel juhul, kui Finantsinspektsioon on selleks eelneva nõusoleku andnud. Finantsinspektsiooni-poolse eelneva nõusolekuta tekib risk, et osaluse omandab, seda suurendab ja muudab isik, kes ei pruugi vastata seaduses kehtestatud nõuetele.</w:t>
      </w:r>
    </w:p>
    <w:p w14:paraId="07056DAA" w14:textId="77777777" w:rsidR="00356262" w:rsidRPr="005A55CA" w:rsidRDefault="00356262" w:rsidP="00356262">
      <w:pPr>
        <w:spacing w:before="0"/>
        <w:ind w:right="-64"/>
        <w:rPr>
          <w:b/>
          <w:bCs/>
          <w:sz w:val="22"/>
          <w:szCs w:val="22"/>
        </w:rPr>
      </w:pPr>
    </w:p>
    <w:p w14:paraId="764CB572" w14:textId="77777777" w:rsidR="00356262" w:rsidRPr="005A55CA" w:rsidRDefault="00356262" w:rsidP="00356262">
      <w:pPr>
        <w:spacing w:before="0"/>
        <w:ind w:right="-62"/>
        <w:rPr>
          <w:sz w:val="22"/>
          <w:szCs w:val="22"/>
        </w:rPr>
      </w:pPr>
      <w:r w:rsidRPr="005A55CA">
        <w:rPr>
          <w:b/>
          <w:bCs/>
          <w:sz w:val="22"/>
          <w:szCs w:val="22"/>
        </w:rPr>
        <w:t>Paragrahvis 2</w:t>
      </w:r>
      <w:r>
        <w:rPr>
          <w:b/>
          <w:bCs/>
          <w:sz w:val="22"/>
          <w:szCs w:val="22"/>
        </w:rPr>
        <w:t>3</w:t>
      </w:r>
      <w:r w:rsidRPr="005A55CA">
        <w:rPr>
          <w:sz w:val="22"/>
          <w:szCs w:val="22"/>
        </w:rPr>
        <w:t xml:space="preserve"> sätestatakse keelamise alused, millest lähtuvalt võib Finantsinspektsioon teha ettekirjutuse olulise osaluse omandamise, selle suurendamise või finantsasutuse kontrollitavaks äriühinguks muutmise </w:t>
      </w:r>
      <w:r>
        <w:rPr>
          <w:sz w:val="22"/>
          <w:szCs w:val="22"/>
        </w:rPr>
        <w:t xml:space="preserve">keelamise </w:t>
      </w:r>
      <w:r w:rsidRPr="005A55CA">
        <w:rPr>
          <w:sz w:val="22"/>
          <w:szCs w:val="22"/>
        </w:rPr>
        <w:t xml:space="preserve">kohta. </w:t>
      </w:r>
      <w:r w:rsidRPr="005A55CA">
        <w:rPr>
          <w:b/>
          <w:sz w:val="22"/>
          <w:szCs w:val="22"/>
        </w:rPr>
        <w:t>Lõike 1</w:t>
      </w:r>
      <w:r w:rsidRPr="005A55CA">
        <w:rPr>
          <w:sz w:val="22"/>
          <w:szCs w:val="22"/>
        </w:rPr>
        <w:t xml:space="preserve"> kohaselt võib Finantsinspektsioon esitada omandajale vastuväite üksnes juhul, kui ta ei vasta olulist osalust omavatele isikutele esitatavatele nõuetele või kui omandaja ei ole ette</w:t>
      </w:r>
      <w:r>
        <w:rPr>
          <w:sz w:val="22"/>
          <w:szCs w:val="22"/>
        </w:rPr>
        <w:t xml:space="preserve"> </w:t>
      </w:r>
      <w:r w:rsidRPr="005A55CA">
        <w:rPr>
          <w:sz w:val="22"/>
          <w:szCs w:val="22"/>
        </w:rPr>
        <w:t>nähtud tähtpäevaks Finantsinspektsioonile esitanud seaduses ette nähtud või Finantsinspektsiooni poolt täiendavalt nõutud andmeid ja dokumente. Samuti võib Finantsinspektsioon teha keelava otsuse, kui omandaja poolt esitatud andmed ja dokumendid ei vasta õigusaktidega sätestatud nõuetele või need on ebaõiged, eksitavad või puudulikud või kui esitatud andmete või dokumentide alusel ei saa kõrvaldada Finantsinspektsiooni mõistlikku kahtlust omandamise ebasobivusest ning sellest, et omandamine ei vasta käesolevas seaduses sätestatud nõuetele või kui teenuseosutaja muutuks kolmandas riigis elava või asuva isiku kontrollitavaks äriühinguks ning selle isiku üle ei teostata tema elu- või asukohariigis piisavat järelevalvet või kui nimetatud kolmanda riigi finantsjärelevalveasutus ei saa teha Finantsinspektsiooniga koostööd (</w:t>
      </w:r>
      <w:r w:rsidRPr="005A55CA">
        <w:rPr>
          <w:b/>
          <w:sz w:val="22"/>
          <w:szCs w:val="22"/>
        </w:rPr>
        <w:t>lõike 1 punktid 1-4</w:t>
      </w:r>
      <w:r w:rsidRPr="005A55CA">
        <w:rPr>
          <w:sz w:val="22"/>
          <w:szCs w:val="22"/>
        </w:rPr>
        <w:t>)</w:t>
      </w:r>
    </w:p>
    <w:p w14:paraId="77D9DA6F" w14:textId="77777777" w:rsidR="00356262" w:rsidRPr="005A55CA" w:rsidRDefault="00356262" w:rsidP="00356262">
      <w:pPr>
        <w:spacing w:before="0"/>
        <w:ind w:right="-62"/>
        <w:rPr>
          <w:sz w:val="22"/>
          <w:szCs w:val="22"/>
        </w:rPr>
      </w:pPr>
    </w:p>
    <w:p w14:paraId="7B9DD69F" w14:textId="77777777" w:rsidR="00356262" w:rsidRPr="005A55CA" w:rsidRDefault="00356262" w:rsidP="00356262">
      <w:pPr>
        <w:spacing w:before="0"/>
        <w:ind w:right="-62"/>
        <w:rPr>
          <w:sz w:val="22"/>
          <w:szCs w:val="22"/>
        </w:rPr>
      </w:pPr>
      <w:r w:rsidRPr="00A80C67">
        <w:rPr>
          <w:b/>
          <w:sz w:val="22"/>
          <w:szCs w:val="22"/>
        </w:rPr>
        <w:t>Lõige 2</w:t>
      </w:r>
      <w:r>
        <w:rPr>
          <w:sz w:val="22"/>
          <w:szCs w:val="22"/>
        </w:rPr>
        <w:t xml:space="preserve"> sätestab </w:t>
      </w:r>
      <w:r w:rsidRPr="005A55CA">
        <w:rPr>
          <w:sz w:val="22"/>
          <w:szCs w:val="22"/>
        </w:rPr>
        <w:t>Finantsinspektsiooni kohustus</w:t>
      </w:r>
      <w:r>
        <w:rPr>
          <w:sz w:val="22"/>
          <w:szCs w:val="22"/>
        </w:rPr>
        <w:t>e</w:t>
      </w:r>
      <w:r w:rsidRPr="005A55CA">
        <w:rPr>
          <w:sz w:val="22"/>
          <w:szCs w:val="22"/>
        </w:rPr>
        <w:t xml:space="preserve"> teavitada </w:t>
      </w:r>
      <w:proofErr w:type="spellStart"/>
      <w:r w:rsidRPr="005A55CA">
        <w:rPr>
          <w:sz w:val="22"/>
          <w:szCs w:val="22"/>
        </w:rPr>
        <w:t>omandajat</w:t>
      </w:r>
      <w:proofErr w:type="spellEnd"/>
      <w:r w:rsidRPr="005A55CA">
        <w:rPr>
          <w:sz w:val="22"/>
          <w:szCs w:val="22"/>
        </w:rPr>
        <w:t xml:space="preserve"> kirjalikult kahe tööpäeva jooksul, kui valminud hindamise alusel otsustatakse seista vastu kavandatavale omandamisele. Samuti tuleb </w:t>
      </w:r>
      <w:proofErr w:type="spellStart"/>
      <w:r w:rsidRPr="005A55CA">
        <w:rPr>
          <w:sz w:val="22"/>
          <w:szCs w:val="22"/>
        </w:rPr>
        <w:t>omandajat</w:t>
      </w:r>
      <w:proofErr w:type="spellEnd"/>
      <w:r w:rsidRPr="005A55CA">
        <w:rPr>
          <w:sz w:val="22"/>
          <w:szCs w:val="22"/>
        </w:rPr>
        <w:t xml:space="preserve"> teavitada positiivsest otsusest. Sealjuures ei tohi menetlustähtaega ületada ning esitada tuleb ka oma otsuse põhjendused.</w:t>
      </w:r>
    </w:p>
    <w:p w14:paraId="713F8D2A" w14:textId="77777777" w:rsidR="00356262" w:rsidRPr="005A55CA" w:rsidRDefault="00356262" w:rsidP="00356262">
      <w:pPr>
        <w:spacing w:before="0"/>
        <w:ind w:right="-62"/>
        <w:rPr>
          <w:sz w:val="22"/>
          <w:szCs w:val="22"/>
        </w:rPr>
      </w:pPr>
    </w:p>
    <w:p w14:paraId="2E178AC1" w14:textId="77777777" w:rsidR="00356262" w:rsidRDefault="00356262" w:rsidP="00356262">
      <w:pPr>
        <w:spacing w:before="0"/>
        <w:ind w:right="-62"/>
        <w:rPr>
          <w:sz w:val="22"/>
          <w:szCs w:val="22"/>
        </w:rPr>
      </w:pPr>
      <w:r w:rsidRPr="00A80C67">
        <w:rPr>
          <w:b/>
          <w:sz w:val="22"/>
          <w:szCs w:val="22"/>
        </w:rPr>
        <w:t>Lõike 3</w:t>
      </w:r>
      <w:r>
        <w:rPr>
          <w:sz w:val="22"/>
          <w:szCs w:val="22"/>
        </w:rPr>
        <w:t xml:space="preserve"> kohaselt võib </w:t>
      </w:r>
      <w:r w:rsidRPr="005A55CA">
        <w:rPr>
          <w:sz w:val="22"/>
          <w:szCs w:val="22"/>
        </w:rPr>
        <w:t>Finantsinspektsioon pärast olulise osaluse omandamist, selle suurendamist või teenuseosutaja kontrollitavaks äriühinguks muutmist teha ettekirjutuse, mille kohaselt loetakse osaluse omandamine või teenuseosutaja kontrollitavaks äriühinguks muutmine seadusega vastuolus olevaks, kui omandaja on esitanud eksitavaid andmeid või dokumente või valeandmeid või –dokumente, olulist osalust omava aktsionäri või tema esindaja tegevus ohustab oluliselt teenuseosutaja kindlat ja usaldusväärset juhtimist või kui ilmnevad muud keelamiste alustes nimetatud asjaolud. Eesmärgiks on vältida sätete dubleerimist ning piisab, kui viidata ainult keelamise alustele, kuna sellisel juhul on kaetud ka kõik eelpool nimetatud asjaolud.</w:t>
      </w:r>
    </w:p>
    <w:p w14:paraId="5832E9C0" w14:textId="77777777" w:rsidR="00356262" w:rsidRDefault="00356262" w:rsidP="00356262">
      <w:pPr>
        <w:spacing w:before="0"/>
        <w:ind w:right="-62"/>
        <w:rPr>
          <w:sz w:val="22"/>
          <w:szCs w:val="22"/>
        </w:rPr>
      </w:pPr>
    </w:p>
    <w:p w14:paraId="343E4A36" w14:textId="77777777" w:rsidR="00356262" w:rsidRPr="00307714" w:rsidRDefault="00356262" w:rsidP="00356262">
      <w:pPr>
        <w:spacing w:before="0"/>
        <w:ind w:right="-62"/>
        <w:rPr>
          <w:sz w:val="22"/>
          <w:szCs w:val="22"/>
        </w:rPr>
      </w:pPr>
      <w:r w:rsidRPr="00307714">
        <w:rPr>
          <w:b/>
          <w:sz w:val="22"/>
          <w:szCs w:val="22"/>
        </w:rPr>
        <w:t>Lõike 4</w:t>
      </w:r>
      <w:r>
        <w:rPr>
          <w:sz w:val="22"/>
          <w:szCs w:val="22"/>
        </w:rPr>
        <w:t xml:space="preserve"> kohaselt on Finantsinspektsioonil </w:t>
      </w:r>
      <w:r w:rsidRPr="00307714">
        <w:rPr>
          <w:sz w:val="22"/>
          <w:szCs w:val="22"/>
        </w:rPr>
        <w:t>õigus oma ettekirjutusega omandajal või isikul, ke</w:t>
      </w:r>
      <w:r>
        <w:rPr>
          <w:sz w:val="22"/>
          <w:szCs w:val="22"/>
        </w:rPr>
        <w:t xml:space="preserve">llel on </w:t>
      </w:r>
      <w:r w:rsidRPr="00307714">
        <w:rPr>
          <w:sz w:val="22"/>
          <w:szCs w:val="22"/>
        </w:rPr>
        <w:t xml:space="preserve"> teenuseosutajas oluli</w:t>
      </w:r>
      <w:r>
        <w:rPr>
          <w:sz w:val="22"/>
          <w:szCs w:val="22"/>
        </w:rPr>
        <w:t>ne osalus</w:t>
      </w:r>
      <w:r w:rsidRPr="00307714">
        <w:rPr>
          <w:sz w:val="22"/>
          <w:szCs w:val="22"/>
        </w:rPr>
        <w:t xml:space="preserve"> omab või kelle kontrollitavaks äriühinguks teenuseosutaja on, teenuseosutajas hääleõiguse või muude kontrolli võimaldavate õiguste teostamis</w:t>
      </w:r>
      <w:r>
        <w:rPr>
          <w:sz w:val="22"/>
          <w:szCs w:val="22"/>
        </w:rPr>
        <w:t xml:space="preserve">e </w:t>
      </w:r>
      <w:r w:rsidRPr="00307714">
        <w:rPr>
          <w:sz w:val="22"/>
          <w:szCs w:val="22"/>
        </w:rPr>
        <w:t xml:space="preserve">iga kord keelata või piirata, kui esinevad </w:t>
      </w:r>
      <w:r>
        <w:rPr>
          <w:sz w:val="22"/>
          <w:szCs w:val="22"/>
        </w:rPr>
        <w:t>sama</w:t>
      </w:r>
      <w:r w:rsidRPr="00307714">
        <w:rPr>
          <w:sz w:val="22"/>
          <w:szCs w:val="22"/>
        </w:rPr>
        <w:t xml:space="preserve"> paragrahvi lõikes 1 või 3 sätestatud asjaolud. Finantsinspektsioon võib teha ettekirjutuse, olenemata </w:t>
      </w:r>
      <w:r>
        <w:rPr>
          <w:sz w:val="22"/>
          <w:szCs w:val="22"/>
        </w:rPr>
        <w:t>sama</w:t>
      </w:r>
      <w:r w:rsidRPr="00307714">
        <w:rPr>
          <w:sz w:val="22"/>
          <w:szCs w:val="22"/>
        </w:rPr>
        <w:t xml:space="preserve"> paragrahvi lõikes 1 või 3 sätestatud ettekirjutuse tegemisest. Finantsinspektsioon avalikustab ettekirjutuse </w:t>
      </w:r>
      <w:r>
        <w:rPr>
          <w:sz w:val="22"/>
          <w:szCs w:val="22"/>
        </w:rPr>
        <w:t xml:space="preserve">või selle osa </w:t>
      </w:r>
      <w:r w:rsidRPr="00307714">
        <w:rPr>
          <w:sz w:val="22"/>
          <w:szCs w:val="22"/>
        </w:rPr>
        <w:t>oma veebilehel omandaja nõudmisel või vajaduse korral omal algatusel.</w:t>
      </w:r>
    </w:p>
    <w:p w14:paraId="54B1BCD4" w14:textId="77777777" w:rsidR="00356262" w:rsidRPr="00307714" w:rsidRDefault="00356262" w:rsidP="00356262">
      <w:pPr>
        <w:spacing w:before="0"/>
        <w:ind w:right="-62"/>
        <w:rPr>
          <w:sz w:val="22"/>
          <w:szCs w:val="22"/>
        </w:rPr>
      </w:pPr>
    </w:p>
    <w:p w14:paraId="41A5E83B" w14:textId="77777777" w:rsidR="00356262" w:rsidRPr="00307714" w:rsidRDefault="00356262" w:rsidP="00356262">
      <w:pPr>
        <w:spacing w:before="0"/>
        <w:ind w:right="-62"/>
        <w:rPr>
          <w:sz w:val="22"/>
          <w:szCs w:val="22"/>
        </w:rPr>
      </w:pPr>
      <w:r w:rsidRPr="00307714">
        <w:rPr>
          <w:b/>
          <w:sz w:val="22"/>
          <w:szCs w:val="22"/>
        </w:rPr>
        <w:lastRenderedPageBreak/>
        <w:t>Lõige 5</w:t>
      </w:r>
      <w:r>
        <w:rPr>
          <w:sz w:val="22"/>
          <w:szCs w:val="22"/>
        </w:rPr>
        <w:t xml:space="preserve"> sätestab, et kui </w:t>
      </w:r>
      <w:r w:rsidRPr="00307714">
        <w:rPr>
          <w:sz w:val="22"/>
          <w:szCs w:val="22"/>
        </w:rPr>
        <w:t>omandaja või isik, ke</w:t>
      </w:r>
      <w:r>
        <w:rPr>
          <w:sz w:val="22"/>
          <w:szCs w:val="22"/>
        </w:rPr>
        <w:t>llel</w:t>
      </w:r>
      <w:r w:rsidRPr="00307714">
        <w:rPr>
          <w:sz w:val="22"/>
          <w:szCs w:val="22"/>
        </w:rPr>
        <w:t xml:space="preserve"> o</w:t>
      </w:r>
      <w:r>
        <w:rPr>
          <w:sz w:val="22"/>
          <w:szCs w:val="22"/>
        </w:rPr>
        <w:t>n</w:t>
      </w:r>
      <w:r w:rsidRPr="00307714">
        <w:rPr>
          <w:sz w:val="22"/>
          <w:szCs w:val="22"/>
        </w:rPr>
        <w:t xml:space="preserve"> teenuseosutajas oluli</w:t>
      </w:r>
      <w:r>
        <w:rPr>
          <w:sz w:val="22"/>
          <w:szCs w:val="22"/>
        </w:rPr>
        <w:t>ne osalus</w:t>
      </w:r>
      <w:r w:rsidRPr="00307714">
        <w:rPr>
          <w:sz w:val="22"/>
          <w:szCs w:val="22"/>
        </w:rPr>
        <w:t xml:space="preserve"> või kelle kontrollitavaks äriühinguks teenuseosutaja on, on teises lepinguriigis registreeritud krediidiasutus, fondivalitseja, investeerimisfond, investeerimisühing, kindlustusandja, makseasutus, e-raha asutus, muu finantsjärelevalve alla kuuluv isik või eelnimetatud isikuga ühte konsolideerimisgruppi kuuluv isik, teatab Finantsinspektsioon </w:t>
      </w:r>
      <w:r>
        <w:rPr>
          <w:sz w:val="22"/>
          <w:szCs w:val="22"/>
        </w:rPr>
        <w:t>sama</w:t>
      </w:r>
      <w:r w:rsidRPr="00307714">
        <w:rPr>
          <w:sz w:val="22"/>
          <w:szCs w:val="22"/>
        </w:rPr>
        <w:t xml:space="preserve"> paragrahvi lõikes 3 või 4 nimetatud ettekirjutuse tegemisest selle lepinguriigi pädevale finantsjärelevalve asutusele.</w:t>
      </w:r>
    </w:p>
    <w:p w14:paraId="14CB09C3" w14:textId="77777777" w:rsidR="00356262" w:rsidRPr="00307714" w:rsidRDefault="00356262" w:rsidP="00356262">
      <w:pPr>
        <w:spacing w:before="0"/>
        <w:ind w:right="-62"/>
        <w:rPr>
          <w:sz w:val="22"/>
          <w:szCs w:val="22"/>
        </w:rPr>
      </w:pPr>
    </w:p>
    <w:p w14:paraId="4C4227A6" w14:textId="77777777" w:rsidR="00356262" w:rsidRPr="00307714" w:rsidRDefault="00356262" w:rsidP="00356262">
      <w:pPr>
        <w:spacing w:before="0"/>
        <w:ind w:right="-62"/>
        <w:rPr>
          <w:sz w:val="22"/>
          <w:szCs w:val="22"/>
        </w:rPr>
      </w:pPr>
      <w:r w:rsidRPr="00307714">
        <w:rPr>
          <w:b/>
          <w:sz w:val="22"/>
          <w:szCs w:val="22"/>
        </w:rPr>
        <w:t>Lõige 6</w:t>
      </w:r>
      <w:r>
        <w:rPr>
          <w:sz w:val="22"/>
          <w:szCs w:val="22"/>
        </w:rPr>
        <w:t xml:space="preserve"> täpsustab, et sama</w:t>
      </w:r>
      <w:r w:rsidRPr="00307714">
        <w:rPr>
          <w:sz w:val="22"/>
          <w:szCs w:val="22"/>
        </w:rPr>
        <w:t xml:space="preserve"> paragrahvi lõigetes 1, 3 ja 4 sätestatud Finantsinspektsiooni ettekirjutuste järgimine on kohustuslik ka teenuseosutajale, tema aktsiaraamatu pidajale või muule isikule, kes korraldab hääleõiguste teostamist.</w:t>
      </w:r>
    </w:p>
    <w:p w14:paraId="20F7F2C8" w14:textId="77777777" w:rsidR="00356262" w:rsidRPr="005A55CA" w:rsidRDefault="00356262" w:rsidP="00356262">
      <w:pPr>
        <w:spacing w:before="0"/>
        <w:ind w:right="-62"/>
        <w:rPr>
          <w:sz w:val="22"/>
          <w:szCs w:val="22"/>
        </w:rPr>
      </w:pPr>
    </w:p>
    <w:p w14:paraId="6329B693" w14:textId="77777777" w:rsidR="00356262" w:rsidRPr="005A55CA" w:rsidRDefault="00356262" w:rsidP="00356262">
      <w:pPr>
        <w:spacing w:before="0"/>
        <w:ind w:right="-64"/>
        <w:rPr>
          <w:sz w:val="22"/>
          <w:szCs w:val="22"/>
        </w:rPr>
      </w:pPr>
      <w:r w:rsidRPr="005A55CA">
        <w:rPr>
          <w:b/>
          <w:bCs/>
          <w:sz w:val="22"/>
          <w:szCs w:val="22"/>
        </w:rPr>
        <w:t>Paragrahvi 2</w:t>
      </w:r>
      <w:r>
        <w:rPr>
          <w:b/>
          <w:bCs/>
          <w:sz w:val="22"/>
          <w:szCs w:val="22"/>
        </w:rPr>
        <w:t>4</w:t>
      </w:r>
      <w:r w:rsidRPr="005A55CA">
        <w:rPr>
          <w:sz w:val="22"/>
          <w:szCs w:val="22"/>
        </w:rPr>
        <w:t xml:space="preserve"> eesmärgiks on täpsustada, et isik ei omanda aktsiatega </w:t>
      </w:r>
      <w:r>
        <w:rPr>
          <w:sz w:val="22"/>
          <w:szCs w:val="22"/>
        </w:rPr>
        <w:t xml:space="preserve">ega osaga </w:t>
      </w:r>
      <w:r w:rsidRPr="005A55CA">
        <w:rPr>
          <w:sz w:val="22"/>
          <w:szCs w:val="22"/>
        </w:rPr>
        <w:t xml:space="preserve">kaasnevat hääleõigust ning aktsiatega </w:t>
      </w:r>
      <w:r>
        <w:rPr>
          <w:sz w:val="22"/>
          <w:szCs w:val="22"/>
        </w:rPr>
        <w:t xml:space="preserve">ega osaga </w:t>
      </w:r>
      <w:r w:rsidRPr="005A55CA">
        <w:rPr>
          <w:sz w:val="22"/>
          <w:szCs w:val="22"/>
        </w:rPr>
        <w:t xml:space="preserve">esindatud hääli ei arvata üldkoosoleku </w:t>
      </w:r>
      <w:r>
        <w:rPr>
          <w:sz w:val="22"/>
          <w:szCs w:val="22"/>
        </w:rPr>
        <w:t xml:space="preserve">või osanike koosoleku </w:t>
      </w:r>
      <w:r w:rsidRPr="005A55CA">
        <w:rPr>
          <w:sz w:val="22"/>
          <w:szCs w:val="22"/>
        </w:rPr>
        <w:t xml:space="preserve">kvoorumisse, kui tehing on vastuolus Finantsinspektsiooni ettekirjutusega, või kui tehingust ei ole Finantsinspektsiooni kohaselt teavitatud või kui üldkoosoleku </w:t>
      </w:r>
      <w:r>
        <w:rPr>
          <w:sz w:val="22"/>
          <w:szCs w:val="22"/>
        </w:rPr>
        <w:t xml:space="preserve">või osanike koosoleku </w:t>
      </w:r>
      <w:r w:rsidRPr="005A55CA">
        <w:rPr>
          <w:sz w:val="22"/>
          <w:szCs w:val="22"/>
        </w:rPr>
        <w:t xml:space="preserve">otsus on tehtud pärast Finantsinspektsiooni poolt ette nähtud omandamise tähtaja möödumist või enne, kui olulise osaluse omandamine on käesoleva seaduse alusel lubatud. Kui lõikes 1 nimetatud asjaolu(de) esinemisel arvati hääled üldkoosoleku </w:t>
      </w:r>
      <w:r>
        <w:rPr>
          <w:sz w:val="22"/>
          <w:szCs w:val="22"/>
        </w:rPr>
        <w:t xml:space="preserve">või osanike koosoleku </w:t>
      </w:r>
      <w:r w:rsidRPr="005A55CA">
        <w:rPr>
          <w:sz w:val="22"/>
          <w:szCs w:val="22"/>
        </w:rPr>
        <w:t xml:space="preserve">kvoorumisse ja need mõjutasid üldkoosoleku </w:t>
      </w:r>
      <w:r>
        <w:rPr>
          <w:sz w:val="22"/>
          <w:szCs w:val="22"/>
        </w:rPr>
        <w:t xml:space="preserve">või osanike koosoleku </w:t>
      </w:r>
      <w:r w:rsidRPr="005A55CA">
        <w:rPr>
          <w:sz w:val="22"/>
          <w:szCs w:val="22"/>
        </w:rPr>
        <w:t>otsuse vastuvõtmist, on koosoleku otsus tühine. Avaldus koosoleku tühisuse tuvastamiseks tuleb esitada k</w:t>
      </w:r>
      <w:r>
        <w:rPr>
          <w:sz w:val="22"/>
          <w:szCs w:val="22"/>
        </w:rPr>
        <w:t>uue</w:t>
      </w:r>
      <w:r w:rsidRPr="005A55CA">
        <w:rPr>
          <w:sz w:val="22"/>
          <w:szCs w:val="22"/>
        </w:rPr>
        <w:t xml:space="preserve"> kuu jooksul üldkoosoleku </w:t>
      </w:r>
      <w:r>
        <w:rPr>
          <w:sz w:val="22"/>
          <w:szCs w:val="22"/>
        </w:rPr>
        <w:t xml:space="preserve">või osanike koosoleku </w:t>
      </w:r>
      <w:r w:rsidRPr="005A55CA">
        <w:rPr>
          <w:sz w:val="22"/>
          <w:szCs w:val="22"/>
        </w:rPr>
        <w:t>otsuse vastuvõtmisest arvates (</w:t>
      </w:r>
      <w:r w:rsidRPr="005A55CA">
        <w:rPr>
          <w:b/>
          <w:sz w:val="22"/>
          <w:szCs w:val="22"/>
        </w:rPr>
        <w:t>lõige 3</w:t>
      </w:r>
      <w:r w:rsidRPr="005A55CA">
        <w:rPr>
          <w:sz w:val="22"/>
          <w:szCs w:val="22"/>
        </w:rPr>
        <w:t xml:space="preserve">). </w:t>
      </w:r>
      <w:r>
        <w:rPr>
          <w:sz w:val="22"/>
          <w:szCs w:val="22"/>
        </w:rPr>
        <w:t>Lisaks</w:t>
      </w:r>
      <w:r w:rsidRPr="005A55CA">
        <w:rPr>
          <w:sz w:val="22"/>
          <w:szCs w:val="22"/>
        </w:rPr>
        <w:t xml:space="preserve"> lõike</w:t>
      </w:r>
      <w:r>
        <w:rPr>
          <w:sz w:val="22"/>
          <w:szCs w:val="22"/>
        </w:rPr>
        <w:t>le</w:t>
      </w:r>
      <w:r w:rsidRPr="005A55CA">
        <w:rPr>
          <w:sz w:val="22"/>
          <w:szCs w:val="22"/>
        </w:rPr>
        <w:t xml:space="preserve"> 3, kui teostati tehingust tulenevaid kontrolli võimaldavaid õigusi, siis võib kohus tunnistada sellise õiguste teostamise tühiseks, kui avaldus tühisuse tuvastamiseks on kohtule esitatud kolme kuu jooksul õiguste teostamisest arvates (</w:t>
      </w:r>
      <w:r w:rsidRPr="005A55CA">
        <w:rPr>
          <w:b/>
          <w:sz w:val="22"/>
          <w:szCs w:val="22"/>
        </w:rPr>
        <w:t>lõige 4</w:t>
      </w:r>
      <w:r w:rsidRPr="005A55CA">
        <w:rPr>
          <w:sz w:val="22"/>
          <w:szCs w:val="22"/>
        </w:rPr>
        <w:t>).</w:t>
      </w:r>
    </w:p>
    <w:p w14:paraId="524E1006" w14:textId="77777777" w:rsidR="00356262" w:rsidRPr="005A55CA" w:rsidRDefault="00356262" w:rsidP="00356262">
      <w:pPr>
        <w:spacing w:before="0"/>
        <w:ind w:right="-64"/>
        <w:rPr>
          <w:sz w:val="22"/>
          <w:szCs w:val="22"/>
        </w:rPr>
      </w:pPr>
    </w:p>
    <w:p w14:paraId="17C9A23B" w14:textId="77777777" w:rsidR="00356262" w:rsidRDefault="00356262" w:rsidP="00356262">
      <w:pPr>
        <w:spacing w:before="0"/>
        <w:ind w:right="-64"/>
        <w:rPr>
          <w:sz w:val="22"/>
          <w:szCs w:val="22"/>
        </w:rPr>
      </w:pPr>
      <w:r w:rsidRPr="005A55CA">
        <w:rPr>
          <w:b/>
          <w:bCs/>
          <w:sz w:val="22"/>
          <w:szCs w:val="22"/>
        </w:rPr>
        <w:t>Paragrahv 2</w:t>
      </w:r>
      <w:r>
        <w:rPr>
          <w:b/>
          <w:bCs/>
          <w:sz w:val="22"/>
          <w:szCs w:val="22"/>
        </w:rPr>
        <w:t>5</w:t>
      </w:r>
      <w:r w:rsidRPr="005A55CA">
        <w:rPr>
          <w:b/>
          <w:bCs/>
          <w:sz w:val="22"/>
          <w:szCs w:val="22"/>
        </w:rPr>
        <w:t xml:space="preserve"> </w:t>
      </w:r>
      <w:r w:rsidRPr="005A55CA">
        <w:rPr>
          <w:sz w:val="22"/>
          <w:szCs w:val="22"/>
        </w:rPr>
        <w:t>on osaluse muutumisest teavitamise regulatsioon, mida kohaldatakse juhul, kui isik kavatseb võõrandada aktsiaid või osa ulatuses, millega ta kaotab olulise osaluse teenuseosutajas või vähendab oma osalust alla määra või loobub kontrollist teenuseosutaja üle.</w:t>
      </w:r>
    </w:p>
    <w:p w14:paraId="2D616210" w14:textId="77777777" w:rsidR="00356262" w:rsidRDefault="00356262" w:rsidP="00356262">
      <w:pPr>
        <w:spacing w:before="0"/>
        <w:ind w:right="-64"/>
        <w:rPr>
          <w:sz w:val="22"/>
          <w:szCs w:val="22"/>
        </w:rPr>
      </w:pPr>
    </w:p>
    <w:p w14:paraId="0BFBD53C" w14:textId="77777777" w:rsidR="00356262" w:rsidRPr="003A4690" w:rsidRDefault="00356262" w:rsidP="00356262">
      <w:pPr>
        <w:spacing w:before="0"/>
        <w:ind w:right="-64"/>
        <w:rPr>
          <w:sz w:val="22"/>
          <w:szCs w:val="22"/>
        </w:rPr>
      </w:pPr>
      <w:r w:rsidRPr="003A4690">
        <w:rPr>
          <w:b/>
          <w:sz w:val="22"/>
          <w:szCs w:val="22"/>
        </w:rPr>
        <w:t>Lõike 1</w:t>
      </w:r>
      <w:r>
        <w:rPr>
          <w:sz w:val="22"/>
          <w:szCs w:val="22"/>
        </w:rPr>
        <w:t xml:space="preserve"> kohaselt, k</w:t>
      </w:r>
      <w:r w:rsidRPr="003A4690">
        <w:rPr>
          <w:sz w:val="22"/>
          <w:szCs w:val="22"/>
        </w:rPr>
        <w:t xml:space="preserve">ui isik kavatseb võõrandada aktsiaid </w:t>
      </w:r>
      <w:r>
        <w:rPr>
          <w:sz w:val="22"/>
          <w:szCs w:val="22"/>
        </w:rPr>
        <w:t xml:space="preserve">või osa </w:t>
      </w:r>
      <w:r w:rsidRPr="003A4690">
        <w:rPr>
          <w:sz w:val="22"/>
          <w:szCs w:val="22"/>
        </w:rPr>
        <w:t>ulatuses, millega ta kaotab olulise osaluse teenuseosutajas või vähendab oma osalust alla mõne käesoleva seaduse § 17 lõikes 1 nimetatud määra või loobub kontrollist teenuseosutaja üle, peab ta kavatsusest Finantsinspektsiooni viivitamata teavitama, näidates teates ära tema omatavate, võõrandatavate ja pärast tehingut talle jäävate aktsiate arvu</w:t>
      </w:r>
      <w:r>
        <w:rPr>
          <w:sz w:val="22"/>
          <w:szCs w:val="22"/>
        </w:rPr>
        <w:t xml:space="preserve"> või osa suuruse</w:t>
      </w:r>
      <w:r w:rsidRPr="003A4690">
        <w:rPr>
          <w:sz w:val="22"/>
          <w:szCs w:val="22"/>
        </w:rPr>
        <w:t>.</w:t>
      </w:r>
    </w:p>
    <w:p w14:paraId="573014F8" w14:textId="77777777" w:rsidR="00356262" w:rsidRPr="003A4690" w:rsidRDefault="00356262" w:rsidP="00356262">
      <w:pPr>
        <w:spacing w:before="0"/>
        <w:ind w:right="-64"/>
        <w:rPr>
          <w:sz w:val="22"/>
          <w:szCs w:val="22"/>
        </w:rPr>
      </w:pPr>
    </w:p>
    <w:p w14:paraId="6AA15472" w14:textId="77777777" w:rsidR="00356262" w:rsidRPr="003A4690" w:rsidRDefault="00356262" w:rsidP="00356262">
      <w:pPr>
        <w:spacing w:before="0"/>
        <w:ind w:right="-64"/>
        <w:rPr>
          <w:sz w:val="22"/>
          <w:szCs w:val="22"/>
        </w:rPr>
      </w:pPr>
      <w:r w:rsidRPr="003A4690">
        <w:rPr>
          <w:b/>
          <w:sz w:val="22"/>
          <w:szCs w:val="22"/>
        </w:rPr>
        <w:t xml:space="preserve">Lõike 2 </w:t>
      </w:r>
      <w:r>
        <w:rPr>
          <w:sz w:val="22"/>
          <w:szCs w:val="22"/>
        </w:rPr>
        <w:t>kohaselt kohaldatakse</w:t>
      </w:r>
      <w:r w:rsidRPr="003A4690">
        <w:rPr>
          <w:sz w:val="22"/>
          <w:szCs w:val="22"/>
        </w:rPr>
        <w:t xml:space="preserve"> lõikes </w:t>
      </w:r>
      <w:r>
        <w:rPr>
          <w:sz w:val="22"/>
          <w:szCs w:val="22"/>
        </w:rPr>
        <w:t>1</w:t>
      </w:r>
      <w:r w:rsidRPr="003A4690">
        <w:rPr>
          <w:sz w:val="22"/>
          <w:szCs w:val="22"/>
        </w:rPr>
        <w:t xml:space="preserve"> sätestatut ka juhul, kui isik kaotab mõne muu sündmuse tõttu või muu tehingu tulemusel kontrolli teenuseosutaja üle või olulise osaluse teenuseosutajas või tema osalus väheneb alla mõne käesoleva seaduse § 17 lõikes 1 nimetatud määra. Sellisel juhul on isik kohustatud pärast olulise osaluse või kontrolli kaotamisest või osaluse vähenemisest teadasaamist viivitamata teavitama Finantsinspektsiooni.</w:t>
      </w:r>
    </w:p>
    <w:p w14:paraId="4A3177E6" w14:textId="77777777" w:rsidR="00356262" w:rsidRPr="003A4690" w:rsidRDefault="00356262" w:rsidP="00356262">
      <w:pPr>
        <w:spacing w:before="0"/>
        <w:ind w:right="-64"/>
        <w:rPr>
          <w:sz w:val="22"/>
          <w:szCs w:val="22"/>
        </w:rPr>
      </w:pPr>
    </w:p>
    <w:p w14:paraId="66D18E44" w14:textId="77777777" w:rsidR="00356262" w:rsidRPr="003A4690" w:rsidRDefault="00356262" w:rsidP="00356262">
      <w:pPr>
        <w:spacing w:before="0"/>
        <w:ind w:right="-64"/>
        <w:rPr>
          <w:sz w:val="22"/>
          <w:szCs w:val="22"/>
        </w:rPr>
      </w:pPr>
      <w:r w:rsidRPr="003A4690">
        <w:rPr>
          <w:b/>
          <w:sz w:val="22"/>
          <w:szCs w:val="22"/>
        </w:rPr>
        <w:t>Lõike 3</w:t>
      </w:r>
      <w:r>
        <w:rPr>
          <w:sz w:val="22"/>
          <w:szCs w:val="22"/>
        </w:rPr>
        <w:t xml:space="preserve"> kohaselt on t</w:t>
      </w:r>
      <w:r w:rsidRPr="003A4690">
        <w:rPr>
          <w:sz w:val="22"/>
          <w:szCs w:val="22"/>
        </w:rPr>
        <w:t>eenuseosutaja on käesoleva seaduse § 17 lõigetes 1 ja 2 ning käesoleva paragrahvi lõigetes 1 ja 2 nimetatud tehingutest teadasaamise korral kohustatud sellest viivitamata teavitama Finantsinspektsiooni.</w:t>
      </w:r>
    </w:p>
    <w:p w14:paraId="104BAD22" w14:textId="77777777" w:rsidR="00356262" w:rsidRPr="003A4690" w:rsidRDefault="00356262" w:rsidP="00356262">
      <w:pPr>
        <w:spacing w:before="0"/>
        <w:ind w:right="-64"/>
        <w:rPr>
          <w:sz w:val="22"/>
          <w:szCs w:val="22"/>
        </w:rPr>
      </w:pPr>
    </w:p>
    <w:p w14:paraId="423DB071" w14:textId="77777777" w:rsidR="00356262" w:rsidRPr="003A4690" w:rsidRDefault="00356262" w:rsidP="00356262">
      <w:pPr>
        <w:spacing w:before="0"/>
        <w:ind w:right="-64"/>
        <w:rPr>
          <w:sz w:val="22"/>
          <w:szCs w:val="22"/>
        </w:rPr>
      </w:pPr>
      <w:r w:rsidRPr="003A4690">
        <w:rPr>
          <w:b/>
          <w:sz w:val="22"/>
          <w:szCs w:val="22"/>
        </w:rPr>
        <w:t>Lõikega 4</w:t>
      </w:r>
      <w:r>
        <w:rPr>
          <w:sz w:val="22"/>
          <w:szCs w:val="22"/>
        </w:rPr>
        <w:t xml:space="preserve"> sätestatakse, et t</w:t>
      </w:r>
      <w:r w:rsidRPr="003A4690">
        <w:rPr>
          <w:sz w:val="22"/>
          <w:szCs w:val="22"/>
        </w:rPr>
        <w:t>eenuseosutaja esitab koos majandusaasta aruandega Finantsinspektsioonile andmed isikute kohta, kellel majandusaasta lõpu seisuga oli teenuseosutajas oluline osalus, näidates ära isikule kuuluva osaluse suuruse ja selle omamisega seotud asjaolud vastavalt käesoleva seaduse §-dele 15 ja 17 ning väärtpaberituru seaduse §-dele 9, 10 ja 72</w:t>
      </w:r>
      <w:r w:rsidRPr="003A4690">
        <w:rPr>
          <w:sz w:val="22"/>
          <w:szCs w:val="22"/>
          <w:vertAlign w:val="superscript"/>
        </w:rPr>
        <w:t>1</w:t>
      </w:r>
      <w:r w:rsidRPr="003A4690">
        <w:rPr>
          <w:sz w:val="22"/>
          <w:szCs w:val="22"/>
        </w:rPr>
        <w:t>.</w:t>
      </w:r>
    </w:p>
    <w:p w14:paraId="53A6B6A4" w14:textId="77777777" w:rsidR="00356262" w:rsidRDefault="00356262" w:rsidP="00356262">
      <w:pPr>
        <w:spacing w:before="0"/>
        <w:ind w:right="-64"/>
        <w:rPr>
          <w:sz w:val="22"/>
          <w:szCs w:val="22"/>
        </w:rPr>
      </w:pPr>
    </w:p>
    <w:p w14:paraId="3DB99861" w14:textId="77777777" w:rsidR="00356262" w:rsidRPr="005A55CA" w:rsidRDefault="00356262" w:rsidP="00356262">
      <w:pPr>
        <w:spacing w:before="0"/>
        <w:ind w:right="-64"/>
        <w:rPr>
          <w:sz w:val="22"/>
          <w:szCs w:val="22"/>
        </w:rPr>
      </w:pPr>
      <w:r w:rsidRPr="00020539">
        <w:rPr>
          <w:b/>
          <w:sz w:val="22"/>
          <w:szCs w:val="22"/>
        </w:rPr>
        <w:t xml:space="preserve">Seaduse </w:t>
      </w:r>
      <w:r>
        <w:rPr>
          <w:b/>
          <w:sz w:val="22"/>
          <w:szCs w:val="22"/>
        </w:rPr>
        <w:t>5</w:t>
      </w:r>
      <w:r w:rsidRPr="00020539">
        <w:rPr>
          <w:b/>
          <w:sz w:val="22"/>
          <w:szCs w:val="22"/>
        </w:rPr>
        <w:t>. peatükk</w:t>
      </w:r>
      <w:r>
        <w:rPr>
          <w:sz w:val="22"/>
          <w:szCs w:val="22"/>
        </w:rPr>
        <w:t xml:space="preserve"> sätestab nõuded teenuseosutaja juhtimisele ja tegevusele.</w:t>
      </w:r>
    </w:p>
    <w:p w14:paraId="1417A32C" w14:textId="77777777" w:rsidR="00356262" w:rsidRPr="005A55CA" w:rsidRDefault="00356262" w:rsidP="00356262">
      <w:pPr>
        <w:spacing w:before="0"/>
        <w:rPr>
          <w:sz w:val="22"/>
          <w:szCs w:val="22"/>
        </w:rPr>
      </w:pPr>
    </w:p>
    <w:p w14:paraId="69DB91F8" w14:textId="5CD54EB1" w:rsidR="00356262" w:rsidRPr="005A55CA" w:rsidRDefault="00356262" w:rsidP="00356262">
      <w:pPr>
        <w:pStyle w:val="Normal2"/>
        <w:rPr>
          <w:szCs w:val="22"/>
        </w:rPr>
      </w:pPr>
      <w:r w:rsidRPr="005A55CA">
        <w:rPr>
          <w:b/>
          <w:szCs w:val="22"/>
        </w:rPr>
        <w:t>Paragrahv 2</w:t>
      </w:r>
      <w:r>
        <w:rPr>
          <w:b/>
          <w:szCs w:val="22"/>
        </w:rPr>
        <w:t>6</w:t>
      </w:r>
      <w:r w:rsidRPr="005A55CA">
        <w:rPr>
          <w:szCs w:val="22"/>
        </w:rPr>
        <w:t xml:space="preserve"> sätestab üldised alused teenuseosutaja asukohale </w:t>
      </w:r>
      <w:r w:rsidRPr="00DA602E">
        <w:t>ning</w:t>
      </w:r>
      <w:r w:rsidRPr="00E672AE">
        <w:t xml:space="preserve"> </w:t>
      </w:r>
      <w:r>
        <w:t>püsivale ja kestvale majandustegevuse kohale</w:t>
      </w:r>
      <w:r w:rsidR="00C001C7">
        <w:t>.</w:t>
      </w:r>
      <w:r w:rsidRPr="00E672AE">
        <w:t xml:space="preserve"> </w:t>
      </w:r>
    </w:p>
    <w:p w14:paraId="277BBFC5" w14:textId="77777777" w:rsidR="00356262" w:rsidRPr="005A55CA" w:rsidRDefault="00356262" w:rsidP="00356262">
      <w:pPr>
        <w:pStyle w:val="Normal2"/>
        <w:rPr>
          <w:szCs w:val="22"/>
        </w:rPr>
      </w:pPr>
    </w:p>
    <w:p w14:paraId="5178B8E4" w14:textId="77777777" w:rsidR="00356262" w:rsidRPr="005A55CA" w:rsidRDefault="00356262" w:rsidP="00356262">
      <w:pPr>
        <w:pStyle w:val="Normal2"/>
        <w:rPr>
          <w:szCs w:val="22"/>
        </w:rPr>
      </w:pPr>
      <w:r w:rsidRPr="005A55CA">
        <w:rPr>
          <w:b/>
          <w:szCs w:val="22"/>
        </w:rPr>
        <w:t>Lõike 1</w:t>
      </w:r>
      <w:r w:rsidRPr="005A55CA">
        <w:rPr>
          <w:szCs w:val="22"/>
        </w:rPr>
        <w:t xml:space="preserve"> kohaselt peavad Eestis äriregistrisse kantud ja Finantsinspektsioonilt tegevusloa saanud teenuseosutaja registrijärgne </w:t>
      </w:r>
      <w:r w:rsidRPr="00C001C7">
        <w:rPr>
          <w:szCs w:val="22"/>
        </w:rPr>
        <w:t xml:space="preserve">asukoht ning püsiv ja kestev majandustegevuse koht olema Eestis. </w:t>
      </w:r>
      <w:r w:rsidRPr="00C001C7">
        <w:rPr>
          <w:b/>
          <w:szCs w:val="22"/>
        </w:rPr>
        <w:t xml:space="preserve">Lõike </w:t>
      </w:r>
      <w:r w:rsidRPr="00C001C7">
        <w:rPr>
          <w:b/>
          <w:szCs w:val="22"/>
        </w:rPr>
        <w:lastRenderedPageBreak/>
        <w:t>2</w:t>
      </w:r>
      <w:r w:rsidRPr="00B12BBF">
        <w:rPr>
          <w:szCs w:val="22"/>
        </w:rPr>
        <w:t xml:space="preserve"> järgi peab teenuseosutaja ühinguleping või põhikiri kindlaks mää</w:t>
      </w:r>
      <w:r w:rsidRPr="009B28C0">
        <w:rPr>
          <w:szCs w:val="22"/>
        </w:rPr>
        <w:t xml:space="preserve">rama, et teenuseosutaja registrijärgne asukoht </w:t>
      </w:r>
      <w:r w:rsidRPr="00892BC1">
        <w:rPr>
          <w:szCs w:val="22"/>
        </w:rPr>
        <w:t xml:space="preserve">ning </w:t>
      </w:r>
      <w:r w:rsidRPr="00C001C7">
        <w:rPr>
          <w:szCs w:val="22"/>
        </w:rPr>
        <w:t>püsiv ja kestev majandustegevuse koht on Eestis.</w:t>
      </w:r>
    </w:p>
    <w:p w14:paraId="1F59D1E1" w14:textId="77777777" w:rsidR="00356262" w:rsidRPr="005A55CA" w:rsidRDefault="00356262" w:rsidP="00356262">
      <w:pPr>
        <w:pStyle w:val="Normal2"/>
        <w:rPr>
          <w:b/>
          <w:szCs w:val="22"/>
        </w:rPr>
      </w:pPr>
    </w:p>
    <w:p w14:paraId="53D5706A" w14:textId="77777777" w:rsidR="00356262" w:rsidRPr="005A55CA" w:rsidRDefault="00356262" w:rsidP="00356262">
      <w:pPr>
        <w:pStyle w:val="Normal2"/>
        <w:rPr>
          <w:szCs w:val="22"/>
        </w:rPr>
      </w:pPr>
      <w:r w:rsidRPr="005A55CA">
        <w:rPr>
          <w:szCs w:val="22"/>
        </w:rPr>
        <w:t xml:space="preserve">Finantsturul kehtib põhimõte, et finantssektori ettevõtja </w:t>
      </w:r>
      <w:r>
        <w:rPr>
          <w:szCs w:val="22"/>
        </w:rPr>
        <w:t>asukoht</w:t>
      </w:r>
      <w:r w:rsidRPr="005A55CA">
        <w:rPr>
          <w:szCs w:val="22"/>
        </w:rPr>
        <w:t xml:space="preserve"> </w:t>
      </w:r>
      <w:r>
        <w:rPr>
          <w:szCs w:val="22"/>
        </w:rPr>
        <w:t>ning</w:t>
      </w:r>
      <w:r w:rsidRPr="005A55CA">
        <w:rPr>
          <w:szCs w:val="22"/>
        </w:rPr>
        <w:t xml:space="preserve"> </w:t>
      </w:r>
      <w:r>
        <w:rPr>
          <w:szCs w:val="22"/>
        </w:rPr>
        <w:t xml:space="preserve">tegevuskoht </w:t>
      </w:r>
      <w:r w:rsidRPr="005A55CA">
        <w:rPr>
          <w:szCs w:val="22"/>
        </w:rPr>
        <w:t xml:space="preserve">peavad olema samas liikmesriigis. Finantsjärelevalve riigisisese õiguse kujundamisel on arvestatud kehtiva </w:t>
      </w:r>
      <w:proofErr w:type="spellStart"/>
      <w:r w:rsidRPr="005A55CA">
        <w:rPr>
          <w:szCs w:val="22"/>
        </w:rPr>
        <w:t>TsÜS</w:t>
      </w:r>
      <w:proofErr w:type="spellEnd"/>
      <w:r w:rsidRPr="005A55CA">
        <w:rPr>
          <w:szCs w:val="22"/>
        </w:rPr>
        <w:t xml:space="preserve"> § 29 lõike 1 regulatsiooniga</w:t>
      </w:r>
      <w:r>
        <w:rPr>
          <w:szCs w:val="22"/>
        </w:rPr>
        <w:t xml:space="preserve">, mille kohaselt </w:t>
      </w:r>
      <w:r w:rsidRPr="004E0CB1">
        <w:t xml:space="preserve">on </w:t>
      </w:r>
      <w:r>
        <w:t>a</w:t>
      </w:r>
      <w:r w:rsidRPr="00DA602E">
        <w:t>valik-õigusliku juriidilise isiku asukoht tema juhatuse või juhatust asendava organi asukoht, kui seaduses ei ole sätestatud teisiti.</w:t>
      </w:r>
      <w:r>
        <w:t xml:space="preserve">  </w:t>
      </w:r>
      <w:r w:rsidRPr="004D664E">
        <w:rPr>
          <w:szCs w:val="22"/>
        </w:rPr>
        <w:t>Sama seaduse lõige 2 ütleb, et j</w:t>
      </w:r>
      <w:r w:rsidRPr="004D664E">
        <w:rPr>
          <w:color w:val="202020"/>
          <w:szCs w:val="22"/>
          <w:shd w:val="clear" w:color="auto" w:fill="FFFFFF"/>
        </w:rPr>
        <w:t>uriidilise isiku tegevuskoht on tema püsiva ja kestva majandustegevuse või muu põhikirjalise tegevuse koht.</w:t>
      </w:r>
      <w:r>
        <w:rPr>
          <w:color w:val="202020"/>
          <w:szCs w:val="22"/>
          <w:shd w:val="clear" w:color="auto" w:fill="FFFFFF"/>
        </w:rPr>
        <w:t xml:space="preserve"> Eelnõu kohaselt on selleks kohaks Eesti.</w:t>
      </w:r>
    </w:p>
    <w:p w14:paraId="315805BE" w14:textId="77777777" w:rsidR="00356262" w:rsidRPr="005A55CA" w:rsidRDefault="00356262" w:rsidP="00356262">
      <w:pPr>
        <w:pStyle w:val="Normal2"/>
        <w:rPr>
          <w:szCs w:val="22"/>
        </w:rPr>
      </w:pPr>
    </w:p>
    <w:p w14:paraId="18E11E2C" w14:textId="77777777" w:rsidR="00356262" w:rsidRDefault="00356262" w:rsidP="00356262">
      <w:pPr>
        <w:pStyle w:val="Normal2"/>
        <w:rPr>
          <w:szCs w:val="22"/>
        </w:rPr>
      </w:pPr>
      <w:r>
        <w:rPr>
          <w:szCs w:val="22"/>
        </w:rPr>
        <w:t>Finantsvaldkonna ettevõtja a</w:t>
      </w:r>
      <w:r w:rsidRPr="005A55CA">
        <w:rPr>
          <w:szCs w:val="22"/>
        </w:rPr>
        <w:t>sukoht</w:t>
      </w:r>
      <w:r>
        <w:rPr>
          <w:szCs w:val="22"/>
        </w:rPr>
        <w:t xml:space="preserve"> on koht</w:t>
      </w:r>
      <w:r w:rsidRPr="005A55CA">
        <w:rPr>
          <w:szCs w:val="22"/>
        </w:rPr>
        <w:t>, kus täidetakse valdkonna õigusaktides ette</w:t>
      </w:r>
      <w:r>
        <w:rPr>
          <w:szCs w:val="22"/>
        </w:rPr>
        <w:t xml:space="preserve"> </w:t>
      </w:r>
      <w:r w:rsidRPr="005A55CA">
        <w:rPr>
          <w:szCs w:val="22"/>
        </w:rPr>
        <w:t>nähtud peamisi juhtimis- ja kontrollifunktsioone ning kus toimub finantsteenuste osutamine, sh tagatakse kriitiliste funktsioonide jätkuvus. Kui on tegemist Eesti registrisse kantud äriühingust finants</w:t>
      </w:r>
      <w:r>
        <w:rPr>
          <w:szCs w:val="22"/>
        </w:rPr>
        <w:t xml:space="preserve">valdkonna ettevõtjaga, </w:t>
      </w:r>
      <w:r w:rsidRPr="005A55CA">
        <w:rPr>
          <w:szCs w:val="22"/>
        </w:rPr>
        <w:t xml:space="preserve">peab tema juhatus asuma  Eestis ning </w:t>
      </w:r>
      <w:proofErr w:type="spellStart"/>
      <w:r w:rsidRPr="005A55CA">
        <w:rPr>
          <w:szCs w:val="22"/>
        </w:rPr>
        <w:t>TsÜS-i</w:t>
      </w:r>
      <w:proofErr w:type="spellEnd"/>
      <w:r w:rsidRPr="005A55CA">
        <w:rPr>
          <w:szCs w:val="22"/>
        </w:rPr>
        <w:t xml:space="preserve"> muudatustest tulenevad leevendused juhatuse asukoha regulatsioonis </w:t>
      </w:r>
      <w:r>
        <w:rPr>
          <w:szCs w:val="22"/>
        </w:rPr>
        <w:t xml:space="preserve">sellistele ettevõtjatele </w:t>
      </w:r>
      <w:r w:rsidRPr="005A55CA">
        <w:rPr>
          <w:szCs w:val="22"/>
        </w:rPr>
        <w:t>ei laiene.</w:t>
      </w:r>
    </w:p>
    <w:p w14:paraId="2716C782" w14:textId="77777777" w:rsidR="00356262" w:rsidRPr="00F41A66" w:rsidRDefault="00356262" w:rsidP="00356262">
      <w:pPr>
        <w:pStyle w:val="Normal2"/>
        <w:rPr>
          <w:szCs w:val="22"/>
        </w:rPr>
      </w:pPr>
    </w:p>
    <w:p w14:paraId="2FF09115" w14:textId="77777777" w:rsidR="00356262" w:rsidRDefault="00356262" w:rsidP="00356262">
      <w:pPr>
        <w:pStyle w:val="Normal2"/>
        <w:rPr>
          <w:szCs w:val="22"/>
        </w:rPr>
      </w:pPr>
      <w:r w:rsidRPr="005A55CA">
        <w:rPr>
          <w:b/>
          <w:szCs w:val="22"/>
        </w:rPr>
        <w:t>Paragrahvis 2</w:t>
      </w:r>
      <w:r>
        <w:rPr>
          <w:b/>
          <w:szCs w:val="22"/>
        </w:rPr>
        <w:t>7</w:t>
      </w:r>
      <w:r w:rsidRPr="005A55CA">
        <w:rPr>
          <w:b/>
          <w:szCs w:val="22"/>
        </w:rPr>
        <w:t xml:space="preserve"> </w:t>
      </w:r>
      <w:r w:rsidRPr="005A55CA">
        <w:rPr>
          <w:szCs w:val="22"/>
        </w:rPr>
        <w:t xml:space="preserve">on sätestatud juhtorgani liikmetele esitatavad nõuded, mis peavad vastama sobivuse ja nõuetele vastavuse (nn </w:t>
      </w:r>
      <w:proofErr w:type="spellStart"/>
      <w:r w:rsidRPr="005A55CA">
        <w:rPr>
          <w:i/>
          <w:iCs/>
          <w:szCs w:val="22"/>
        </w:rPr>
        <w:t>fit&amp;proper</w:t>
      </w:r>
      <w:proofErr w:type="spellEnd"/>
      <w:r w:rsidRPr="005A55CA">
        <w:rPr>
          <w:i/>
          <w:iCs/>
          <w:szCs w:val="22"/>
        </w:rPr>
        <w:t>)</w:t>
      </w:r>
      <w:r w:rsidRPr="005A55CA">
        <w:rPr>
          <w:szCs w:val="22"/>
        </w:rPr>
        <w:t xml:space="preserve"> tingimustele nagu on sätestatud ka teiste finantsturu osaliste puhul. Sobivuse ja nõuetele</w:t>
      </w:r>
      <w:r>
        <w:rPr>
          <w:szCs w:val="22"/>
        </w:rPr>
        <w:t xml:space="preserve"> </w:t>
      </w:r>
      <w:r w:rsidRPr="005A55CA">
        <w:rPr>
          <w:szCs w:val="22"/>
        </w:rPr>
        <w:t>vastavuse kriteeriumid on käsitletavad Põhiseaduse §</w:t>
      </w:r>
      <w:r>
        <w:rPr>
          <w:szCs w:val="22"/>
        </w:rPr>
        <w:t>-s</w:t>
      </w:r>
      <w:r w:rsidRPr="005A55CA">
        <w:rPr>
          <w:szCs w:val="22"/>
        </w:rPr>
        <w:t xml:space="preserve"> 29 sätestatud tegevusala, elukutse ja töökoha vaba valiku põhiõiguse piiranguna. Sarnaselt teiste finantsturul tegutsevate ettevõtjatega, esitatakse teenuseosutaja juhtorgani liikmetele kõrgendatud nõuded võrreldes muude ettevõtluse valdkondadega. Teenuseosutaja juhtorgani nõuetele vastavusele tuleb erilist tähelepanu pöörata ning viia juhtorgani liikmete kogenematusest, ebakompetentsusest, halvast mainest</w:t>
      </w:r>
      <w:r>
        <w:rPr>
          <w:szCs w:val="22"/>
        </w:rPr>
        <w:t xml:space="preserve"> </w:t>
      </w:r>
      <w:r w:rsidRPr="005A55CA">
        <w:rPr>
          <w:szCs w:val="22"/>
        </w:rPr>
        <w:t>vms asjaoludest tingitud võimalik kahju klientidele miinimumini. Juhtorgani liikmetele esitatava</w:t>
      </w:r>
      <w:r>
        <w:rPr>
          <w:szCs w:val="22"/>
        </w:rPr>
        <w:t>tele</w:t>
      </w:r>
      <w:r w:rsidRPr="005A55CA">
        <w:rPr>
          <w:szCs w:val="22"/>
        </w:rPr>
        <w:t xml:space="preserve"> nõu</w:t>
      </w:r>
      <w:r>
        <w:rPr>
          <w:szCs w:val="22"/>
        </w:rPr>
        <w:t>etele vastavus</w:t>
      </w:r>
      <w:r w:rsidRPr="005A55CA">
        <w:rPr>
          <w:szCs w:val="22"/>
        </w:rPr>
        <w:t xml:space="preserve"> on ka tegevusloa andmise ü</w:t>
      </w:r>
      <w:r>
        <w:rPr>
          <w:szCs w:val="22"/>
        </w:rPr>
        <w:t>heks eelduseks</w:t>
      </w:r>
      <w:r w:rsidRPr="005A55CA">
        <w:rPr>
          <w:szCs w:val="22"/>
        </w:rPr>
        <w:t xml:space="preserve">, mis tähendab, et järelevalveasutus hindab enne tegevusloa väljastamist, kas äriühingu juhtorgani liige on sobiv ja vastab seaduses sätestatud nõuetele. Nõuetele mittevastavus võib olla tegevusloa andmisest keeldumise või tegevusloa kehtetuks tunnistamise aluseks. </w:t>
      </w:r>
    </w:p>
    <w:p w14:paraId="3AFA97B7" w14:textId="77777777" w:rsidR="00356262" w:rsidRDefault="00356262" w:rsidP="00356262">
      <w:pPr>
        <w:pStyle w:val="Normal2"/>
        <w:rPr>
          <w:szCs w:val="22"/>
        </w:rPr>
      </w:pPr>
    </w:p>
    <w:p w14:paraId="3A9B0D17" w14:textId="77777777" w:rsidR="00356262" w:rsidRPr="005A55CA" w:rsidRDefault="00356262" w:rsidP="00356262">
      <w:pPr>
        <w:pStyle w:val="Normal2"/>
        <w:rPr>
          <w:szCs w:val="22"/>
        </w:rPr>
      </w:pPr>
      <w:r>
        <w:rPr>
          <w:szCs w:val="22"/>
        </w:rPr>
        <w:t>Juhtorgani liikmete sobivusmenetluse läbiviimiseks on Finantsinspektsioon kehtestanud „</w:t>
      </w:r>
      <w:r>
        <w:t>Sobivusmenetluse läbiviimise juhendi“</w:t>
      </w:r>
      <w:r w:rsidRPr="00491B07">
        <w:rPr>
          <w:vertAlign w:val="superscript"/>
        </w:rPr>
        <w:footnoteReference w:id="50"/>
      </w:r>
      <w:r w:rsidRPr="00491B07">
        <w:rPr>
          <w:vertAlign w:val="superscript"/>
        </w:rPr>
        <w:t>.</w:t>
      </w:r>
      <w:r>
        <w:t xml:space="preserve"> </w:t>
      </w:r>
    </w:p>
    <w:p w14:paraId="6951FB60" w14:textId="77777777" w:rsidR="00356262" w:rsidRPr="005A55CA" w:rsidRDefault="00356262" w:rsidP="00356262">
      <w:pPr>
        <w:pStyle w:val="Normal2"/>
        <w:rPr>
          <w:szCs w:val="22"/>
        </w:rPr>
      </w:pPr>
    </w:p>
    <w:p w14:paraId="092591C8" w14:textId="77777777" w:rsidR="00356262" w:rsidRPr="005A55CA" w:rsidRDefault="00356262" w:rsidP="00356262">
      <w:pPr>
        <w:pStyle w:val="Normal2"/>
        <w:rPr>
          <w:szCs w:val="22"/>
        </w:rPr>
      </w:pPr>
      <w:r w:rsidRPr="005A55CA">
        <w:rPr>
          <w:b/>
          <w:szCs w:val="22"/>
        </w:rPr>
        <w:t>Lõige 1</w:t>
      </w:r>
      <w:r w:rsidRPr="005A55CA">
        <w:rPr>
          <w:szCs w:val="22"/>
        </w:rPr>
        <w:t xml:space="preserve"> sisaldab finantsjärelevalvesubjektidele kohaldatavat </w:t>
      </w:r>
      <w:proofErr w:type="spellStart"/>
      <w:r w:rsidRPr="005A55CA">
        <w:rPr>
          <w:szCs w:val="22"/>
        </w:rPr>
        <w:t>üldklauslit</w:t>
      </w:r>
      <w:proofErr w:type="spellEnd"/>
      <w:r w:rsidRPr="005A55CA">
        <w:rPr>
          <w:szCs w:val="22"/>
        </w:rPr>
        <w:t>, mille kohaselt võib teenuseosutaja juh</w:t>
      </w:r>
      <w:r>
        <w:rPr>
          <w:szCs w:val="22"/>
        </w:rPr>
        <w:t>torgani</w:t>
      </w:r>
      <w:r w:rsidRPr="005A55CA">
        <w:rPr>
          <w:szCs w:val="22"/>
        </w:rPr>
        <w:t xml:space="preserve"> liikmeks valida või määrata vaid isiku, kellel on </w:t>
      </w:r>
      <w:r>
        <w:rPr>
          <w:szCs w:val="22"/>
        </w:rPr>
        <w:t xml:space="preserve">laitmatu maine ning vajalikus mahus aega oma tööülesannete täitmiseks vastaval ametikohal. </w:t>
      </w:r>
      <w:r w:rsidRPr="005A55CA">
        <w:rPr>
          <w:szCs w:val="22"/>
        </w:rPr>
        <w:t>Nimetatud aspektid</w:t>
      </w:r>
      <w:r>
        <w:rPr>
          <w:szCs w:val="22"/>
        </w:rPr>
        <w:t xml:space="preserve"> põhinevad suuresti nii EL </w:t>
      </w:r>
      <w:proofErr w:type="spellStart"/>
      <w:r>
        <w:rPr>
          <w:szCs w:val="22"/>
        </w:rPr>
        <w:t>ühisrahastusmäärusel</w:t>
      </w:r>
      <w:proofErr w:type="spellEnd"/>
      <w:r>
        <w:rPr>
          <w:szCs w:val="22"/>
        </w:rPr>
        <w:t xml:space="preserve"> kui ka </w:t>
      </w:r>
      <w:proofErr w:type="spellStart"/>
      <w:r>
        <w:rPr>
          <w:szCs w:val="22"/>
        </w:rPr>
        <w:t>MiCA</w:t>
      </w:r>
      <w:proofErr w:type="spellEnd"/>
      <w:r w:rsidRPr="00A66EEE">
        <w:rPr>
          <w:szCs w:val="22"/>
        </w:rPr>
        <w:t xml:space="preserve"> eelnõul (vt EL </w:t>
      </w:r>
      <w:proofErr w:type="spellStart"/>
      <w:r w:rsidRPr="00A66EEE">
        <w:rPr>
          <w:szCs w:val="22"/>
        </w:rPr>
        <w:t>ühisrahastusmääruse</w:t>
      </w:r>
      <w:proofErr w:type="spellEnd"/>
      <w:r w:rsidRPr="00A66EEE">
        <w:rPr>
          <w:szCs w:val="22"/>
        </w:rPr>
        <w:t xml:space="preserve"> </w:t>
      </w:r>
      <w:r w:rsidRPr="00A66EEE">
        <w:t xml:space="preserve">artikkel 12(3) punkt b ning </w:t>
      </w:r>
      <w:proofErr w:type="spellStart"/>
      <w:r w:rsidRPr="00A66EEE">
        <w:t>MiCA</w:t>
      </w:r>
      <w:proofErr w:type="spellEnd"/>
      <w:r w:rsidRPr="00A66EEE">
        <w:t xml:space="preserve"> artikkel 54(2a) punkt b)</w:t>
      </w:r>
      <w:r w:rsidRPr="00A66EEE">
        <w:rPr>
          <w:szCs w:val="22"/>
        </w:rPr>
        <w:t xml:space="preserve">, </w:t>
      </w:r>
      <w:r>
        <w:rPr>
          <w:szCs w:val="22"/>
        </w:rPr>
        <w:t>ning nend</w:t>
      </w:r>
      <w:r w:rsidRPr="005A55CA">
        <w:rPr>
          <w:szCs w:val="22"/>
        </w:rPr>
        <w:t>ele sobivust hindab Finantsinspektsioon eeskätt loa taotlemisel aga ka juh</w:t>
      </w:r>
      <w:r>
        <w:rPr>
          <w:szCs w:val="22"/>
        </w:rPr>
        <w:t>torgani</w:t>
      </w:r>
      <w:r w:rsidRPr="005A55CA">
        <w:rPr>
          <w:szCs w:val="22"/>
        </w:rPr>
        <w:t xml:space="preserve"> liikme vahetumisel pärast tegevusloa väljastamist. </w:t>
      </w:r>
    </w:p>
    <w:p w14:paraId="01565B75" w14:textId="77777777" w:rsidR="00356262" w:rsidRPr="005A55CA" w:rsidRDefault="00356262" w:rsidP="00356262">
      <w:pPr>
        <w:pStyle w:val="Normal2"/>
        <w:rPr>
          <w:szCs w:val="22"/>
        </w:rPr>
      </w:pPr>
    </w:p>
    <w:p w14:paraId="68FF5B03" w14:textId="77777777" w:rsidR="00356262" w:rsidRPr="005A55CA" w:rsidRDefault="00356262" w:rsidP="00356262">
      <w:pPr>
        <w:pStyle w:val="Normal2"/>
        <w:rPr>
          <w:szCs w:val="22"/>
        </w:rPr>
      </w:pPr>
      <w:r w:rsidRPr="005A55CA">
        <w:rPr>
          <w:b/>
          <w:szCs w:val="22"/>
        </w:rPr>
        <w:t>Lõike 2</w:t>
      </w:r>
      <w:r w:rsidRPr="005A55CA">
        <w:rPr>
          <w:szCs w:val="22"/>
        </w:rPr>
        <w:t xml:space="preserve"> punktid 1-</w:t>
      </w:r>
      <w:r>
        <w:rPr>
          <w:szCs w:val="22"/>
        </w:rPr>
        <w:t>3</w:t>
      </w:r>
      <w:r w:rsidRPr="005A55CA">
        <w:rPr>
          <w:szCs w:val="22"/>
        </w:rPr>
        <w:t xml:space="preserve"> nimetavad teenuse osutamise aspektid, millest juh</w:t>
      </w:r>
      <w:r>
        <w:rPr>
          <w:szCs w:val="22"/>
        </w:rPr>
        <w:t>atuse</w:t>
      </w:r>
      <w:r w:rsidRPr="005A55CA">
        <w:rPr>
          <w:szCs w:val="22"/>
        </w:rPr>
        <w:t xml:space="preserve"> liikmed peaksid olema teadlikud ja varasema ettevõtluskogemuse jooksul kokku puutunud.</w:t>
      </w:r>
      <w:r>
        <w:rPr>
          <w:szCs w:val="22"/>
        </w:rPr>
        <w:t xml:space="preserve"> Eelnõus on täpsustatud, et vastavad teadmised, oskused ja kogemused võivad olla ka kollektiivselt tagatud. </w:t>
      </w:r>
      <w:r>
        <w:t>Kollektiivne sobivus tähendab seda, et teenuseosutaja juhtorgan on tervikuna (kõiki juhtorgani liikmeid kogumis arvesse võttes) teenuseosutaja juhtimiseks sobiv. Kollektiiv peab ka tervikuna omama piisavaid teadmisi, oskusi ja kogemusi, et suuta mõista ja juhtida teenuseosutaja tegevust, peamisi riske ja tagada tema usaldusväärne ning õiguspärane juhtimine.</w:t>
      </w:r>
    </w:p>
    <w:p w14:paraId="2753752F" w14:textId="77777777" w:rsidR="00356262" w:rsidRPr="005A55CA" w:rsidRDefault="00356262" w:rsidP="00356262">
      <w:pPr>
        <w:pStyle w:val="Normal2"/>
        <w:rPr>
          <w:szCs w:val="22"/>
        </w:rPr>
      </w:pPr>
    </w:p>
    <w:p w14:paraId="47C34B04" w14:textId="77777777" w:rsidR="00356262" w:rsidRDefault="00356262" w:rsidP="00356262">
      <w:pPr>
        <w:pStyle w:val="Normal2"/>
        <w:rPr>
          <w:szCs w:val="22"/>
        </w:rPr>
      </w:pPr>
      <w:r w:rsidRPr="005A55CA">
        <w:rPr>
          <w:b/>
          <w:szCs w:val="22"/>
        </w:rPr>
        <w:t>Lõige 3</w:t>
      </w:r>
      <w:r w:rsidRPr="005A55CA">
        <w:rPr>
          <w:szCs w:val="22"/>
        </w:rPr>
        <w:t xml:space="preserve"> täpsustab lõikes 1 märgitud „laitmatu ärialase maine“ kriteeriumit, mille kuus punkti loetlevad juhud, mil juhtorgani liikme mainet ei saa eelduslikult pidada laitmatuks, sh (kuid mitte ainult) juhul kui tema tegevus on kaasa toonud finantsjärelevalve poolt tegevusloa kehtetuks tunnistamise, kui tema suhtes on kohaldatud tegutsemiskeeldu või ettevõtluskeeldu, või kui Finantsinspektsioonile on esitatud valeinformatsiooni või jäetud oluline informatsioon esitamata.</w:t>
      </w:r>
    </w:p>
    <w:p w14:paraId="2A21A21C" w14:textId="77777777" w:rsidR="00356262" w:rsidRDefault="00356262" w:rsidP="00356262">
      <w:pPr>
        <w:pStyle w:val="Normal2"/>
        <w:rPr>
          <w:szCs w:val="22"/>
        </w:rPr>
      </w:pPr>
    </w:p>
    <w:p w14:paraId="6754D4DA" w14:textId="741E33F7" w:rsidR="00356262" w:rsidRDefault="00356262" w:rsidP="00356262">
      <w:pPr>
        <w:pStyle w:val="Normal2"/>
        <w:rPr>
          <w:szCs w:val="22"/>
        </w:rPr>
      </w:pPr>
      <w:r w:rsidRPr="0003452D">
        <w:rPr>
          <w:b/>
          <w:bCs w:val="0"/>
          <w:szCs w:val="22"/>
        </w:rPr>
        <w:lastRenderedPageBreak/>
        <w:t>Lõige 4</w:t>
      </w:r>
      <w:r>
        <w:rPr>
          <w:szCs w:val="22"/>
        </w:rPr>
        <w:t xml:space="preserve">. Tagamaks teenuseosutaja püsiv juhtimine (näiteks ühe juhatuse liikme volitused lõppevad ja uut liiget ei ole määratud) ning „nelja silma printsiip“, on ette nähtud, et juhatuse liikmeid peab olema kaks. </w:t>
      </w:r>
    </w:p>
    <w:p w14:paraId="3C769061" w14:textId="77777777" w:rsidR="00356262" w:rsidRDefault="00356262" w:rsidP="00356262">
      <w:pPr>
        <w:pStyle w:val="Normal2"/>
        <w:rPr>
          <w:szCs w:val="22"/>
        </w:rPr>
      </w:pPr>
    </w:p>
    <w:p w14:paraId="2B8DA345" w14:textId="00D8BDB0" w:rsidR="00356262" w:rsidRDefault="00356262" w:rsidP="00356262">
      <w:pPr>
        <w:pStyle w:val="Normal2"/>
        <w:rPr>
          <w:b/>
          <w:bCs w:val="0"/>
          <w:szCs w:val="22"/>
        </w:rPr>
      </w:pPr>
      <w:r w:rsidRPr="00E672AE">
        <w:rPr>
          <w:b/>
          <w:bCs w:val="0"/>
          <w:szCs w:val="22"/>
        </w:rPr>
        <w:t xml:space="preserve">Lõikes 5 </w:t>
      </w:r>
      <w:r w:rsidRPr="00E672AE">
        <w:rPr>
          <w:szCs w:val="22"/>
        </w:rPr>
        <w:t>on sätestatud nõue, et teenuseosutaja nõukogus peab olema vähemalt kolm liiget. Vähemalt kolmeliikmeline nõukogu on kohustuslik aktsiaseltsidele (ÄS § 318 lg 1). Nõukogu nõue on ette nähtud (nii osaühingu kui aktsiaseltsi vormis tegutsevatele) teenuseosutajatele (vt ka § 7 lg 1 p 13), ning käesoleva sätte eesmärk on nõukogu kohustuslikkusele rohkem tähelepanu juhtida. Nõukogu olemasolu kõikide teenuseosutajate puhul on vajalik eeskätt selle jaoks, et tagada suurem järelevalve juhatuse tegevuse üle, mis puudutab kooskõla õigusaktide ja Finantsinspektsiooni otsustega</w:t>
      </w:r>
      <w:r w:rsidRPr="00E672AE">
        <w:rPr>
          <w:b/>
          <w:bCs w:val="0"/>
          <w:szCs w:val="22"/>
        </w:rPr>
        <w:t>.</w:t>
      </w:r>
      <w:r w:rsidRPr="005B36BC">
        <w:rPr>
          <w:b/>
          <w:bCs w:val="0"/>
          <w:szCs w:val="22"/>
        </w:rPr>
        <w:t xml:space="preserve"> </w:t>
      </w:r>
    </w:p>
    <w:p w14:paraId="15F1B0F4" w14:textId="77777777" w:rsidR="00356262" w:rsidRDefault="00356262" w:rsidP="00356262">
      <w:pPr>
        <w:pStyle w:val="Normal2"/>
        <w:rPr>
          <w:b/>
          <w:bCs w:val="0"/>
          <w:szCs w:val="22"/>
          <w:bdr w:val="none" w:sz="0" w:space="0" w:color="auto" w:frame="1"/>
        </w:rPr>
      </w:pPr>
    </w:p>
    <w:p w14:paraId="73BD5339" w14:textId="77777777" w:rsidR="00356262" w:rsidRDefault="00356262" w:rsidP="00356262">
      <w:pPr>
        <w:pStyle w:val="Normal2"/>
      </w:pPr>
      <w:r>
        <w:rPr>
          <w:b/>
          <w:bCs w:val="0"/>
          <w:szCs w:val="22"/>
          <w:bdr w:val="none" w:sz="0" w:space="0" w:color="auto" w:frame="1"/>
        </w:rPr>
        <w:t xml:space="preserve">Lõige 6.  </w:t>
      </w:r>
      <w:r>
        <w:rPr>
          <w:bCs w:val="0"/>
        </w:rPr>
        <w:t>Kuna juhatuse liikme koht on otsene äritegevuse eest vastutaja/läbiviija ja ka töötajal on otsesed (reaalsed) töökohustused, samuti et välistada huvide konflikti, on otsustatud eelnõusse kirjutada piirang, et t</w:t>
      </w:r>
      <w:r>
        <w:t xml:space="preserve">eenuseosutaja </w:t>
      </w:r>
      <w:r w:rsidRPr="00E672AE">
        <w:t>juhtorgani liikmeks</w:t>
      </w:r>
      <w:r>
        <w:t xml:space="preserve"> ei või olla teise finantsjärelevalvesubjekti juhtorgani liige, töötaja, audiitorettevõtja või pankrotivõlgnik, välja arvatud juhul, kui nimetatud finantsjärelevalvesubjekt kuulub teenuseosutajaga samasse konsolideerimisgruppi. Lisaks võib põhikirjas ette näha veel muid isikuid, kes ei või olla juhatuse liikmeks.</w:t>
      </w:r>
    </w:p>
    <w:p w14:paraId="412EA4A6" w14:textId="77777777" w:rsidR="00356262" w:rsidRPr="005A55CA" w:rsidRDefault="00356262" w:rsidP="00356262">
      <w:pPr>
        <w:pStyle w:val="Normal2"/>
        <w:rPr>
          <w:szCs w:val="22"/>
          <w:bdr w:val="none" w:sz="0" w:space="0" w:color="auto" w:frame="1"/>
        </w:rPr>
      </w:pPr>
    </w:p>
    <w:p w14:paraId="356F405C" w14:textId="77777777" w:rsidR="00356262" w:rsidRPr="005A55CA" w:rsidRDefault="00356262" w:rsidP="00356262">
      <w:pPr>
        <w:pStyle w:val="Normal2"/>
        <w:rPr>
          <w:color w:val="202020"/>
          <w:szCs w:val="22"/>
        </w:rPr>
      </w:pPr>
      <w:r w:rsidRPr="005A55CA">
        <w:rPr>
          <w:b/>
          <w:color w:val="202020"/>
          <w:szCs w:val="22"/>
        </w:rPr>
        <w:t xml:space="preserve">Lõike </w:t>
      </w:r>
      <w:r>
        <w:rPr>
          <w:b/>
          <w:color w:val="202020"/>
          <w:szCs w:val="22"/>
        </w:rPr>
        <w:t>7</w:t>
      </w:r>
      <w:r w:rsidRPr="005A55CA">
        <w:rPr>
          <w:color w:val="202020"/>
          <w:szCs w:val="22"/>
        </w:rPr>
        <w:t xml:space="preserve"> kohaselt on teenuseosutaja juhtorganite liikmed ja töötajad kohustatud tegutsema nendelt oodatava ettenägelikkuse ja kompetentsusega ning vastavalt nende ametikohale esitatavatele nõuetele, lähtudes teenuseosutaja ja tema klientide huvidest. </w:t>
      </w:r>
      <w:r>
        <w:rPr>
          <w:color w:val="202020"/>
          <w:szCs w:val="22"/>
        </w:rPr>
        <w:t>Lisaks tagab t</w:t>
      </w:r>
      <w:r w:rsidRPr="005A55CA">
        <w:rPr>
          <w:color w:val="202020"/>
          <w:szCs w:val="22"/>
        </w:rPr>
        <w:t>eenuseosutaja, et tema äritegevuse protsessis osalevatel töötajatel on tööülesannete täitmiseks vajalikud teadmised, oskused ja kogemused.</w:t>
      </w:r>
    </w:p>
    <w:p w14:paraId="0804CAEA" w14:textId="77777777" w:rsidR="00356262" w:rsidRPr="005A55CA" w:rsidRDefault="00356262" w:rsidP="00356262">
      <w:pPr>
        <w:pStyle w:val="Normal2"/>
        <w:rPr>
          <w:color w:val="202020"/>
          <w:szCs w:val="22"/>
        </w:rPr>
      </w:pPr>
    </w:p>
    <w:p w14:paraId="1C0C0504" w14:textId="77777777" w:rsidR="00356262" w:rsidRPr="00194651" w:rsidRDefault="00356262" w:rsidP="00356262">
      <w:pPr>
        <w:pStyle w:val="Normal2"/>
        <w:rPr>
          <w:bCs w:val="0"/>
          <w:color w:val="202020"/>
          <w:szCs w:val="22"/>
        </w:rPr>
      </w:pPr>
      <w:r>
        <w:rPr>
          <w:b/>
          <w:color w:val="202020"/>
          <w:szCs w:val="22"/>
        </w:rPr>
        <w:t>Paragrahvis 28</w:t>
      </w:r>
      <w:r>
        <w:rPr>
          <w:bCs w:val="0"/>
          <w:color w:val="202020"/>
          <w:szCs w:val="22"/>
        </w:rPr>
        <w:t xml:space="preserve"> on sätestatud kohustused juhtorgani liikmetele ja töötajatele.</w:t>
      </w:r>
    </w:p>
    <w:p w14:paraId="14293203" w14:textId="77777777" w:rsidR="00356262" w:rsidRPr="00194651" w:rsidRDefault="00356262" w:rsidP="00356262">
      <w:pPr>
        <w:pStyle w:val="Normal2"/>
        <w:rPr>
          <w:bCs w:val="0"/>
          <w:color w:val="202020"/>
          <w:szCs w:val="22"/>
        </w:rPr>
      </w:pPr>
    </w:p>
    <w:p w14:paraId="0B70627A" w14:textId="77777777" w:rsidR="00356262" w:rsidRPr="005A55CA" w:rsidRDefault="00356262" w:rsidP="00356262">
      <w:pPr>
        <w:pStyle w:val="Normal2"/>
        <w:rPr>
          <w:color w:val="202020"/>
          <w:szCs w:val="22"/>
        </w:rPr>
      </w:pPr>
      <w:r w:rsidRPr="005A55CA">
        <w:rPr>
          <w:b/>
          <w:color w:val="202020"/>
          <w:szCs w:val="22"/>
        </w:rPr>
        <w:t xml:space="preserve">Lõike </w:t>
      </w:r>
      <w:r>
        <w:rPr>
          <w:b/>
          <w:color w:val="202020"/>
          <w:szCs w:val="22"/>
        </w:rPr>
        <w:t>1</w:t>
      </w:r>
      <w:r w:rsidRPr="005A55CA">
        <w:rPr>
          <w:color w:val="202020"/>
          <w:szCs w:val="22"/>
        </w:rPr>
        <w:t xml:space="preserve"> kohaselt on teenuseosutaja juhtorganite liikmed ja töötajad kohustatud seadma teenuseosutaja ning tema klientide majanduslikud huvid kõrgemale oma isiklikest majanduslikest huvidest. Lisaks on teenuseosutaja töötajad kohustatud osutama teenuseid õiguspäraselt, piisava asjatundlikkuse, täpsuse ja hoolikusega ning andma kliendile nõuetekohast teavet pakutavate või vahendavate teenuste kohta.</w:t>
      </w:r>
    </w:p>
    <w:p w14:paraId="717E9D70" w14:textId="77777777" w:rsidR="00356262" w:rsidRPr="005A55CA" w:rsidRDefault="00356262" w:rsidP="00356262">
      <w:pPr>
        <w:pStyle w:val="Normal2"/>
        <w:rPr>
          <w:color w:val="202020"/>
          <w:szCs w:val="22"/>
        </w:rPr>
      </w:pPr>
    </w:p>
    <w:p w14:paraId="216AB798" w14:textId="77777777" w:rsidR="00356262" w:rsidRPr="005A55CA" w:rsidRDefault="00356262" w:rsidP="00356262">
      <w:pPr>
        <w:pStyle w:val="Normal2"/>
        <w:rPr>
          <w:color w:val="202020"/>
          <w:szCs w:val="22"/>
        </w:rPr>
      </w:pPr>
      <w:r w:rsidRPr="005A55CA">
        <w:rPr>
          <w:b/>
          <w:color w:val="202020"/>
          <w:szCs w:val="22"/>
        </w:rPr>
        <w:t xml:space="preserve">Lõike </w:t>
      </w:r>
      <w:r>
        <w:rPr>
          <w:b/>
          <w:color w:val="202020"/>
          <w:szCs w:val="22"/>
        </w:rPr>
        <w:t>2</w:t>
      </w:r>
      <w:r w:rsidRPr="005A55CA">
        <w:rPr>
          <w:b/>
          <w:color w:val="202020"/>
          <w:szCs w:val="22"/>
        </w:rPr>
        <w:t xml:space="preserve"> </w:t>
      </w:r>
      <w:r w:rsidRPr="005A55CA">
        <w:rPr>
          <w:color w:val="202020"/>
          <w:szCs w:val="22"/>
        </w:rPr>
        <w:t>järgi peavad teenuseosutaja juhtorganite liikmed tagama</w:t>
      </w:r>
      <w:r>
        <w:rPr>
          <w:color w:val="202020"/>
          <w:szCs w:val="22"/>
        </w:rPr>
        <w:t xml:space="preserve"> teenuseosutaja majandustegevuseks vajalike finantsvahendite pideva olemasolu, samuti selle</w:t>
      </w:r>
      <w:r w:rsidRPr="005A55CA">
        <w:rPr>
          <w:color w:val="202020"/>
          <w:szCs w:val="22"/>
        </w:rPr>
        <w:t>, et teenuseosutaja organisatsiooniline struktuur on läbipaistev ja selgelt määratud vastutusaladega ning kehtestatud on riskide tuvastamise, mõõtmise, juhtimise, pideva jälgimise ja nendest raporteerimise protseduurid, mis on teenuseosutaja tegevuse laadi, ulatust ja keerukuse astet arvestades piisavad ja proportsionaalsed.</w:t>
      </w:r>
    </w:p>
    <w:p w14:paraId="1611F6E5" w14:textId="77777777" w:rsidR="00356262" w:rsidRPr="005A55CA" w:rsidRDefault="00356262" w:rsidP="00356262">
      <w:pPr>
        <w:pStyle w:val="Normal2"/>
        <w:rPr>
          <w:color w:val="202020"/>
          <w:szCs w:val="22"/>
        </w:rPr>
      </w:pPr>
    </w:p>
    <w:p w14:paraId="4A397D44" w14:textId="77777777" w:rsidR="00356262" w:rsidRPr="005A55CA" w:rsidRDefault="00356262" w:rsidP="00356262">
      <w:pPr>
        <w:pStyle w:val="Normal2"/>
        <w:rPr>
          <w:color w:val="202020"/>
          <w:szCs w:val="22"/>
        </w:rPr>
      </w:pPr>
      <w:r w:rsidRPr="005A55CA">
        <w:rPr>
          <w:b/>
          <w:color w:val="202020"/>
          <w:szCs w:val="22"/>
        </w:rPr>
        <w:t xml:space="preserve">Lõige </w:t>
      </w:r>
      <w:r>
        <w:rPr>
          <w:b/>
          <w:color w:val="202020"/>
          <w:szCs w:val="22"/>
        </w:rPr>
        <w:t>3</w:t>
      </w:r>
      <w:r w:rsidRPr="005A55CA">
        <w:rPr>
          <w:b/>
          <w:color w:val="202020"/>
          <w:szCs w:val="22"/>
        </w:rPr>
        <w:t xml:space="preserve"> </w:t>
      </w:r>
      <w:r w:rsidRPr="005A55CA">
        <w:rPr>
          <w:color w:val="202020"/>
          <w:szCs w:val="22"/>
        </w:rPr>
        <w:t>sätestab, et teenuseosutaja juh</w:t>
      </w:r>
      <w:r>
        <w:rPr>
          <w:color w:val="202020"/>
          <w:szCs w:val="22"/>
        </w:rPr>
        <w:t>atuse</w:t>
      </w:r>
      <w:r w:rsidRPr="005A55CA">
        <w:rPr>
          <w:color w:val="202020"/>
          <w:szCs w:val="22"/>
        </w:rPr>
        <w:t xml:space="preserve"> liikmed on kohustatud </w:t>
      </w:r>
      <w:r>
        <w:rPr>
          <w:color w:val="202020"/>
          <w:szCs w:val="22"/>
        </w:rPr>
        <w:t xml:space="preserve">veenduma, et </w:t>
      </w:r>
      <w:r w:rsidRPr="005A55CA">
        <w:rPr>
          <w:color w:val="202020"/>
          <w:szCs w:val="22"/>
        </w:rPr>
        <w:t>käesoleva seaduse alusel kehtestatud eeskirjad ja muud protseduurireeglid</w:t>
      </w:r>
      <w:r>
        <w:rPr>
          <w:color w:val="202020"/>
          <w:szCs w:val="22"/>
        </w:rPr>
        <w:t xml:space="preserve"> oleksid asjakohased ning</w:t>
      </w:r>
      <w:r w:rsidRPr="005A55CA">
        <w:rPr>
          <w:color w:val="202020"/>
          <w:szCs w:val="22"/>
        </w:rPr>
        <w:t xml:space="preserve"> hindama nende tulemuslikkust ning rakendama asjakohaseid meetmeid puuduste kõrvaldamiseks.</w:t>
      </w:r>
    </w:p>
    <w:p w14:paraId="5AF51B52" w14:textId="77777777" w:rsidR="00356262" w:rsidRPr="005A55CA" w:rsidRDefault="00356262" w:rsidP="00356262">
      <w:pPr>
        <w:pStyle w:val="Normal2"/>
        <w:rPr>
          <w:color w:val="202020"/>
          <w:szCs w:val="22"/>
        </w:rPr>
      </w:pPr>
    </w:p>
    <w:p w14:paraId="0825F8ED" w14:textId="77777777" w:rsidR="00356262" w:rsidRPr="005A55CA" w:rsidRDefault="00356262" w:rsidP="00356262">
      <w:pPr>
        <w:pStyle w:val="Normal2"/>
        <w:rPr>
          <w:color w:val="202020"/>
          <w:szCs w:val="22"/>
        </w:rPr>
      </w:pPr>
      <w:r w:rsidRPr="005A55CA">
        <w:rPr>
          <w:b/>
          <w:color w:val="202020"/>
          <w:szCs w:val="22"/>
        </w:rPr>
        <w:t xml:space="preserve">Lõige </w:t>
      </w:r>
      <w:r>
        <w:rPr>
          <w:b/>
          <w:color w:val="202020"/>
          <w:szCs w:val="22"/>
        </w:rPr>
        <w:t>4</w:t>
      </w:r>
      <w:r w:rsidRPr="005A55CA">
        <w:rPr>
          <w:b/>
          <w:color w:val="202020"/>
          <w:szCs w:val="22"/>
        </w:rPr>
        <w:t xml:space="preserve"> </w:t>
      </w:r>
      <w:r w:rsidRPr="005A55CA">
        <w:rPr>
          <w:color w:val="202020"/>
          <w:szCs w:val="22"/>
        </w:rPr>
        <w:t>täpsustab töötaja mõiste, mis käesoleva seaduse tähenduses on teenuseosutaja heaks töölepingu või muu võlaõigusliku lepingu alusel tööd tegev füüsiline isik, kelle tööülesannete hulka kuulu</w:t>
      </w:r>
      <w:r>
        <w:rPr>
          <w:color w:val="202020"/>
          <w:szCs w:val="22"/>
        </w:rPr>
        <w:t>vad</w:t>
      </w:r>
      <w:r w:rsidRPr="005A55CA">
        <w:rPr>
          <w:color w:val="202020"/>
          <w:szCs w:val="22"/>
        </w:rPr>
        <w:t xml:space="preserve"> teenuseosutaja nimel teenuse osutamisega seotud tegevused, sealhulgas teenuseosutja esindamine või teenuse</w:t>
      </w:r>
      <w:r>
        <w:rPr>
          <w:color w:val="202020"/>
          <w:szCs w:val="22"/>
        </w:rPr>
        <w:t>osutaja</w:t>
      </w:r>
      <w:r w:rsidRPr="005A55CA">
        <w:rPr>
          <w:color w:val="202020"/>
          <w:szCs w:val="22"/>
        </w:rPr>
        <w:t xml:space="preserve"> juhtimine või kontrollimine.</w:t>
      </w:r>
    </w:p>
    <w:p w14:paraId="33CB514C" w14:textId="77777777" w:rsidR="00356262" w:rsidRPr="005A55CA" w:rsidRDefault="00356262" w:rsidP="00356262">
      <w:pPr>
        <w:pStyle w:val="Normal2"/>
        <w:rPr>
          <w:color w:val="202020"/>
          <w:szCs w:val="22"/>
        </w:rPr>
      </w:pPr>
    </w:p>
    <w:p w14:paraId="19FAA91A" w14:textId="77777777" w:rsidR="00356262" w:rsidRDefault="00356262" w:rsidP="00356262">
      <w:pPr>
        <w:pStyle w:val="Normal2"/>
        <w:rPr>
          <w:szCs w:val="22"/>
        </w:rPr>
      </w:pPr>
      <w:r w:rsidRPr="005A55CA">
        <w:rPr>
          <w:b/>
          <w:szCs w:val="22"/>
        </w:rPr>
        <w:t>Paragrahv 2</w:t>
      </w:r>
      <w:r>
        <w:rPr>
          <w:b/>
          <w:szCs w:val="22"/>
        </w:rPr>
        <w:t>9</w:t>
      </w:r>
      <w:r w:rsidRPr="005A55CA">
        <w:rPr>
          <w:szCs w:val="22"/>
        </w:rPr>
        <w:t xml:space="preserve"> </w:t>
      </w:r>
      <w:r>
        <w:rPr>
          <w:szCs w:val="22"/>
        </w:rPr>
        <w:t>näeb ette teavitamissätted juhtorgani liikme ja audiitorettevõtja valimisel või määramisel, tagasiastumisel, tagasikutsumisel või volituste pikendamisel. t</w:t>
      </w:r>
    </w:p>
    <w:p w14:paraId="403611C7" w14:textId="77777777" w:rsidR="00356262" w:rsidRDefault="00356262" w:rsidP="00356262">
      <w:pPr>
        <w:pStyle w:val="Normal2"/>
        <w:rPr>
          <w:szCs w:val="22"/>
        </w:rPr>
      </w:pPr>
    </w:p>
    <w:p w14:paraId="7554D622" w14:textId="77777777" w:rsidR="00356262" w:rsidRDefault="00356262" w:rsidP="00356262">
      <w:pPr>
        <w:pStyle w:val="Normal2"/>
        <w:rPr>
          <w:szCs w:val="22"/>
        </w:rPr>
      </w:pPr>
      <w:r>
        <w:rPr>
          <w:b/>
          <w:bCs w:val="0"/>
          <w:szCs w:val="22"/>
        </w:rPr>
        <w:t>Lõike 1</w:t>
      </w:r>
      <w:r>
        <w:rPr>
          <w:szCs w:val="22"/>
        </w:rPr>
        <w:t xml:space="preserve"> kohaselt peab juhtorgani liikme valimiseks või määramiseks olema selle isiku kirjalik nõusolek. Nõusolekuga koos esitab vastav isik teenuseosutajale andmed nii enda kohta (</w:t>
      </w:r>
      <w:r w:rsidRPr="00316C35">
        <w:rPr>
          <w:b/>
          <w:bCs w:val="0"/>
          <w:szCs w:val="22"/>
        </w:rPr>
        <w:t>punkt 1</w:t>
      </w:r>
      <w:r>
        <w:rPr>
          <w:szCs w:val="22"/>
        </w:rPr>
        <w:t>) kui ka andmed äriühingute kohta, milles tema osalus on suurem kui 20 protsenti (</w:t>
      </w:r>
      <w:r w:rsidRPr="00316C35">
        <w:rPr>
          <w:b/>
          <w:bCs w:val="0"/>
          <w:szCs w:val="22"/>
        </w:rPr>
        <w:t>punkt 2</w:t>
      </w:r>
      <w:r>
        <w:rPr>
          <w:szCs w:val="22"/>
        </w:rPr>
        <w:t xml:space="preserve">). Lisaks peab see isik </w:t>
      </w:r>
      <w:r>
        <w:rPr>
          <w:b/>
          <w:bCs w:val="0"/>
          <w:szCs w:val="22"/>
        </w:rPr>
        <w:t xml:space="preserve">punkti 3 </w:t>
      </w:r>
      <w:r w:rsidRPr="00316C35">
        <w:rPr>
          <w:szCs w:val="22"/>
        </w:rPr>
        <w:t>alusel</w:t>
      </w:r>
      <w:r>
        <w:rPr>
          <w:b/>
          <w:bCs w:val="0"/>
          <w:szCs w:val="22"/>
        </w:rPr>
        <w:t xml:space="preserve"> </w:t>
      </w:r>
      <w:r>
        <w:rPr>
          <w:szCs w:val="22"/>
        </w:rPr>
        <w:t xml:space="preserve">kinnitama, et tema puhul ei esine juhtorgani liikmeks olemist välistavaid asjaolusid, mis on ette nähtud seaduses.  </w:t>
      </w:r>
    </w:p>
    <w:p w14:paraId="52A7C432" w14:textId="77777777" w:rsidR="00356262" w:rsidRDefault="00356262" w:rsidP="00356262">
      <w:pPr>
        <w:pStyle w:val="Normal2"/>
        <w:rPr>
          <w:szCs w:val="22"/>
        </w:rPr>
      </w:pPr>
    </w:p>
    <w:p w14:paraId="091E9719" w14:textId="65458E70" w:rsidR="00356262" w:rsidRDefault="00356262" w:rsidP="00356262">
      <w:pPr>
        <w:pStyle w:val="Normal2"/>
        <w:rPr>
          <w:szCs w:val="22"/>
        </w:rPr>
      </w:pPr>
      <w:r>
        <w:rPr>
          <w:b/>
          <w:bCs w:val="0"/>
          <w:szCs w:val="22"/>
        </w:rPr>
        <w:t xml:space="preserve">Lõikega 2 </w:t>
      </w:r>
      <w:r w:rsidRPr="005A55CA">
        <w:rPr>
          <w:szCs w:val="22"/>
        </w:rPr>
        <w:t>sätestatakse, et juht</w:t>
      </w:r>
      <w:r>
        <w:rPr>
          <w:szCs w:val="22"/>
        </w:rPr>
        <w:t>organi liikmete</w:t>
      </w:r>
      <w:r w:rsidRPr="005A55CA">
        <w:rPr>
          <w:szCs w:val="22"/>
        </w:rPr>
        <w:t xml:space="preserve"> </w:t>
      </w:r>
      <w:r>
        <w:rPr>
          <w:szCs w:val="22"/>
        </w:rPr>
        <w:t>valimisest</w:t>
      </w:r>
      <w:r w:rsidRPr="005A55CA">
        <w:rPr>
          <w:szCs w:val="22"/>
        </w:rPr>
        <w:t xml:space="preserve"> tuleb eelnevalt teavitada ka Finantsinspektsiooni.</w:t>
      </w:r>
      <w:r>
        <w:rPr>
          <w:szCs w:val="22"/>
        </w:rPr>
        <w:t xml:space="preserve"> </w:t>
      </w:r>
      <w:r w:rsidRPr="005A55CA">
        <w:rPr>
          <w:szCs w:val="22"/>
        </w:rPr>
        <w:t>Järelevalveasutusel peab olema võimalus hinnata isiku sobivust ja nõuetele vastavust enne tema valimist või määramist.</w:t>
      </w:r>
      <w:r>
        <w:rPr>
          <w:szCs w:val="22"/>
        </w:rPr>
        <w:t xml:space="preserve"> </w:t>
      </w:r>
    </w:p>
    <w:p w14:paraId="759740E4" w14:textId="77777777" w:rsidR="00356262" w:rsidRDefault="00356262" w:rsidP="00356262">
      <w:pPr>
        <w:pStyle w:val="Normal2"/>
        <w:rPr>
          <w:szCs w:val="22"/>
        </w:rPr>
      </w:pPr>
    </w:p>
    <w:p w14:paraId="46A16E7A" w14:textId="77777777" w:rsidR="00356262" w:rsidRPr="00D143F1" w:rsidRDefault="00356262" w:rsidP="00356262">
      <w:pPr>
        <w:pStyle w:val="Normal2"/>
        <w:rPr>
          <w:szCs w:val="22"/>
        </w:rPr>
      </w:pPr>
      <w:r>
        <w:rPr>
          <w:szCs w:val="22"/>
        </w:rPr>
        <w:t xml:space="preserve">Samuti peab </w:t>
      </w:r>
      <w:r>
        <w:rPr>
          <w:b/>
          <w:bCs w:val="0"/>
          <w:szCs w:val="22"/>
        </w:rPr>
        <w:t xml:space="preserve">lõike 3 </w:t>
      </w:r>
      <w:r>
        <w:rPr>
          <w:szCs w:val="22"/>
        </w:rPr>
        <w:t xml:space="preserve">kohaselt Finantsinspektsiooni teavitama audiitorettevõtja määramisest, esitades sealhulgas audiitorettevõtja kinnituse, </w:t>
      </w:r>
      <w:r>
        <w:t>et tema suhtes puuduvad asjaolud, mis välistavad õiguse olla teenuseosutaja audiitorettevõtja.</w:t>
      </w:r>
    </w:p>
    <w:p w14:paraId="3A181DB4" w14:textId="77777777" w:rsidR="00356262" w:rsidRPr="005A55CA" w:rsidRDefault="00356262" w:rsidP="00356262">
      <w:pPr>
        <w:pStyle w:val="Normal2"/>
        <w:rPr>
          <w:szCs w:val="22"/>
        </w:rPr>
      </w:pPr>
    </w:p>
    <w:p w14:paraId="4A3864FF" w14:textId="77777777" w:rsidR="00356262" w:rsidRDefault="00356262" w:rsidP="00356262">
      <w:pPr>
        <w:pStyle w:val="Normal2"/>
      </w:pPr>
      <w:r>
        <w:rPr>
          <w:b/>
          <w:bCs w:val="0"/>
          <w:szCs w:val="22"/>
        </w:rPr>
        <w:t xml:space="preserve">Lõige 4. </w:t>
      </w:r>
      <w:r>
        <w:t>Selleks, et Finantsinspektsioon saaks hinnata teenuseosutaja juhtorgani liikmete ja audiitorettevõtja nõuetekohasust, tuleks Finantsinspektsiooni teavitada 10 päeva enne isiku valimise, määramise, volituste pikendamise kohta või tagasikutsumise kohta otsuse tegemist. Finantsinspektsiooni tuleks teavitada ka isiku tagasiastumisest viivitamata pärast vastava avalduse saamist. See peaks olema muu hulgas teenuseosutaja enda huvides, et näiteks uus juhtorgani liige vastaks ka Finantsinspektsiooni hinnangul nõuetele enne, kui ta ametisse valitakse.</w:t>
      </w:r>
    </w:p>
    <w:p w14:paraId="708765F9" w14:textId="77777777" w:rsidR="00356262" w:rsidRDefault="00356262" w:rsidP="00356262">
      <w:pPr>
        <w:pStyle w:val="Normal2"/>
      </w:pPr>
    </w:p>
    <w:p w14:paraId="155FEB69" w14:textId="77777777" w:rsidR="00356262" w:rsidRPr="006F666D" w:rsidRDefault="00356262" w:rsidP="00356262">
      <w:pPr>
        <w:pStyle w:val="Normal2"/>
      </w:pPr>
      <w:r w:rsidRPr="006F666D">
        <w:rPr>
          <w:b/>
          <w:bCs w:val="0"/>
        </w:rPr>
        <w:t>Paragrahvi 30</w:t>
      </w:r>
      <w:r>
        <w:t xml:space="preserve"> </w:t>
      </w:r>
      <w:r w:rsidRPr="005A55CA">
        <w:rPr>
          <w:szCs w:val="22"/>
        </w:rPr>
        <w:t>kohaselt on Finantsinspektsioonil õigus nõuda teenuseosutaja juhtorgani liikmete tagasikutsumist. Sarnased sätted on analoogsed teistes finantsturgu reguleerivates seadustes sätestatuga. Arvestades finantssektori ettevõtjate kindla ja usaldusväärse juhtimise olulisust tsiviilkäibes, on antud avalikkuse kaitse huvidest lähtuvalt järelevalveasutusele laialdased volitused ettevõtja privaatautonoomiasse</w:t>
      </w:r>
      <w:r>
        <w:rPr>
          <w:szCs w:val="22"/>
        </w:rPr>
        <w:t xml:space="preserve"> </w:t>
      </w:r>
      <w:r w:rsidRPr="005A55CA">
        <w:rPr>
          <w:szCs w:val="22"/>
        </w:rPr>
        <w:t>sekkumisel sellisel juhul, kui juhtorgani liige ei vasta seaduses sätestatud nõuetele, kui isik on esitanud enda valimise või määramisega seoses valeandmeid või kui isiku tegevus on näidanud, et ta ei sobi teenuseosutaja juhtorgani liikmeks (</w:t>
      </w:r>
      <w:r w:rsidRPr="005A55CA">
        <w:rPr>
          <w:b/>
          <w:szCs w:val="22"/>
        </w:rPr>
        <w:t xml:space="preserve">lõige </w:t>
      </w:r>
      <w:r>
        <w:rPr>
          <w:b/>
          <w:szCs w:val="22"/>
        </w:rPr>
        <w:t>1</w:t>
      </w:r>
      <w:r w:rsidRPr="005A55CA">
        <w:rPr>
          <w:szCs w:val="22"/>
        </w:rPr>
        <w:t xml:space="preserve">). </w:t>
      </w:r>
      <w:r w:rsidRPr="005A55CA">
        <w:rPr>
          <w:b/>
          <w:szCs w:val="22"/>
        </w:rPr>
        <w:t xml:space="preserve">Lõikes </w:t>
      </w:r>
      <w:r>
        <w:rPr>
          <w:b/>
          <w:szCs w:val="22"/>
        </w:rPr>
        <w:t>2</w:t>
      </w:r>
      <w:r w:rsidRPr="005A55CA">
        <w:rPr>
          <w:szCs w:val="22"/>
        </w:rPr>
        <w:t xml:space="preserve"> on s</w:t>
      </w:r>
      <w:r>
        <w:rPr>
          <w:szCs w:val="22"/>
        </w:rPr>
        <w:t>ätestatud</w:t>
      </w:r>
      <w:r w:rsidRPr="005A55CA">
        <w:rPr>
          <w:szCs w:val="22"/>
        </w:rPr>
        <w:t>, et kui teenuseosutaja ei täida Finantsinspektsiooni ettekirjutust juh</w:t>
      </w:r>
      <w:r>
        <w:rPr>
          <w:szCs w:val="22"/>
        </w:rPr>
        <w:t>torgani liikme</w:t>
      </w:r>
      <w:r w:rsidRPr="005A55CA">
        <w:rPr>
          <w:szCs w:val="22"/>
        </w:rPr>
        <w:t xml:space="preserve"> tagasikutsumise kohta, võib Finantsinspektsioon tunnistada </w:t>
      </w:r>
      <w:r>
        <w:rPr>
          <w:szCs w:val="22"/>
        </w:rPr>
        <w:t xml:space="preserve">teenuseosutaja </w:t>
      </w:r>
      <w:r w:rsidRPr="005A55CA">
        <w:rPr>
          <w:szCs w:val="22"/>
        </w:rPr>
        <w:t xml:space="preserve">tegevusloa kehtetuks. </w:t>
      </w:r>
      <w:r w:rsidRPr="005A55CA">
        <w:rPr>
          <w:b/>
          <w:szCs w:val="22"/>
        </w:rPr>
        <w:t xml:space="preserve">Lõikega </w:t>
      </w:r>
      <w:r>
        <w:rPr>
          <w:b/>
          <w:szCs w:val="22"/>
        </w:rPr>
        <w:t>3</w:t>
      </w:r>
      <w:r w:rsidRPr="005A55CA">
        <w:rPr>
          <w:szCs w:val="22"/>
        </w:rPr>
        <w:t xml:space="preserve"> on ette nähtud erisäte tagasikutsutud </w:t>
      </w:r>
      <w:r>
        <w:rPr>
          <w:szCs w:val="22"/>
        </w:rPr>
        <w:t>juhtorgani</w:t>
      </w:r>
      <w:r w:rsidRPr="005A55CA">
        <w:rPr>
          <w:szCs w:val="22"/>
        </w:rPr>
        <w:t xml:space="preserve"> liikme puhuks, mille kohaselt võib uue </w:t>
      </w:r>
      <w:r>
        <w:rPr>
          <w:szCs w:val="22"/>
        </w:rPr>
        <w:t>juhtorgani</w:t>
      </w:r>
      <w:r w:rsidRPr="005A55CA">
        <w:rPr>
          <w:szCs w:val="22"/>
        </w:rPr>
        <w:t xml:space="preserve"> liikme määrata </w:t>
      </w:r>
      <w:r>
        <w:rPr>
          <w:szCs w:val="22"/>
        </w:rPr>
        <w:t>haldus</w:t>
      </w:r>
      <w:r w:rsidRPr="005A55CA">
        <w:rPr>
          <w:szCs w:val="22"/>
        </w:rPr>
        <w:t>kohus Finantsinspektsiooni, juhatuse, nõukogu</w:t>
      </w:r>
      <w:r>
        <w:rPr>
          <w:szCs w:val="22"/>
        </w:rPr>
        <w:t>, osaniku või aktsionäri nõudel.</w:t>
      </w:r>
      <w:r w:rsidRPr="005A55CA">
        <w:rPr>
          <w:szCs w:val="22"/>
        </w:rPr>
        <w:t xml:space="preserve"> </w:t>
      </w:r>
      <w:r>
        <w:rPr>
          <w:szCs w:val="22"/>
        </w:rPr>
        <w:t>Kohtu poolt määratud n</w:t>
      </w:r>
      <w:r w:rsidRPr="005A55CA">
        <w:rPr>
          <w:szCs w:val="22"/>
        </w:rPr>
        <w:t xml:space="preserve">õukogu liikme volitused kestavad kuni uue nõukogu liikme valimiseni üldkoosoleku </w:t>
      </w:r>
      <w:r>
        <w:rPr>
          <w:szCs w:val="22"/>
        </w:rPr>
        <w:t xml:space="preserve">või osanike koosoleku </w:t>
      </w:r>
      <w:r w:rsidRPr="005A55CA">
        <w:rPr>
          <w:szCs w:val="22"/>
        </w:rPr>
        <w:t xml:space="preserve">poolt. </w:t>
      </w:r>
    </w:p>
    <w:p w14:paraId="1BD6C8A1" w14:textId="77777777" w:rsidR="00356262" w:rsidRPr="005A55CA" w:rsidRDefault="00356262" w:rsidP="00356262">
      <w:pPr>
        <w:spacing w:before="0"/>
        <w:rPr>
          <w:sz w:val="22"/>
          <w:szCs w:val="22"/>
        </w:rPr>
      </w:pPr>
    </w:p>
    <w:p w14:paraId="19DB85C8" w14:textId="77777777" w:rsidR="00356262" w:rsidRPr="005A55CA" w:rsidRDefault="00356262" w:rsidP="00356262">
      <w:pPr>
        <w:pStyle w:val="Normal2"/>
        <w:rPr>
          <w:szCs w:val="22"/>
        </w:rPr>
      </w:pPr>
      <w:r w:rsidRPr="005A55CA">
        <w:rPr>
          <w:rStyle w:val="NormalMrk"/>
          <w:b/>
          <w:szCs w:val="22"/>
        </w:rPr>
        <w:t xml:space="preserve">Paragrahvis </w:t>
      </w:r>
      <w:r>
        <w:rPr>
          <w:rStyle w:val="NormalMrk"/>
          <w:b/>
          <w:szCs w:val="22"/>
        </w:rPr>
        <w:t>31</w:t>
      </w:r>
      <w:r w:rsidRPr="005A55CA">
        <w:rPr>
          <w:szCs w:val="22"/>
          <w:bdr w:val="none" w:sz="0" w:space="0" w:color="auto" w:frame="1"/>
        </w:rPr>
        <w:t xml:space="preserve"> käsitletakse </w:t>
      </w:r>
      <w:r w:rsidRPr="005A55CA">
        <w:rPr>
          <w:szCs w:val="22"/>
        </w:rPr>
        <w:t xml:space="preserve">juhtorgani liikmete ja töötajate tasustamisele kohalduvaid põhimõtteid. Nimetatud paragrahvi neljas punktis on </w:t>
      </w:r>
      <w:r>
        <w:rPr>
          <w:szCs w:val="22"/>
        </w:rPr>
        <w:t xml:space="preserve">loetletud </w:t>
      </w:r>
      <w:r w:rsidRPr="005A55CA">
        <w:rPr>
          <w:szCs w:val="22"/>
        </w:rPr>
        <w:t>põhimõtted, millele peab vastama töötajate ja juhtorgani liikmete tasustamine ning nendele antavate hüvede ja soodustuste määramise alused. Sealhulgas peab juhtorgani liikmete ja töötajate tasustamise põhimõtted või tööga kaasnevate hüvede määramise alused olema selged ja läbipaistvad ning kooskõlas usaldusväärse ja tõhusa riskide juhtimise põhimõtetega, teenuseosutaja pikaajaliste huvidega ning mitte soodustama ülemääraste riskide võtmist (</w:t>
      </w:r>
      <w:r w:rsidRPr="00020539">
        <w:rPr>
          <w:b/>
          <w:szCs w:val="22"/>
        </w:rPr>
        <w:t>punkt 1</w:t>
      </w:r>
      <w:r w:rsidRPr="005A55CA">
        <w:rPr>
          <w:szCs w:val="22"/>
        </w:rPr>
        <w:t>), tasustamine peab lähtuma teenuseosutaja äristrateegiast, väärtustest ja majandustulemustest (</w:t>
      </w:r>
      <w:r w:rsidRPr="00020539">
        <w:rPr>
          <w:b/>
          <w:szCs w:val="22"/>
        </w:rPr>
        <w:t>punkt 2</w:t>
      </w:r>
      <w:r w:rsidRPr="005A55CA">
        <w:rPr>
          <w:szCs w:val="22"/>
        </w:rPr>
        <w:t>), saadavad tasud või hüved peavad olema proportsionaalsed teenuseosutaja tegevuse laadi ja ulatusega ning tasu või hüve saaja vastutusvaldkonnaga (</w:t>
      </w:r>
      <w:r w:rsidRPr="00020539">
        <w:rPr>
          <w:b/>
          <w:szCs w:val="22"/>
        </w:rPr>
        <w:t>punkt 3</w:t>
      </w:r>
      <w:r w:rsidRPr="005A55CA">
        <w:rPr>
          <w:szCs w:val="22"/>
        </w:rPr>
        <w:t>), ning viimaks peavad tasustamise või hüvede andmise põhimõtted hõlmama huvide konflikti maandamise või vältimise meetmeid (</w:t>
      </w:r>
      <w:r w:rsidRPr="00020539">
        <w:rPr>
          <w:b/>
          <w:szCs w:val="22"/>
        </w:rPr>
        <w:t>punkt 4</w:t>
      </w:r>
      <w:r w:rsidRPr="005A55CA">
        <w:rPr>
          <w:szCs w:val="22"/>
        </w:rPr>
        <w:t>).</w:t>
      </w:r>
    </w:p>
    <w:p w14:paraId="15A81377" w14:textId="77777777" w:rsidR="00356262" w:rsidRPr="005A55CA" w:rsidRDefault="00356262" w:rsidP="00356262">
      <w:pPr>
        <w:pStyle w:val="Heading2"/>
        <w:spacing w:before="0"/>
        <w:jc w:val="both"/>
        <w:rPr>
          <w:color w:val="auto"/>
          <w:sz w:val="22"/>
          <w:szCs w:val="22"/>
        </w:rPr>
      </w:pPr>
    </w:p>
    <w:p w14:paraId="6BFF6C7B" w14:textId="77777777" w:rsidR="00356262" w:rsidRPr="005A55CA" w:rsidRDefault="00356262" w:rsidP="00356262">
      <w:pPr>
        <w:spacing w:before="0"/>
        <w:rPr>
          <w:sz w:val="22"/>
          <w:szCs w:val="22"/>
        </w:rPr>
      </w:pPr>
      <w:r w:rsidRPr="005A55CA">
        <w:rPr>
          <w:b/>
          <w:sz w:val="22"/>
          <w:szCs w:val="22"/>
        </w:rPr>
        <w:t xml:space="preserve">Paragrahvis </w:t>
      </w:r>
      <w:r>
        <w:rPr>
          <w:b/>
          <w:sz w:val="22"/>
          <w:szCs w:val="22"/>
        </w:rPr>
        <w:t>32</w:t>
      </w:r>
      <w:r w:rsidRPr="005A55CA">
        <w:rPr>
          <w:sz w:val="22"/>
          <w:szCs w:val="22"/>
        </w:rPr>
        <w:t xml:space="preserve"> sätestatakse, millised protseduurireeglid ehk </w:t>
      </w:r>
      <w:proofErr w:type="spellStart"/>
      <w:r w:rsidRPr="005A55CA">
        <w:rPr>
          <w:sz w:val="22"/>
          <w:szCs w:val="22"/>
        </w:rPr>
        <w:t>sise</w:t>
      </w:r>
      <w:proofErr w:type="spellEnd"/>
      <w:r w:rsidRPr="005A55CA">
        <w:rPr>
          <w:sz w:val="22"/>
          <w:szCs w:val="22"/>
        </w:rPr>
        <w:t>-eeskirjad peab teenuseosutaja kehtestama. Sise-eeskiri on põhiline ja peamine dokument, kus organisatsioonilised toimimismehhanismid peavad kirjas olema ning mis peab tagama teenuseosutaja tegevuse vastavuse õigusaktidele ja teenuseosutaja juhtorganite otsustele</w:t>
      </w:r>
      <w:r>
        <w:rPr>
          <w:sz w:val="22"/>
          <w:szCs w:val="22"/>
        </w:rPr>
        <w:t>, samuti teenuste õigus- ja korrapärase osutamise</w:t>
      </w:r>
      <w:r w:rsidRPr="005A55CA">
        <w:rPr>
          <w:sz w:val="22"/>
          <w:szCs w:val="22"/>
        </w:rPr>
        <w:t xml:space="preserve"> (</w:t>
      </w:r>
      <w:r w:rsidRPr="005A55CA">
        <w:rPr>
          <w:b/>
          <w:sz w:val="22"/>
          <w:szCs w:val="22"/>
        </w:rPr>
        <w:t>lõige 1</w:t>
      </w:r>
      <w:r w:rsidRPr="005A55CA">
        <w:rPr>
          <w:sz w:val="22"/>
          <w:szCs w:val="22"/>
        </w:rPr>
        <w:t>). Analoogiline säte on ka teiste finantssektori ettevõtjate tegevust reguleerivates seadustes.</w:t>
      </w:r>
    </w:p>
    <w:p w14:paraId="40F1A9FD" w14:textId="77777777" w:rsidR="00356262" w:rsidRDefault="00356262" w:rsidP="00356262">
      <w:pPr>
        <w:spacing w:before="0"/>
        <w:rPr>
          <w:sz w:val="22"/>
          <w:szCs w:val="22"/>
        </w:rPr>
      </w:pPr>
    </w:p>
    <w:p w14:paraId="121319C4" w14:textId="77777777" w:rsidR="00356262" w:rsidRPr="005A55CA" w:rsidRDefault="00356262" w:rsidP="00356262">
      <w:pPr>
        <w:pStyle w:val="Normal2"/>
        <w:rPr>
          <w:color w:val="202020"/>
          <w:szCs w:val="22"/>
        </w:rPr>
      </w:pPr>
      <w:r w:rsidRPr="005A55CA">
        <w:rPr>
          <w:b/>
          <w:color w:val="202020"/>
          <w:szCs w:val="22"/>
        </w:rPr>
        <w:t xml:space="preserve">Lõige </w:t>
      </w:r>
      <w:r>
        <w:rPr>
          <w:b/>
          <w:color w:val="202020"/>
          <w:szCs w:val="22"/>
        </w:rPr>
        <w:t>2</w:t>
      </w:r>
      <w:r w:rsidRPr="005A55CA">
        <w:rPr>
          <w:color w:val="202020"/>
          <w:szCs w:val="22"/>
        </w:rPr>
        <w:t xml:space="preserve"> sätestab, et teenuseosutaja määrab </w:t>
      </w:r>
      <w:proofErr w:type="spellStart"/>
      <w:r w:rsidRPr="005A55CA">
        <w:rPr>
          <w:color w:val="202020"/>
          <w:szCs w:val="22"/>
        </w:rPr>
        <w:t>sise</w:t>
      </w:r>
      <w:proofErr w:type="spellEnd"/>
      <w:r w:rsidRPr="005A55CA">
        <w:rPr>
          <w:color w:val="202020"/>
          <w:szCs w:val="22"/>
        </w:rPr>
        <w:t>-eeskirjas juhtorganite liikmete ja töötajate teadmiste, oskuste ja kogemuste taseme, mis on vajalik teenuseosutaja organisatsioonis ameti- või töökohtadel ülesannete täitmiseks. Teadmiste ja pädevuse taseme määramisel arvestatakse ameti- või töökohaga seotud ülesannete täitmiseks vajalikku kvalifikatsiooni ja ametialast kogemust.</w:t>
      </w:r>
    </w:p>
    <w:p w14:paraId="01D0394B" w14:textId="77777777" w:rsidR="00356262" w:rsidRDefault="00356262" w:rsidP="00356262">
      <w:pPr>
        <w:spacing w:before="0"/>
        <w:rPr>
          <w:sz w:val="22"/>
          <w:szCs w:val="22"/>
        </w:rPr>
      </w:pPr>
    </w:p>
    <w:p w14:paraId="2C32917E" w14:textId="77777777" w:rsidR="00356262" w:rsidRPr="005A55CA" w:rsidRDefault="00356262" w:rsidP="00356262">
      <w:pPr>
        <w:pStyle w:val="Normal2"/>
        <w:rPr>
          <w:color w:val="000000" w:themeColor="text1"/>
          <w:szCs w:val="22"/>
        </w:rPr>
      </w:pPr>
      <w:r w:rsidRPr="005A55CA">
        <w:rPr>
          <w:b/>
          <w:color w:val="000000" w:themeColor="text1"/>
          <w:szCs w:val="22"/>
        </w:rPr>
        <w:t xml:space="preserve">Lõige </w:t>
      </w:r>
      <w:r>
        <w:rPr>
          <w:b/>
          <w:color w:val="000000" w:themeColor="text1"/>
          <w:szCs w:val="22"/>
        </w:rPr>
        <w:t>3</w:t>
      </w:r>
      <w:r w:rsidRPr="005A55CA">
        <w:rPr>
          <w:b/>
          <w:color w:val="000000" w:themeColor="text1"/>
          <w:szCs w:val="22"/>
        </w:rPr>
        <w:t xml:space="preserve"> </w:t>
      </w:r>
      <w:r w:rsidRPr="005A55CA">
        <w:rPr>
          <w:color w:val="000000" w:themeColor="text1"/>
          <w:szCs w:val="22"/>
        </w:rPr>
        <w:t>kohustab teenuseosutaja juhtkonda kehtestama asjakohase korra ja menetlused, et tagada tõhus ja usaldusväärne juhtimine, sealhulgas ülesannete lahusus, talitluspidevus ja huvide konfliktide vältimine, ja teostab järelevalvet nende rakendamise üle, tehes seda turu usaldusväärsust ja klientide huve toetaval viisil.</w:t>
      </w:r>
    </w:p>
    <w:p w14:paraId="2B045ECD" w14:textId="77777777" w:rsidR="00356262" w:rsidRPr="005A55CA" w:rsidRDefault="00356262" w:rsidP="00356262">
      <w:pPr>
        <w:spacing w:before="0"/>
        <w:rPr>
          <w:sz w:val="22"/>
          <w:szCs w:val="22"/>
        </w:rPr>
      </w:pPr>
    </w:p>
    <w:p w14:paraId="61B5A8A6" w14:textId="77777777" w:rsidR="00356262" w:rsidRDefault="00356262" w:rsidP="00356262">
      <w:pPr>
        <w:spacing w:before="0"/>
        <w:rPr>
          <w:sz w:val="22"/>
          <w:szCs w:val="22"/>
        </w:rPr>
      </w:pPr>
      <w:r w:rsidRPr="006D0AC5">
        <w:rPr>
          <w:b/>
          <w:sz w:val="22"/>
          <w:szCs w:val="22"/>
        </w:rPr>
        <w:t xml:space="preserve">Lõike </w:t>
      </w:r>
      <w:r>
        <w:rPr>
          <w:b/>
          <w:sz w:val="22"/>
          <w:szCs w:val="22"/>
        </w:rPr>
        <w:t>4</w:t>
      </w:r>
      <w:r w:rsidRPr="006D0AC5">
        <w:rPr>
          <w:sz w:val="22"/>
          <w:szCs w:val="22"/>
        </w:rPr>
        <w:t xml:space="preserve"> eesmärk on täpsustada sama paragrahvi lõi</w:t>
      </w:r>
      <w:r>
        <w:rPr>
          <w:sz w:val="22"/>
          <w:szCs w:val="22"/>
        </w:rPr>
        <w:t>kes</w:t>
      </w:r>
      <w:r w:rsidRPr="006D0AC5">
        <w:rPr>
          <w:sz w:val="22"/>
          <w:szCs w:val="22"/>
        </w:rPr>
        <w:t xml:space="preserve"> 1 sätestatut ning loetleda, millised protseduurid ja tegevused peavad olema teenuseosutaja </w:t>
      </w:r>
      <w:proofErr w:type="spellStart"/>
      <w:r w:rsidRPr="006D0AC5">
        <w:rPr>
          <w:sz w:val="22"/>
          <w:szCs w:val="22"/>
        </w:rPr>
        <w:t>sise</w:t>
      </w:r>
      <w:proofErr w:type="spellEnd"/>
      <w:r w:rsidRPr="006D0AC5">
        <w:rPr>
          <w:sz w:val="22"/>
          <w:szCs w:val="22"/>
        </w:rPr>
        <w:t>-eeskirjaga hõlmatud. Nende alla kuuluvad</w:t>
      </w:r>
      <w:r>
        <w:rPr>
          <w:sz w:val="22"/>
          <w:szCs w:val="22"/>
        </w:rPr>
        <w:t>:</w:t>
      </w:r>
    </w:p>
    <w:p w14:paraId="1113E1C4" w14:textId="77777777" w:rsidR="00356262" w:rsidRDefault="00356262" w:rsidP="00356262">
      <w:pPr>
        <w:spacing w:before="0"/>
        <w:rPr>
          <w:sz w:val="22"/>
          <w:szCs w:val="22"/>
        </w:rPr>
      </w:pPr>
    </w:p>
    <w:p w14:paraId="42C8E08A" w14:textId="77777777" w:rsidR="00356262" w:rsidRDefault="00356262" w:rsidP="002B2C7C">
      <w:pPr>
        <w:numPr>
          <w:ilvl w:val="0"/>
          <w:numId w:val="30"/>
        </w:numPr>
        <w:rPr>
          <w:sz w:val="22"/>
          <w:szCs w:val="22"/>
        </w:rPr>
      </w:pPr>
      <w:r w:rsidRPr="006D0AC5">
        <w:rPr>
          <w:sz w:val="22"/>
          <w:szCs w:val="22"/>
        </w:rPr>
        <w:lastRenderedPageBreak/>
        <w:t>asutusesisese teabe ja dokumentide liikumise kord (</w:t>
      </w:r>
      <w:r w:rsidRPr="006D0AC5">
        <w:rPr>
          <w:b/>
          <w:sz w:val="22"/>
          <w:szCs w:val="22"/>
        </w:rPr>
        <w:t>punkt 1</w:t>
      </w:r>
      <w:r w:rsidRPr="006D0AC5">
        <w:rPr>
          <w:sz w:val="22"/>
          <w:szCs w:val="22"/>
        </w:rPr>
        <w:t>), teenuse osutamise kord (</w:t>
      </w:r>
      <w:r w:rsidRPr="006D0AC5">
        <w:rPr>
          <w:b/>
          <w:sz w:val="22"/>
          <w:szCs w:val="22"/>
        </w:rPr>
        <w:t>punkt 2</w:t>
      </w:r>
      <w:r w:rsidRPr="006D0AC5">
        <w:rPr>
          <w:sz w:val="22"/>
          <w:szCs w:val="22"/>
        </w:rPr>
        <w:t xml:space="preserve">), </w:t>
      </w:r>
      <w:r>
        <w:rPr>
          <w:sz w:val="22"/>
          <w:szCs w:val="22"/>
        </w:rPr>
        <w:t xml:space="preserve">juhtorgani liikmete </w:t>
      </w:r>
      <w:proofErr w:type="spellStart"/>
      <w:r>
        <w:rPr>
          <w:sz w:val="22"/>
          <w:szCs w:val="22"/>
        </w:rPr>
        <w:t>sobivushindamiskord</w:t>
      </w:r>
      <w:proofErr w:type="spellEnd"/>
      <w:r>
        <w:rPr>
          <w:sz w:val="22"/>
          <w:szCs w:val="22"/>
        </w:rPr>
        <w:t xml:space="preserve"> (</w:t>
      </w:r>
      <w:r>
        <w:rPr>
          <w:b/>
          <w:bCs/>
          <w:sz w:val="22"/>
          <w:szCs w:val="22"/>
        </w:rPr>
        <w:t xml:space="preserve">punkt 5), </w:t>
      </w:r>
      <w:r w:rsidRPr="006D0AC5">
        <w:rPr>
          <w:sz w:val="22"/>
          <w:szCs w:val="22"/>
        </w:rPr>
        <w:t>huvide konflikti vältimise kirjeldus (</w:t>
      </w:r>
      <w:r w:rsidRPr="006D0AC5">
        <w:rPr>
          <w:b/>
          <w:sz w:val="22"/>
          <w:szCs w:val="22"/>
        </w:rPr>
        <w:t xml:space="preserve">punkt </w:t>
      </w:r>
      <w:r>
        <w:rPr>
          <w:b/>
          <w:sz w:val="22"/>
          <w:szCs w:val="22"/>
        </w:rPr>
        <w:t>6</w:t>
      </w:r>
      <w:r w:rsidRPr="006D0AC5">
        <w:rPr>
          <w:sz w:val="22"/>
          <w:szCs w:val="22"/>
        </w:rPr>
        <w:t>)</w:t>
      </w:r>
      <w:r>
        <w:rPr>
          <w:sz w:val="22"/>
          <w:szCs w:val="22"/>
        </w:rPr>
        <w:t>,</w:t>
      </w:r>
      <w:r w:rsidRPr="006D0AC5">
        <w:rPr>
          <w:sz w:val="22"/>
          <w:szCs w:val="22"/>
        </w:rPr>
        <w:t xml:space="preserve"> jne. Võrreldes teiste finantssektoris tegutsevate ettevõtjatega on käesoleva seaduse puhul erilist rõhku pandud punktile 1</w:t>
      </w:r>
      <w:r>
        <w:rPr>
          <w:sz w:val="22"/>
          <w:szCs w:val="22"/>
        </w:rPr>
        <w:t>2</w:t>
      </w:r>
      <w:r w:rsidRPr="006D0AC5">
        <w:rPr>
          <w:sz w:val="22"/>
          <w:szCs w:val="22"/>
        </w:rPr>
        <w:t xml:space="preserve">, mille järgi peab </w:t>
      </w:r>
      <w:proofErr w:type="spellStart"/>
      <w:r w:rsidRPr="006D0AC5">
        <w:rPr>
          <w:sz w:val="22"/>
          <w:szCs w:val="22"/>
        </w:rPr>
        <w:t>sise</w:t>
      </w:r>
      <w:proofErr w:type="spellEnd"/>
      <w:r w:rsidRPr="006D0AC5">
        <w:rPr>
          <w:sz w:val="22"/>
          <w:szCs w:val="22"/>
        </w:rPr>
        <w:t xml:space="preserve">-eeskiri käsitlema ka sisemisi protseduurireegleid teenuseosutaja tegevust reguleerivates õigusaktides kehtestatud kohustuste rikkumise või võimaliku rikkumise kohta teavituste vastuvõtmiseks ja töötlemiseks ning selle tagajärgede kõrvaldamiseks. Lisaks eelnevale määratakse </w:t>
      </w:r>
      <w:proofErr w:type="spellStart"/>
      <w:r w:rsidRPr="006D0AC5">
        <w:rPr>
          <w:sz w:val="22"/>
          <w:szCs w:val="22"/>
        </w:rPr>
        <w:t>sise</w:t>
      </w:r>
      <w:proofErr w:type="spellEnd"/>
      <w:r w:rsidRPr="006D0AC5">
        <w:rPr>
          <w:sz w:val="22"/>
          <w:szCs w:val="22"/>
        </w:rPr>
        <w:t>-eeskirjas veel tehingute ja toimingute tegemise kord teenuseosutaja nimel ja arvel ning klientide nimel ja arvel (</w:t>
      </w:r>
      <w:r w:rsidRPr="006D0AC5">
        <w:rPr>
          <w:b/>
          <w:sz w:val="22"/>
          <w:szCs w:val="22"/>
        </w:rPr>
        <w:t>punkt 3</w:t>
      </w:r>
      <w:r w:rsidRPr="006D0AC5">
        <w:rPr>
          <w:sz w:val="22"/>
          <w:szCs w:val="22"/>
        </w:rPr>
        <w:t>);</w:t>
      </w:r>
    </w:p>
    <w:p w14:paraId="2F5ADAC9" w14:textId="77777777" w:rsidR="00356262" w:rsidRPr="003C63A8" w:rsidRDefault="00356262" w:rsidP="002B2C7C">
      <w:pPr>
        <w:numPr>
          <w:ilvl w:val="0"/>
          <w:numId w:val="30"/>
        </w:numPr>
        <w:rPr>
          <w:sz w:val="22"/>
          <w:szCs w:val="22"/>
        </w:rPr>
      </w:pPr>
      <w:r w:rsidRPr="003C63A8">
        <w:rPr>
          <w:sz w:val="22"/>
          <w:szCs w:val="22"/>
        </w:rPr>
        <w:t>töötajate töö- või ametiülesanded, alluvussuhted, aruandlusahelad, aruannete esitamise protseduur ja õiguste delegeerimine, sätestades funktsioonide lahususe teenuseosutaja nimel kohustuste võtmisel, teenuste kajastamisel raamatupidamises ja aruannetes ning riskide hindamisel (</w:t>
      </w:r>
      <w:r w:rsidRPr="003C63A8">
        <w:rPr>
          <w:b/>
          <w:sz w:val="22"/>
          <w:szCs w:val="22"/>
        </w:rPr>
        <w:t>punkt 4</w:t>
      </w:r>
      <w:r w:rsidRPr="003C63A8">
        <w:rPr>
          <w:sz w:val="22"/>
          <w:szCs w:val="22"/>
        </w:rPr>
        <w:t>);</w:t>
      </w:r>
    </w:p>
    <w:p w14:paraId="4B8823E4" w14:textId="77777777" w:rsidR="00356262" w:rsidRPr="003C63A8" w:rsidRDefault="00356262" w:rsidP="002B2C7C">
      <w:pPr>
        <w:numPr>
          <w:ilvl w:val="0"/>
          <w:numId w:val="30"/>
        </w:numPr>
        <w:rPr>
          <w:sz w:val="22"/>
          <w:szCs w:val="22"/>
        </w:rPr>
      </w:pPr>
      <w:r w:rsidRPr="003C63A8">
        <w:rPr>
          <w:sz w:val="22"/>
          <w:szCs w:val="22"/>
        </w:rPr>
        <w:t>teenuse osutamisega seotud tegevuste edasiandmise kord (</w:t>
      </w:r>
      <w:r w:rsidRPr="003C63A8">
        <w:rPr>
          <w:b/>
          <w:sz w:val="22"/>
          <w:szCs w:val="22"/>
        </w:rPr>
        <w:t xml:space="preserve">punkt </w:t>
      </w:r>
      <w:r>
        <w:rPr>
          <w:b/>
          <w:sz w:val="22"/>
          <w:szCs w:val="22"/>
        </w:rPr>
        <w:t>7</w:t>
      </w:r>
      <w:r w:rsidRPr="003C63A8">
        <w:rPr>
          <w:sz w:val="22"/>
          <w:szCs w:val="22"/>
        </w:rPr>
        <w:t>);</w:t>
      </w:r>
    </w:p>
    <w:p w14:paraId="40D5B79F" w14:textId="77777777" w:rsidR="00356262" w:rsidRPr="003C63A8" w:rsidRDefault="00356262" w:rsidP="002B2C7C">
      <w:pPr>
        <w:numPr>
          <w:ilvl w:val="0"/>
          <w:numId w:val="30"/>
        </w:numPr>
        <w:rPr>
          <w:sz w:val="22"/>
          <w:szCs w:val="22"/>
        </w:rPr>
      </w:pPr>
      <w:r w:rsidRPr="003C63A8">
        <w:rPr>
          <w:sz w:val="22"/>
          <w:szCs w:val="22"/>
        </w:rPr>
        <w:t>registripidamise, andmekogude pidamise ja andmete käitlemise kord (</w:t>
      </w:r>
      <w:r w:rsidRPr="003C63A8">
        <w:rPr>
          <w:b/>
          <w:sz w:val="22"/>
          <w:szCs w:val="22"/>
        </w:rPr>
        <w:t xml:space="preserve">punkt </w:t>
      </w:r>
      <w:r>
        <w:rPr>
          <w:b/>
          <w:sz w:val="22"/>
          <w:szCs w:val="22"/>
        </w:rPr>
        <w:t>8</w:t>
      </w:r>
      <w:r w:rsidRPr="003C63A8">
        <w:rPr>
          <w:sz w:val="22"/>
          <w:szCs w:val="22"/>
        </w:rPr>
        <w:t>);</w:t>
      </w:r>
    </w:p>
    <w:p w14:paraId="61F227C6" w14:textId="77777777" w:rsidR="00356262" w:rsidRPr="003C63A8" w:rsidRDefault="00356262" w:rsidP="002B2C7C">
      <w:pPr>
        <w:numPr>
          <w:ilvl w:val="0"/>
          <w:numId w:val="30"/>
        </w:numPr>
        <w:rPr>
          <w:sz w:val="22"/>
          <w:szCs w:val="22"/>
        </w:rPr>
      </w:pPr>
      <w:r w:rsidRPr="003C63A8">
        <w:rPr>
          <w:sz w:val="22"/>
          <w:szCs w:val="22"/>
        </w:rPr>
        <w:t>sisemised protseduurireeglid, millega määratakse kasutatavate infotehnoloogiaalaste ning klientide vara hoidmise süsteemide turvalisus ning nende regulaarne kontrollimine (</w:t>
      </w:r>
      <w:r w:rsidRPr="003C63A8">
        <w:rPr>
          <w:b/>
          <w:sz w:val="22"/>
          <w:szCs w:val="22"/>
        </w:rPr>
        <w:t xml:space="preserve">punkt </w:t>
      </w:r>
      <w:r>
        <w:rPr>
          <w:b/>
          <w:sz w:val="22"/>
          <w:szCs w:val="22"/>
        </w:rPr>
        <w:t>9</w:t>
      </w:r>
      <w:r w:rsidRPr="003C63A8">
        <w:rPr>
          <w:sz w:val="22"/>
          <w:szCs w:val="22"/>
        </w:rPr>
        <w:t>);</w:t>
      </w:r>
      <w:r w:rsidRPr="003C63A8">
        <w:rPr>
          <w:sz w:val="22"/>
          <w:szCs w:val="22"/>
        </w:rPr>
        <w:br/>
        <w:t>sisekontrolli süsteemi toimimise kord, vastavuskontrolli ja riskijuhtimise reeglid ning nende rakendamise kord (</w:t>
      </w:r>
      <w:r w:rsidRPr="003C63A8">
        <w:rPr>
          <w:b/>
          <w:sz w:val="22"/>
          <w:szCs w:val="22"/>
        </w:rPr>
        <w:t xml:space="preserve">punkt </w:t>
      </w:r>
      <w:r>
        <w:rPr>
          <w:b/>
          <w:sz w:val="22"/>
          <w:szCs w:val="22"/>
        </w:rPr>
        <w:t>10</w:t>
      </w:r>
      <w:r w:rsidRPr="003C63A8">
        <w:rPr>
          <w:sz w:val="22"/>
          <w:szCs w:val="22"/>
        </w:rPr>
        <w:t>);</w:t>
      </w:r>
    </w:p>
    <w:p w14:paraId="21ECCF0B" w14:textId="77777777" w:rsidR="00356262" w:rsidRDefault="00356262" w:rsidP="002B2C7C">
      <w:pPr>
        <w:numPr>
          <w:ilvl w:val="0"/>
          <w:numId w:val="30"/>
        </w:numPr>
        <w:rPr>
          <w:sz w:val="22"/>
          <w:szCs w:val="22"/>
        </w:rPr>
      </w:pPr>
      <w:r w:rsidRPr="003C63A8">
        <w:rPr>
          <w:sz w:val="22"/>
          <w:szCs w:val="22"/>
        </w:rPr>
        <w:t>sisemised protseduurireeglid rahvusvahelise sanktsiooni seaduse alusel kehtestatud rahvusvaheliste sanktsioonide rakendamiseks ning rahapesu ja terrorismi rahastamise tõkestamise seaduse rakendamiseks ning nende täitmise kontrollimise sisekontrollieeskirjad (</w:t>
      </w:r>
      <w:r w:rsidRPr="003C63A8">
        <w:rPr>
          <w:b/>
          <w:sz w:val="22"/>
          <w:szCs w:val="22"/>
        </w:rPr>
        <w:t>punkt 1</w:t>
      </w:r>
      <w:r>
        <w:rPr>
          <w:b/>
          <w:sz w:val="22"/>
          <w:szCs w:val="22"/>
        </w:rPr>
        <w:t>1</w:t>
      </w:r>
      <w:r w:rsidRPr="003C63A8">
        <w:rPr>
          <w:sz w:val="22"/>
          <w:szCs w:val="22"/>
        </w:rPr>
        <w:t>);</w:t>
      </w:r>
    </w:p>
    <w:p w14:paraId="14CF92FE" w14:textId="77777777" w:rsidR="00356262" w:rsidRPr="003C63A8" w:rsidRDefault="00356262" w:rsidP="002B2C7C">
      <w:pPr>
        <w:numPr>
          <w:ilvl w:val="0"/>
          <w:numId w:val="30"/>
        </w:numPr>
        <w:rPr>
          <w:sz w:val="22"/>
          <w:szCs w:val="22"/>
        </w:rPr>
      </w:pPr>
      <w:r w:rsidRPr="00E15E73">
        <w:rPr>
          <w:sz w:val="22"/>
          <w:szCs w:val="22"/>
        </w:rPr>
        <w:t>sisemised protseduurireeglid teenuseosutaja tegevust reguleerivates õigusaktides kehtestatud kohustuste rikkumise või võimaliku rikkumise kohta teavituste vastuvõtmiseks, töötlemiseks ja edastamiseks ning tagajärgedega tegelemiseks</w:t>
      </w:r>
      <w:r>
        <w:rPr>
          <w:sz w:val="22"/>
          <w:szCs w:val="22"/>
        </w:rPr>
        <w:t xml:space="preserve"> (</w:t>
      </w:r>
      <w:r w:rsidRPr="00E15E73">
        <w:rPr>
          <w:b/>
          <w:sz w:val="22"/>
          <w:szCs w:val="22"/>
        </w:rPr>
        <w:t>punkt 1</w:t>
      </w:r>
      <w:r>
        <w:rPr>
          <w:b/>
          <w:sz w:val="22"/>
          <w:szCs w:val="22"/>
        </w:rPr>
        <w:t>2</w:t>
      </w:r>
      <w:r>
        <w:rPr>
          <w:sz w:val="22"/>
          <w:szCs w:val="22"/>
        </w:rPr>
        <w:t>)</w:t>
      </w:r>
      <w:r w:rsidRPr="00E15E73">
        <w:rPr>
          <w:sz w:val="22"/>
          <w:szCs w:val="22"/>
        </w:rPr>
        <w:t>;</w:t>
      </w:r>
    </w:p>
    <w:p w14:paraId="7A46E460" w14:textId="77777777" w:rsidR="00356262" w:rsidRPr="003C63A8" w:rsidRDefault="00356262" w:rsidP="002B2C7C">
      <w:pPr>
        <w:numPr>
          <w:ilvl w:val="0"/>
          <w:numId w:val="30"/>
        </w:numPr>
        <w:rPr>
          <w:sz w:val="22"/>
          <w:szCs w:val="22"/>
        </w:rPr>
      </w:pPr>
      <w:r w:rsidRPr="003C63A8">
        <w:rPr>
          <w:sz w:val="22"/>
          <w:szCs w:val="22"/>
        </w:rPr>
        <w:t>turvaintsidentide väljaselgitamise ja lahendamise ning nende suhtes meetmete rakendamise kord, sealhulgas intsidentidest teatamise kord, ning oluliste operatsiooni- ja turvaintsidentide avastamise ja klassifitseerimise menetlus (</w:t>
      </w:r>
      <w:r w:rsidRPr="003C63A8">
        <w:rPr>
          <w:b/>
          <w:sz w:val="22"/>
          <w:szCs w:val="22"/>
        </w:rPr>
        <w:t>punkt 1</w:t>
      </w:r>
      <w:r>
        <w:rPr>
          <w:b/>
          <w:sz w:val="22"/>
          <w:szCs w:val="22"/>
        </w:rPr>
        <w:t>3</w:t>
      </w:r>
      <w:r w:rsidRPr="003C63A8">
        <w:rPr>
          <w:sz w:val="22"/>
          <w:szCs w:val="22"/>
        </w:rPr>
        <w:t>);</w:t>
      </w:r>
    </w:p>
    <w:p w14:paraId="0CB4295E" w14:textId="77777777" w:rsidR="00356262" w:rsidRPr="003C63A8" w:rsidRDefault="00356262" w:rsidP="002B2C7C">
      <w:pPr>
        <w:numPr>
          <w:ilvl w:val="0"/>
          <w:numId w:val="30"/>
        </w:numPr>
        <w:rPr>
          <w:sz w:val="22"/>
          <w:szCs w:val="22"/>
        </w:rPr>
      </w:pPr>
      <w:r w:rsidRPr="003C63A8">
        <w:rPr>
          <w:sz w:val="22"/>
          <w:szCs w:val="22"/>
        </w:rPr>
        <w:t>tundlikele andmetele juurdepääsu registreerimise, seire, jälgimise ja piiramise kord (</w:t>
      </w:r>
      <w:r w:rsidRPr="003C63A8">
        <w:rPr>
          <w:b/>
          <w:sz w:val="22"/>
          <w:szCs w:val="22"/>
        </w:rPr>
        <w:t>punkt 1</w:t>
      </w:r>
      <w:r>
        <w:rPr>
          <w:b/>
          <w:sz w:val="22"/>
          <w:szCs w:val="22"/>
        </w:rPr>
        <w:t>4</w:t>
      </w:r>
      <w:r w:rsidRPr="003C63A8">
        <w:rPr>
          <w:sz w:val="22"/>
          <w:szCs w:val="22"/>
        </w:rPr>
        <w:t>);</w:t>
      </w:r>
    </w:p>
    <w:p w14:paraId="76A3C39A" w14:textId="77777777" w:rsidR="00356262" w:rsidRPr="003C63A8" w:rsidRDefault="00356262" w:rsidP="002B2C7C">
      <w:pPr>
        <w:numPr>
          <w:ilvl w:val="0"/>
          <w:numId w:val="30"/>
        </w:numPr>
        <w:rPr>
          <w:sz w:val="22"/>
          <w:szCs w:val="22"/>
        </w:rPr>
      </w:pPr>
      <w:r w:rsidRPr="003C63A8">
        <w:rPr>
          <w:sz w:val="22"/>
          <w:szCs w:val="22"/>
        </w:rPr>
        <w:t>talitluspidevuse tagamise kord, sealhulgas nende plaanide asjakohasuse ja tõhususe regulaarse katsetamise ja läbivaatamise menetlus</w:t>
      </w:r>
      <w:r>
        <w:rPr>
          <w:sz w:val="22"/>
          <w:szCs w:val="22"/>
        </w:rPr>
        <w:t xml:space="preserve"> </w:t>
      </w:r>
      <w:r w:rsidRPr="003C63A8">
        <w:rPr>
          <w:sz w:val="22"/>
          <w:szCs w:val="22"/>
        </w:rPr>
        <w:t>(</w:t>
      </w:r>
      <w:r w:rsidRPr="003C63A8">
        <w:rPr>
          <w:b/>
          <w:sz w:val="22"/>
          <w:szCs w:val="22"/>
        </w:rPr>
        <w:t>punkt 1</w:t>
      </w:r>
      <w:r>
        <w:rPr>
          <w:b/>
          <w:sz w:val="22"/>
          <w:szCs w:val="22"/>
        </w:rPr>
        <w:t>5</w:t>
      </w:r>
      <w:r w:rsidRPr="003C63A8">
        <w:rPr>
          <w:sz w:val="22"/>
          <w:szCs w:val="22"/>
        </w:rPr>
        <w:t>);</w:t>
      </w:r>
    </w:p>
    <w:p w14:paraId="0393DD97" w14:textId="77777777" w:rsidR="00356262" w:rsidRPr="003C63A8" w:rsidRDefault="00356262" w:rsidP="002B2C7C">
      <w:pPr>
        <w:numPr>
          <w:ilvl w:val="0"/>
          <w:numId w:val="30"/>
        </w:numPr>
        <w:rPr>
          <w:sz w:val="22"/>
          <w:szCs w:val="22"/>
        </w:rPr>
      </w:pPr>
      <w:r w:rsidRPr="003C63A8">
        <w:rPr>
          <w:sz w:val="22"/>
          <w:szCs w:val="22"/>
        </w:rPr>
        <w:t xml:space="preserve">raamatupidamise </w:t>
      </w:r>
      <w:proofErr w:type="spellStart"/>
      <w:r w:rsidRPr="003C63A8">
        <w:rPr>
          <w:sz w:val="22"/>
          <w:szCs w:val="22"/>
        </w:rPr>
        <w:t>sise</w:t>
      </w:r>
      <w:proofErr w:type="spellEnd"/>
      <w:r w:rsidRPr="003C63A8">
        <w:rPr>
          <w:sz w:val="22"/>
          <w:szCs w:val="22"/>
        </w:rPr>
        <w:t>-eeskirjad (</w:t>
      </w:r>
      <w:r w:rsidRPr="003C63A8">
        <w:rPr>
          <w:b/>
          <w:sz w:val="22"/>
          <w:szCs w:val="22"/>
        </w:rPr>
        <w:t>punkt 1</w:t>
      </w:r>
      <w:r>
        <w:rPr>
          <w:b/>
          <w:sz w:val="22"/>
          <w:szCs w:val="22"/>
        </w:rPr>
        <w:t>6</w:t>
      </w:r>
      <w:r w:rsidRPr="003C63A8">
        <w:rPr>
          <w:sz w:val="22"/>
          <w:szCs w:val="22"/>
        </w:rPr>
        <w:t>);</w:t>
      </w:r>
    </w:p>
    <w:p w14:paraId="5AA89A08" w14:textId="77777777" w:rsidR="00356262" w:rsidRPr="003C63A8" w:rsidRDefault="00356262" w:rsidP="002B2C7C">
      <w:pPr>
        <w:numPr>
          <w:ilvl w:val="0"/>
          <w:numId w:val="30"/>
        </w:numPr>
        <w:rPr>
          <w:sz w:val="22"/>
          <w:szCs w:val="22"/>
        </w:rPr>
      </w:pPr>
      <w:r w:rsidRPr="003C63A8">
        <w:rPr>
          <w:sz w:val="22"/>
          <w:szCs w:val="22"/>
        </w:rPr>
        <w:t>filiaalide olemasolu korral kohase tegevuse nõuetele vastavuse kontrollimise kord (</w:t>
      </w:r>
      <w:r w:rsidRPr="003C63A8">
        <w:rPr>
          <w:b/>
          <w:sz w:val="22"/>
          <w:szCs w:val="22"/>
        </w:rPr>
        <w:t>punkt 1</w:t>
      </w:r>
      <w:r>
        <w:rPr>
          <w:b/>
          <w:sz w:val="22"/>
          <w:szCs w:val="22"/>
        </w:rPr>
        <w:t>7</w:t>
      </w:r>
      <w:r w:rsidRPr="003C63A8">
        <w:rPr>
          <w:sz w:val="22"/>
          <w:szCs w:val="22"/>
        </w:rPr>
        <w:t>);</w:t>
      </w:r>
    </w:p>
    <w:p w14:paraId="112A1D3F" w14:textId="77777777" w:rsidR="00356262" w:rsidRDefault="00356262" w:rsidP="002B2C7C">
      <w:pPr>
        <w:numPr>
          <w:ilvl w:val="0"/>
          <w:numId w:val="30"/>
        </w:numPr>
        <w:rPr>
          <w:sz w:val="22"/>
          <w:szCs w:val="22"/>
        </w:rPr>
      </w:pPr>
      <w:r w:rsidRPr="003C63A8">
        <w:rPr>
          <w:sz w:val="22"/>
          <w:szCs w:val="22"/>
        </w:rPr>
        <w:t>kliendi kaebuste lahendamise kord (</w:t>
      </w:r>
      <w:r w:rsidRPr="003C63A8">
        <w:rPr>
          <w:b/>
          <w:sz w:val="22"/>
          <w:szCs w:val="22"/>
        </w:rPr>
        <w:t>punkt 1</w:t>
      </w:r>
      <w:r>
        <w:rPr>
          <w:b/>
          <w:sz w:val="22"/>
          <w:szCs w:val="22"/>
        </w:rPr>
        <w:t>8</w:t>
      </w:r>
      <w:r w:rsidRPr="003C63A8">
        <w:rPr>
          <w:sz w:val="22"/>
          <w:szCs w:val="22"/>
        </w:rPr>
        <w:t>)</w:t>
      </w:r>
      <w:r>
        <w:rPr>
          <w:sz w:val="22"/>
          <w:szCs w:val="22"/>
        </w:rPr>
        <w:t>;</w:t>
      </w:r>
    </w:p>
    <w:p w14:paraId="17B0A26D" w14:textId="77777777" w:rsidR="00356262" w:rsidRPr="003C63A8" w:rsidRDefault="00356262" w:rsidP="002B2C7C">
      <w:pPr>
        <w:numPr>
          <w:ilvl w:val="0"/>
          <w:numId w:val="30"/>
        </w:numPr>
        <w:rPr>
          <w:sz w:val="22"/>
          <w:szCs w:val="22"/>
        </w:rPr>
      </w:pPr>
      <w:r>
        <w:rPr>
          <w:sz w:val="22"/>
          <w:szCs w:val="22"/>
        </w:rPr>
        <w:t>käesolevas seaduses sätestatut nõuete rikkumisest teavitamise korra, mis võimaldab asutusesisest õigusrikkumisest teavitamist (</w:t>
      </w:r>
      <w:r>
        <w:rPr>
          <w:b/>
          <w:sz w:val="22"/>
          <w:szCs w:val="22"/>
        </w:rPr>
        <w:t>punkt 19</w:t>
      </w:r>
      <w:r>
        <w:rPr>
          <w:sz w:val="22"/>
          <w:szCs w:val="22"/>
        </w:rPr>
        <w:t>)</w:t>
      </w:r>
      <w:r w:rsidRPr="003C63A8">
        <w:rPr>
          <w:sz w:val="22"/>
          <w:szCs w:val="22"/>
        </w:rPr>
        <w:t>.</w:t>
      </w:r>
    </w:p>
    <w:p w14:paraId="6E53ED56" w14:textId="77777777" w:rsidR="00356262" w:rsidRPr="005A55CA" w:rsidRDefault="00356262" w:rsidP="00356262">
      <w:pPr>
        <w:spacing w:before="0"/>
        <w:rPr>
          <w:sz w:val="22"/>
          <w:szCs w:val="22"/>
        </w:rPr>
      </w:pPr>
    </w:p>
    <w:p w14:paraId="24C4EFDC" w14:textId="77777777" w:rsidR="00356262" w:rsidRPr="005A55CA" w:rsidRDefault="00356262" w:rsidP="00356262">
      <w:pPr>
        <w:spacing w:before="0"/>
        <w:rPr>
          <w:sz w:val="22"/>
          <w:szCs w:val="22"/>
        </w:rPr>
      </w:pPr>
      <w:r>
        <w:rPr>
          <w:b/>
          <w:sz w:val="22"/>
          <w:szCs w:val="22"/>
        </w:rPr>
        <w:t xml:space="preserve">Lõike 5 </w:t>
      </w:r>
      <w:r w:rsidRPr="005A55CA">
        <w:rPr>
          <w:sz w:val="22"/>
          <w:szCs w:val="22"/>
        </w:rPr>
        <w:t xml:space="preserve">kohaselt peavad krediidipõhise </w:t>
      </w:r>
      <w:proofErr w:type="spellStart"/>
      <w:r w:rsidRPr="005A55CA">
        <w:rPr>
          <w:sz w:val="22"/>
          <w:szCs w:val="22"/>
        </w:rPr>
        <w:t>ühisrahastusteenuse</w:t>
      </w:r>
      <w:proofErr w:type="spellEnd"/>
      <w:r w:rsidRPr="005A55CA">
        <w:rPr>
          <w:sz w:val="22"/>
          <w:szCs w:val="22"/>
        </w:rPr>
        <w:t xml:space="preserve"> osutaja </w:t>
      </w:r>
      <w:proofErr w:type="spellStart"/>
      <w:r w:rsidRPr="005A55CA">
        <w:rPr>
          <w:sz w:val="22"/>
          <w:szCs w:val="22"/>
        </w:rPr>
        <w:t>sise</w:t>
      </w:r>
      <w:proofErr w:type="spellEnd"/>
      <w:r w:rsidRPr="005A55CA">
        <w:rPr>
          <w:sz w:val="22"/>
          <w:szCs w:val="22"/>
        </w:rPr>
        <w:t>-eeskirjad olema lisaks käesolevas paragrahvis nimetatud nõuetele kooskõlas ka vastutustundliku laenamise põhimõttega. Vastutustundliku laenamise põhimõtte rakendamisel tuleks lähtuda krediidiandjate ja –vahendajate seaduse 6. peatükis sätestatust.</w:t>
      </w:r>
    </w:p>
    <w:p w14:paraId="28D5F53D" w14:textId="77777777" w:rsidR="00E5187D" w:rsidRPr="005A55CA" w:rsidRDefault="00E5187D" w:rsidP="00D375E5">
      <w:pPr>
        <w:spacing w:before="0"/>
        <w:rPr>
          <w:b/>
          <w:bCs/>
          <w:sz w:val="22"/>
          <w:szCs w:val="22"/>
        </w:rPr>
      </w:pPr>
      <w:bookmarkStart w:id="3" w:name="_Toc44684490"/>
    </w:p>
    <w:p w14:paraId="0435505A" w14:textId="38764424" w:rsidR="00E5187D" w:rsidRPr="005A55CA" w:rsidRDefault="00CD6EBF" w:rsidP="00D375E5">
      <w:pPr>
        <w:spacing w:before="0"/>
        <w:rPr>
          <w:sz w:val="22"/>
          <w:szCs w:val="22"/>
        </w:rPr>
      </w:pPr>
      <w:r w:rsidRPr="005A55CA">
        <w:rPr>
          <w:b/>
          <w:sz w:val="22"/>
          <w:szCs w:val="22"/>
        </w:rPr>
        <w:t>Paragrahv 3</w:t>
      </w:r>
      <w:r w:rsidR="00B00FA3">
        <w:rPr>
          <w:b/>
          <w:sz w:val="22"/>
          <w:szCs w:val="22"/>
        </w:rPr>
        <w:t>3</w:t>
      </w:r>
      <w:r w:rsidRPr="005A55CA">
        <w:rPr>
          <w:sz w:val="22"/>
          <w:szCs w:val="22"/>
        </w:rPr>
        <w:t xml:space="preserve"> </w:t>
      </w:r>
      <w:r w:rsidR="009F3746" w:rsidRPr="005A55CA">
        <w:rPr>
          <w:sz w:val="22"/>
          <w:szCs w:val="22"/>
        </w:rPr>
        <w:t xml:space="preserve">sätestab nõuded sisekontrolli </w:t>
      </w:r>
      <w:r w:rsidR="008F6764">
        <w:rPr>
          <w:sz w:val="22"/>
          <w:szCs w:val="22"/>
        </w:rPr>
        <w:t>süsteemi</w:t>
      </w:r>
      <w:r w:rsidR="009F3746" w:rsidRPr="005A55CA">
        <w:rPr>
          <w:sz w:val="22"/>
          <w:szCs w:val="22"/>
        </w:rPr>
        <w:t xml:space="preserve"> kohta</w:t>
      </w:r>
      <w:r w:rsidR="00ED6D41">
        <w:rPr>
          <w:sz w:val="22"/>
          <w:szCs w:val="22"/>
        </w:rPr>
        <w:t>, millest üks osa on vastavuskontroll</w:t>
      </w:r>
      <w:r w:rsidR="009F3746" w:rsidRPr="005A55CA">
        <w:rPr>
          <w:sz w:val="22"/>
          <w:szCs w:val="22"/>
        </w:rPr>
        <w:t xml:space="preserve">. Rahvusvaheliselt tunnustatud põhimõtete kohaselt on sisekontrolli </w:t>
      </w:r>
      <w:r w:rsidR="009F3746" w:rsidRPr="00D35580">
        <w:rPr>
          <w:sz w:val="22"/>
          <w:szCs w:val="22"/>
        </w:rPr>
        <w:t>funktsioon</w:t>
      </w:r>
      <w:r w:rsidR="009F3746" w:rsidRPr="005A55CA">
        <w:rPr>
          <w:sz w:val="22"/>
          <w:szCs w:val="22"/>
        </w:rPr>
        <w:t xml:space="preserve"> kõikehõlmav, mis muuhulgas sisaldab </w:t>
      </w:r>
      <w:r w:rsidR="005C7572">
        <w:rPr>
          <w:sz w:val="22"/>
          <w:szCs w:val="22"/>
        </w:rPr>
        <w:t>vastavuskontrolli</w:t>
      </w:r>
      <w:r w:rsidR="005C7572" w:rsidRPr="005A55CA">
        <w:rPr>
          <w:sz w:val="22"/>
          <w:szCs w:val="22"/>
        </w:rPr>
        <w:t xml:space="preserve"> </w:t>
      </w:r>
      <w:r w:rsidR="009F3746" w:rsidRPr="005A55CA">
        <w:rPr>
          <w:sz w:val="22"/>
          <w:szCs w:val="22"/>
        </w:rPr>
        <w:t xml:space="preserve">funktsiooni. </w:t>
      </w:r>
      <w:r w:rsidR="008F6764">
        <w:rPr>
          <w:sz w:val="22"/>
          <w:szCs w:val="22"/>
        </w:rPr>
        <w:t>Vastavuskontrolli</w:t>
      </w:r>
      <w:r w:rsidR="008F6764" w:rsidRPr="005A55CA">
        <w:rPr>
          <w:sz w:val="22"/>
          <w:szCs w:val="22"/>
        </w:rPr>
        <w:t xml:space="preserve"> </w:t>
      </w:r>
      <w:r w:rsidR="005C7572" w:rsidRPr="00D35580">
        <w:rPr>
          <w:sz w:val="22"/>
          <w:szCs w:val="22"/>
        </w:rPr>
        <w:t>funktsiooni</w:t>
      </w:r>
      <w:r w:rsidR="005C7572">
        <w:rPr>
          <w:sz w:val="22"/>
          <w:szCs w:val="22"/>
        </w:rPr>
        <w:t xml:space="preserve"> </w:t>
      </w:r>
      <w:r w:rsidR="009F3746" w:rsidRPr="005A55CA">
        <w:rPr>
          <w:sz w:val="22"/>
          <w:szCs w:val="22"/>
        </w:rPr>
        <w:t xml:space="preserve">teostaja peamiseks ülesandeks on seirata ning hinnata kriitiliste protsesside ja süsteemide toimimist. </w:t>
      </w:r>
      <w:r w:rsidR="008F6764">
        <w:rPr>
          <w:sz w:val="22"/>
          <w:szCs w:val="22"/>
        </w:rPr>
        <w:t>Vastavuskontrolli</w:t>
      </w:r>
      <w:r w:rsidR="009F3746" w:rsidRPr="005A55CA">
        <w:rPr>
          <w:sz w:val="22"/>
          <w:szCs w:val="22"/>
        </w:rPr>
        <w:t xml:space="preserve"> </w:t>
      </w:r>
      <w:r w:rsidR="005C7572" w:rsidRPr="00D35580">
        <w:rPr>
          <w:sz w:val="22"/>
          <w:szCs w:val="22"/>
        </w:rPr>
        <w:t>funktsiooni</w:t>
      </w:r>
      <w:r w:rsidR="005C7572">
        <w:rPr>
          <w:sz w:val="22"/>
          <w:szCs w:val="22"/>
        </w:rPr>
        <w:t xml:space="preserve"> </w:t>
      </w:r>
      <w:r w:rsidR="009F3746" w:rsidRPr="005A55CA">
        <w:rPr>
          <w:sz w:val="22"/>
          <w:szCs w:val="22"/>
        </w:rPr>
        <w:t xml:space="preserve">teostaja ei saa hinnata selle funktsiooni toimimist, mida ta ise teostab (nö enesekontrolli risk, huvide konflikt). </w:t>
      </w:r>
    </w:p>
    <w:p w14:paraId="1810F718" w14:textId="1B60D779" w:rsidR="00CE5142" w:rsidRPr="005A55CA" w:rsidRDefault="00CE5142" w:rsidP="00D375E5">
      <w:pPr>
        <w:spacing w:before="0"/>
        <w:rPr>
          <w:sz w:val="22"/>
          <w:szCs w:val="22"/>
        </w:rPr>
      </w:pPr>
    </w:p>
    <w:p w14:paraId="6D370D0E" w14:textId="67302E47" w:rsidR="00CE5142" w:rsidRPr="005A55CA" w:rsidRDefault="00CE5142" w:rsidP="00D375E5">
      <w:pPr>
        <w:spacing w:before="0"/>
        <w:rPr>
          <w:sz w:val="22"/>
          <w:szCs w:val="22"/>
        </w:rPr>
      </w:pPr>
      <w:r w:rsidRPr="005A55CA">
        <w:rPr>
          <w:b/>
          <w:sz w:val="22"/>
          <w:szCs w:val="22"/>
        </w:rPr>
        <w:t>Lõike 1</w:t>
      </w:r>
      <w:r w:rsidRPr="005A55CA">
        <w:rPr>
          <w:sz w:val="22"/>
          <w:szCs w:val="22"/>
        </w:rPr>
        <w:t xml:space="preserve"> kohaselt peab teenuseosutajas olema loodud ja toimiv sisekontrolli süsteem, mille eesmärk on tagada teenuseosutaja tegevuse vastavus </w:t>
      </w:r>
      <w:proofErr w:type="spellStart"/>
      <w:r w:rsidRPr="005A55CA">
        <w:rPr>
          <w:sz w:val="22"/>
          <w:szCs w:val="22"/>
        </w:rPr>
        <w:t>sise</w:t>
      </w:r>
      <w:proofErr w:type="spellEnd"/>
      <w:r w:rsidRPr="005A55CA">
        <w:rPr>
          <w:sz w:val="22"/>
          <w:szCs w:val="22"/>
        </w:rPr>
        <w:t xml:space="preserve">-eeskirjadele, õigusaktidele ja teenuseosutaja juhtorganite </w:t>
      </w:r>
      <w:r w:rsidRPr="005A55CA">
        <w:rPr>
          <w:sz w:val="22"/>
          <w:szCs w:val="22"/>
        </w:rPr>
        <w:lastRenderedPageBreak/>
        <w:t>vastuvõetud otsustele</w:t>
      </w:r>
      <w:r w:rsidR="008A67D5" w:rsidRPr="005A55CA">
        <w:rPr>
          <w:sz w:val="22"/>
          <w:szCs w:val="22"/>
        </w:rPr>
        <w:t>, ning teenuseosutaja otsuste vastuvõtmine usaldusväärse ja nõuetekohase informatsiooni alusel</w:t>
      </w:r>
      <w:r w:rsidRPr="005A55CA">
        <w:rPr>
          <w:sz w:val="22"/>
          <w:szCs w:val="22"/>
        </w:rPr>
        <w:t xml:space="preserve">. </w:t>
      </w:r>
    </w:p>
    <w:p w14:paraId="4A2683F1" w14:textId="675B8FD4" w:rsidR="00C77687" w:rsidRPr="005A55CA" w:rsidRDefault="00C77687" w:rsidP="00D375E5">
      <w:pPr>
        <w:spacing w:before="0"/>
        <w:rPr>
          <w:sz w:val="22"/>
          <w:szCs w:val="22"/>
        </w:rPr>
      </w:pPr>
    </w:p>
    <w:p w14:paraId="7928F18C" w14:textId="3EC4C0CA" w:rsidR="00C77687" w:rsidRPr="005A55CA" w:rsidRDefault="00C77687" w:rsidP="00D375E5">
      <w:pPr>
        <w:spacing w:before="0"/>
        <w:rPr>
          <w:sz w:val="22"/>
          <w:szCs w:val="22"/>
        </w:rPr>
      </w:pPr>
      <w:r w:rsidRPr="005A55CA">
        <w:rPr>
          <w:b/>
          <w:sz w:val="22"/>
          <w:szCs w:val="22"/>
        </w:rPr>
        <w:t xml:space="preserve">Lõigete 2 ja 3 </w:t>
      </w:r>
      <w:r w:rsidRPr="005A55CA">
        <w:rPr>
          <w:sz w:val="22"/>
          <w:szCs w:val="22"/>
        </w:rPr>
        <w:t xml:space="preserve">kohaselt peab teenuseosutaja </w:t>
      </w:r>
      <w:r w:rsidR="00FD5273">
        <w:rPr>
          <w:sz w:val="22"/>
          <w:szCs w:val="22"/>
        </w:rPr>
        <w:t>kehtestama ja rakendama</w:t>
      </w:r>
      <w:r w:rsidRPr="005A55CA">
        <w:rPr>
          <w:sz w:val="22"/>
          <w:szCs w:val="22"/>
        </w:rPr>
        <w:t xml:space="preserve"> õiguslikud, tehnilised ja organisatsioonilised meetmed </w:t>
      </w:r>
      <w:r w:rsidR="00FD5273">
        <w:rPr>
          <w:sz w:val="22"/>
          <w:szCs w:val="22"/>
        </w:rPr>
        <w:t xml:space="preserve">sõltumatu </w:t>
      </w:r>
      <w:r w:rsidRPr="005A55CA">
        <w:rPr>
          <w:sz w:val="22"/>
          <w:szCs w:val="22"/>
        </w:rPr>
        <w:t xml:space="preserve">vastavuskontrolli </w:t>
      </w:r>
      <w:r w:rsidR="005C7572">
        <w:rPr>
          <w:sz w:val="22"/>
          <w:szCs w:val="22"/>
        </w:rPr>
        <w:t xml:space="preserve">funktsiooni </w:t>
      </w:r>
      <w:r w:rsidRPr="005A55CA">
        <w:rPr>
          <w:sz w:val="22"/>
          <w:szCs w:val="22"/>
        </w:rPr>
        <w:t xml:space="preserve">teostamiseks. Vastavuskontrolli </w:t>
      </w:r>
      <w:r w:rsidR="005C7572">
        <w:rPr>
          <w:sz w:val="22"/>
          <w:szCs w:val="22"/>
        </w:rPr>
        <w:t xml:space="preserve">funktsiooni </w:t>
      </w:r>
      <w:r w:rsidRPr="005A55CA">
        <w:rPr>
          <w:sz w:val="22"/>
          <w:szCs w:val="22"/>
        </w:rPr>
        <w:t xml:space="preserve">teostab teenuseosutaja juhatuse poolt määratud vastutava töötaja või muu isik, kellega sõlmitakse kirjalikus vormis leping. </w:t>
      </w:r>
    </w:p>
    <w:p w14:paraId="151DCDB3" w14:textId="4E1778A4" w:rsidR="00C77687" w:rsidRPr="005A55CA" w:rsidRDefault="00C77687" w:rsidP="00D375E5">
      <w:pPr>
        <w:spacing w:before="0"/>
        <w:rPr>
          <w:sz w:val="22"/>
          <w:szCs w:val="22"/>
        </w:rPr>
      </w:pPr>
    </w:p>
    <w:p w14:paraId="30067178" w14:textId="21096E2B" w:rsidR="00C77687" w:rsidRPr="005A55CA" w:rsidRDefault="008A67D5" w:rsidP="00D375E5">
      <w:pPr>
        <w:shd w:val="clear" w:color="auto" w:fill="FFFFFF"/>
        <w:spacing w:before="0"/>
        <w:rPr>
          <w:sz w:val="22"/>
          <w:szCs w:val="22"/>
        </w:rPr>
      </w:pPr>
      <w:r w:rsidRPr="005A55CA">
        <w:rPr>
          <w:b/>
          <w:sz w:val="22"/>
          <w:szCs w:val="22"/>
        </w:rPr>
        <w:t xml:space="preserve">Lõike 4 </w:t>
      </w:r>
      <w:r w:rsidR="004F6CF1" w:rsidRPr="005A55CA">
        <w:rPr>
          <w:sz w:val="22"/>
          <w:szCs w:val="22"/>
        </w:rPr>
        <w:t>järgi peab vastavus</w:t>
      </w:r>
      <w:r w:rsidR="00C77687" w:rsidRPr="005A55CA">
        <w:rPr>
          <w:sz w:val="22"/>
          <w:szCs w:val="22"/>
        </w:rPr>
        <w:t>kontroll tagama</w:t>
      </w:r>
      <w:r w:rsidR="004F6CF1" w:rsidRPr="005A55CA">
        <w:rPr>
          <w:sz w:val="22"/>
          <w:szCs w:val="22"/>
        </w:rPr>
        <w:t xml:space="preserve"> sama lõike kolmes punktis toodud tegevuste ja ülesannete täitmist. Sealhulgas peab vastavuskontroll tagama, et </w:t>
      </w:r>
      <w:r w:rsidR="00C77687" w:rsidRPr="005A55CA">
        <w:rPr>
          <w:sz w:val="22"/>
          <w:szCs w:val="22"/>
        </w:rPr>
        <w:t>regulaarselt kontrollitakse teenuseosutaja, selle juht</w:t>
      </w:r>
      <w:r w:rsidR="005C7572">
        <w:rPr>
          <w:sz w:val="22"/>
          <w:szCs w:val="22"/>
        </w:rPr>
        <w:t>organi liikmet</w:t>
      </w:r>
      <w:r w:rsidR="00C77687" w:rsidRPr="005A55CA">
        <w:rPr>
          <w:sz w:val="22"/>
          <w:szCs w:val="22"/>
        </w:rPr>
        <w:t xml:space="preserve">e ja töötajate tegevuse vastavust õigusaktidele, Finantsinspektsiooni ettekirjutustele, juhtorganite otsustele, </w:t>
      </w:r>
      <w:proofErr w:type="spellStart"/>
      <w:r w:rsidR="00C77687" w:rsidRPr="005A55CA">
        <w:rPr>
          <w:sz w:val="22"/>
          <w:szCs w:val="22"/>
        </w:rPr>
        <w:t>sise</w:t>
      </w:r>
      <w:proofErr w:type="spellEnd"/>
      <w:r w:rsidR="00C77687" w:rsidRPr="005A55CA">
        <w:rPr>
          <w:sz w:val="22"/>
          <w:szCs w:val="22"/>
        </w:rPr>
        <w:t xml:space="preserve">-eeskirjadele, teenuseosutaja sõlmitud lepingutele ja heale tavale ning hinnatakse teenuseosutajas kehtestatud </w:t>
      </w:r>
      <w:proofErr w:type="spellStart"/>
      <w:r w:rsidR="00C77687" w:rsidRPr="005A55CA">
        <w:rPr>
          <w:sz w:val="22"/>
          <w:szCs w:val="22"/>
        </w:rPr>
        <w:t>sise</w:t>
      </w:r>
      <w:proofErr w:type="spellEnd"/>
      <w:r w:rsidR="00C77687" w:rsidRPr="005A55CA">
        <w:rPr>
          <w:sz w:val="22"/>
          <w:szCs w:val="22"/>
        </w:rPr>
        <w:t>-eeskirjade ja otsuste vastavust õigusaktidele ning teenuseosutaja kohustuste täitmisel esinevate puuduste kõrvaldamiseks võetud meetmete sobivust ja tulemuslikkust</w:t>
      </w:r>
      <w:r w:rsidR="004F6CF1" w:rsidRPr="005A55CA">
        <w:rPr>
          <w:sz w:val="22"/>
          <w:szCs w:val="22"/>
        </w:rPr>
        <w:t xml:space="preserve"> (punkt 1)</w:t>
      </w:r>
      <w:r w:rsidR="00C77687" w:rsidRPr="005A55CA">
        <w:rPr>
          <w:sz w:val="22"/>
          <w:szCs w:val="22"/>
        </w:rPr>
        <w:t>;</w:t>
      </w:r>
      <w:r w:rsidR="004F6CF1" w:rsidRPr="005A55CA">
        <w:rPr>
          <w:sz w:val="22"/>
          <w:szCs w:val="22"/>
        </w:rPr>
        <w:t xml:space="preserve"> et </w:t>
      </w:r>
      <w:r w:rsidR="00C77687" w:rsidRPr="005A55CA">
        <w:rPr>
          <w:sz w:val="22"/>
          <w:szCs w:val="22"/>
        </w:rPr>
        <w:t>teenuse osutamise eest vastutavaid isikuid nõustatakse käesolevas seaduses sätestatud kohustuste täitmisega seotud küsimustes</w:t>
      </w:r>
      <w:r w:rsidR="004F6CF1" w:rsidRPr="005A55CA">
        <w:rPr>
          <w:sz w:val="22"/>
          <w:szCs w:val="22"/>
        </w:rPr>
        <w:t xml:space="preserve"> (punkt 2) ning et </w:t>
      </w:r>
      <w:r w:rsidR="00C77687" w:rsidRPr="005A55CA">
        <w:rPr>
          <w:sz w:val="22"/>
          <w:szCs w:val="22"/>
        </w:rPr>
        <w:t>teenuseosutaja juhatusele esitatakse regulaarselt aruandeid</w:t>
      </w:r>
      <w:r w:rsidR="004F6CF1" w:rsidRPr="005A55CA">
        <w:rPr>
          <w:sz w:val="22"/>
          <w:szCs w:val="22"/>
        </w:rPr>
        <w:t xml:space="preserve"> (punkt 3)</w:t>
      </w:r>
      <w:r w:rsidR="00C77687" w:rsidRPr="005A55CA">
        <w:rPr>
          <w:sz w:val="22"/>
          <w:szCs w:val="22"/>
        </w:rPr>
        <w:t>.</w:t>
      </w:r>
    </w:p>
    <w:p w14:paraId="023BE309" w14:textId="77777777" w:rsidR="00C77687" w:rsidRPr="005A55CA" w:rsidRDefault="00C77687" w:rsidP="00D375E5">
      <w:pPr>
        <w:shd w:val="clear" w:color="auto" w:fill="FFFFFF"/>
        <w:spacing w:before="0"/>
        <w:rPr>
          <w:color w:val="5B9BD5" w:themeColor="accent1"/>
          <w:sz w:val="22"/>
          <w:szCs w:val="22"/>
        </w:rPr>
      </w:pPr>
    </w:p>
    <w:p w14:paraId="4E818CF6" w14:textId="28F73037" w:rsidR="00C77687" w:rsidRPr="005A55CA" w:rsidRDefault="004F6CF1" w:rsidP="00D375E5">
      <w:pPr>
        <w:shd w:val="clear" w:color="auto" w:fill="FFFFFF"/>
        <w:spacing w:before="0"/>
        <w:rPr>
          <w:sz w:val="22"/>
          <w:szCs w:val="22"/>
        </w:rPr>
      </w:pPr>
      <w:r w:rsidRPr="005A55CA">
        <w:rPr>
          <w:b/>
          <w:sz w:val="22"/>
          <w:szCs w:val="22"/>
        </w:rPr>
        <w:t xml:space="preserve">Lõike 5 </w:t>
      </w:r>
      <w:r w:rsidRPr="005A55CA">
        <w:rPr>
          <w:sz w:val="22"/>
          <w:szCs w:val="22"/>
        </w:rPr>
        <w:t xml:space="preserve">kohaselt peab teenuseosutaja </w:t>
      </w:r>
      <w:r w:rsidR="00C77687" w:rsidRPr="005A55CA">
        <w:rPr>
          <w:sz w:val="22"/>
          <w:szCs w:val="22"/>
        </w:rPr>
        <w:t xml:space="preserve">vastavuskontrolli </w:t>
      </w:r>
      <w:r w:rsidR="005C7572" w:rsidRPr="00D35580">
        <w:rPr>
          <w:sz w:val="22"/>
          <w:szCs w:val="22"/>
        </w:rPr>
        <w:t>funktsiooni</w:t>
      </w:r>
      <w:r w:rsidR="005C7572">
        <w:rPr>
          <w:sz w:val="22"/>
          <w:szCs w:val="22"/>
        </w:rPr>
        <w:t xml:space="preserve"> </w:t>
      </w:r>
      <w:r w:rsidR="00C77687" w:rsidRPr="005A55CA">
        <w:rPr>
          <w:sz w:val="22"/>
          <w:szCs w:val="22"/>
        </w:rPr>
        <w:t xml:space="preserve">teostamiseks </w:t>
      </w:r>
      <w:r w:rsidRPr="005A55CA">
        <w:rPr>
          <w:sz w:val="22"/>
          <w:szCs w:val="22"/>
        </w:rPr>
        <w:t xml:space="preserve">kehtestama </w:t>
      </w:r>
      <w:proofErr w:type="spellStart"/>
      <w:r w:rsidR="00C77687" w:rsidRPr="005A55CA">
        <w:rPr>
          <w:sz w:val="22"/>
          <w:szCs w:val="22"/>
        </w:rPr>
        <w:t>sise</w:t>
      </w:r>
      <w:proofErr w:type="spellEnd"/>
      <w:r w:rsidR="00C77687" w:rsidRPr="005A55CA">
        <w:rPr>
          <w:sz w:val="22"/>
          <w:szCs w:val="22"/>
        </w:rPr>
        <w:t>-eeskirjadega tegevuspõhimõtted ja reeglid seadusest tulenevate kohustuste täitmata jätmise õigusriskide ning nendega seonduvate muude riskide tuvastamiseks, maandamiseks või vältimiseks seoses klientidele teenuste osutamisega</w:t>
      </w:r>
      <w:r w:rsidR="00543284" w:rsidRPr="005A55CA">
        <w:rPr>
          <w:sz w:val="22"/>
          <w:szCs w:val="22"/>
        </w:rPr>
        <w:t>. Nimetatud põhimõtteid ja reegleid nimetatakse samas paragrahvis edaspidi</w:t>
      </w:r>
      <w:r w:rsidR="00C77687" w:rsidRPr="005A55CA">
        <w:rPr>
          <w:sz w:val="22"/>
          <w:szCs w:val="22"/>
        </w:rPr>
        <w:t xml:space="preserve"> tegevuspõhimõt</w:t>
      </w:r>
      <w:r w:rsidR="00543284" w:rsidRPr="005A55CA">
        <w:rPr>
          <w:sz w:val="22"/>
          <w:szCs w:val="22"/>
        </w:rPr>
        <w:t>e</w:t>
      </w:r>
      <w:r w:rsidR="00C77687" w:rsidRPr="005A55CA">
        <w:rPr>
          <w:sz w:val="22"/>
          <w:szCs w:val="22"/>
        </w:rPr>
        <w:t>te</w:t>
      </w:r>
      <w:r w:rsidR="00543284" w:rsidRPr="005A55CA">
        <w:rPr>
          <w:sz w:val="22"/>
          <w:szCs w:val="22"/>
        </w:rPr>
        <w:t>ks</w:t>
      </w:r>
      <w:r w:rsidR="00C77687" w:rsidRPr="005A55CA">
        <w:rPr>
          <w:sz w:val="22"/>
          <w:szCs w:val="22"/>
        </w:rPr>
        <w:t xml:space="preserve">. </w:t>
      </w:r>
      <w:r w:rsidR="00543284" w:rsidRPr="005A55CA">
        <w:rPr>
          <w:sz w:val="22"/>
          <w:szCs w:val="22"/>
        </w:rPr>
        <w:t>Needsamad põhimõtted peavad Finantsinspektsioonil võimaldama efektiivselt täita ka järelevalveülesandeid (</w:t>
      </w:r>
      <w:r w:rsidR="00543284" w:rsidRPr="005A55CA">
        <w:rPr>
          <w:b/>
          <w:sz w:val="22"/>
          <w:szCs w:val="22"/>
        </w:rPr>
        <w:t>lõige 6</w:t>
      </w:r>
      <w:r w:rsidR="00543284" w:rsidRPr="005A55CA">
        <w:rPr>
          <w:sz w:val="22"/>
          <w:szCs w:val="22"/>
        </w:rPr>
        <w:t>).</w:t>
      </w:r>
    </w:p>
    <w:p w14:paraId="312C0792" w14:textId="470A6F93" w:rsidR="00C77687" w:rsidRPr="005A55CA" w:rsidRDefault="00C77687" w:rsidP="00D375E5">
      <w:pPr>
        <w:shd w:val="clear" w:color="auto" w:fill="FFFFFF"/>
        <w:spacing w:before="0"/>
        <w:rPr>
          <w:color w:val="5B9BD5" w:themeColor="accent1"/>
          <w:sz w:val="22"/>
          <w:szCs w:val="22"/>
        </w:rPr>
      </w:pPr>
    </w:p>
    <w:p w14:paraId="012B2D75" w14:textId="417168E6" w:rsidR="00C77687" w:rsidRPr="005A55CA" w:rsidRDefault="00543284" w:rsidP="00D375E5">
      <w:pPr>
        <w:shd w:val="clear" w:color="auto" w:fill="FFFFFF"/>
        <w:spacing w:before="0"/>
        <w:rPr>
          <w:sz w:val="22"/>
          <w:szCs w:val="22"/>
        </w:rPr>
      </w:pPr>
      <w:r w:rsidRPr="005A55CA">
        <w:rPr>
          <w:b/>
          <w:sz w:val="22"/>
          <w:szCs w:val="22"/>
        </w:rPr>
        <w:t xml:space="preserve">Lõike 7 </w:t>
      </w:r>
      <w:r w:rsidRPr="005A55CA">
        <w:rPr>
          <w:sz w:val="22"/>
          <w:szCs w:val="22"/>
        </w:rPr>
        <w:t>järgi ei tohi v</w:t>
      </w:r>
      <w:r w:rsidR="00C77687" w:rsidRPr="005A55CA">
        <w:rPr>
          <w:sz w:val="22"/>
          <w:szCs w:val="22"/>
        </w:rPr>
        <w:t xml:space="preserve">astavuskontrolli </w:t>
      </w:r>
      <w:r w:rsidR="005C7572" w:rsidRPr="00D35580">
        <w:rPr>
          <w:sz w:val="22"/>
          <w:szCs w:val="22"/>
        </w:rPr>
        <w:t>funktsiooni</w:t>
      </w:r>
      <w:r w:rsidR="005C7572">
        <w:rPr>
          <w:sz w:val="22"/>
          <w:szCs w:val="22"/>
        </w:rPr>
        <w:t xml:space="preserve"> </w:t>
      </w:r>
      <w:r w:rsidR="00C77687" w:rsidRPr="005A55CA">
        <w:rPr>
          <w:sz w:val="22"/>
          <w:szCs w:val="22"/>
        </w:rPr>
        <w:t>teostaja tegeleda teenuste osutamisega ega tegevusega, mille üle ta järelevalvet teostab, välja arvatud juhul, kui teenuseosutaja on võimeline tõendama, et arvestades tema tegevuse laadi, ulatust ja keerukusastet, ei ole nimetatud kohustus proportsionaalne ja et vastavuskontrolli ülesannete täitmine on ka ilma kõnealuseid kohustusi täitmata tegelikkuses tulemuslik.</w:t>
      </w:r>
      <w:r w:rsidRPr="005A55CA">
        <w:rPr>
          <w:sz w:val="22"/>
          <w:szCs w:val="22"/>
        </w:rPr>
        <w:t xml:space="preserve"> Antud keelu eesmärk on ühelt poolt vältida huvide konflikti ning teiselt poolt on suunatud selle kindlustamisele, et vastavuskontrolli teostajal oleks piisavalt aega ja vahendeid oma (põhi)funktsiooni täitmiseks.</w:t>
      </w:r>
    </w:p>
    <w:p w14:paraId="707B8491" w14:textId="77777777" w:rsidR="00C77687" w:rsidRPr="005A55CA" w:rsidRDefault="00C77687" w:rsidP="00D375E5">
      <w:pPr>
        <w:shd w:val="clear" w:color="auto" w:fill="FFFFFF"/>
        <w:spacing w:before="0"/>
        <w:rPr>
          <w:sz w:val="22"/>
          <w:szCs w:val="22"/>
        </w:rPr>
      </w:pPr>
    </w:p>
    <w:p w14:paraId="4D99AF2E" w14:textId="33B83D4C" w:rsidR="00C77687" w:rsidRPr="005A55CA" w:rsidRDefault="00543284" w:rsidP="00D375E5">
      <w:pPr>
        <w:shd w:val="clear" w:color="auto" w:fill="FFFFFF"/>
        <w:spacing w:before="0"/>
        <w:rPr>
          <w:sz w:val="22"/>
          <w:szCs w:val="22"/>
        </w:rPr>
      </w:pPr>
      <w:r w:rsidRPr="005A55CA">
        <w:rPr>
          <w:b/>
          <w:sz w:val="22"/>
          <w:szCs w:val="22"/>
        </w:rPr>
        <w:t xml:space="preserve">Lõike 8 </w:t>
      </w:r>
      <w:r w:rsidRPr="005A55CA">
        <w:rPr>
          <w:sz w:val="22"/>
          <w:szCs w:val="22"/>
        </w:rPr>
        <w:t>kohaselt ei tohi v</w:t>
      </w:r>
      <w:r w:rsidR="00C77687" w:rsidRPr="005A55CA">
        <w:rPr>
          <w:sz w:val="22"/>
          <w:szCs w:val="22"/>
        </w:rPr>
        <w:t xml:space="preserve">astavuskontrolli </w:t>
      </w:r>
      <w:r w:rsidR="005C7572" w:rsidRPr="00D35580">
        <w:rPr>
          <w:sz w:val="22"/>
          <w:szCs w:val="22"/>
        </w:rPr>
        <w:t>funktsiooni</w:t>
      </w:r>
      <w:r w:rsidR="005C7572">
        <w:rPr>
          <w:sz w:val="22"/>
          <w:szCs w:val="22"/>
        </w:rPr>
        <w:t xml:space="preserve"> </w:t>
      </w:r>
      <w:r w:rsidR="00C77687" w:rsidRPr="005A55CA">
        <w:rPr>
          <w:sz w:val="22"/>
          <w:szCs w:val="22"/>
        </w:rPr>
        <w:t>teostaja tasustamise alused ja kord ohustada tema objektiivsust.</w:t>
      </w:r>
      <w:r w:rsidRPr="005A55CA">
        <w:rPr>
          <w:sz w:val="22"/>
          <w:szCs w:val="22"/>
        </w:rPr>
        <w:t xml:space="preserve"> </w:t>
      </w:r>
    </w:p>
    <w:p w14:paraId="6C13CBDB" w14:textId="15AC235D" w:rsidR="00C77687" w:rsidRDefault="00C77687" w:rsidP="00D375E5">
      <w:pPr>
        <w:shd w:val="clear" w:color="auto" w:fill="FFFFFF"/>
        <w:spacing w:before="0"/>
        <w:rPr>
          <w:color w:val="5B9BD5" w:themeColor="accent1"/>
          <w:sz w:val="22"/>
          <w:szCs w:val="22"/>
        </w:rPr>
      </w:pPr>
    </w:p>
    <w:p w14:paraId="5BDE97F3" w14:textId="6914C7D7" w:rsidR="009B63C0" w:rsidRPr="00F63DF1" w:rsidRDefault="009B63C0" w:rsidP="00D375E5">
      <w:pPr>
        <w:shd w:val="clear" w:color="auto" w:fill="FFFFFF"/>
        <w:spacing w:before="0"/>
        <w:rPr>
          <w:sz w:val="22"/>
          <w:szCs w:val="22"/>
        </w:rPr>
      </w:pPr>
      <w:r w:rsidRPr="00F63DF1">
        <w:rPr>
          <w:b/>
          <w:bCs/>
          <w:sz w:val="22"/>
          <w:szCs w:val="22"/>
        </w:rPr>
        <w:t xml:space="preserve">Lõigetes </w:t>
      </w:r>
      <w:r w:rsidR="00923B87" w:rsidRPr="00F63DF1">
        <w:rPr>
          <w:b/>
          <w:bCs/>
          <w:sz w:val="22"/>
          <w:szCs w:val="22"/>
        </w:rPr>
        <w:t>9</w:t>
      </w:r>
      <w:r w:rsidRPr="00F63DF1">
        <w:rPr>
          <w:b/>
          <w:bCs/>
          <w:sz w:val="22"/>
          <w:szCs w:val="22"/>
        </w:rPr>
        <w:t>-</w:t>
      </w:r>
      <w:r w:rsidR="00923B87" w:rsidRPr="00F63DF1">
        <w:rPr>
          <w:b/>
          <w:bCs/>
          <w:sz w:val="22"/>
          <w:szCs w:val="22"/>
        </w:rPr>
        <w:t xml:space="preserve">11 </w:t>
      </w:r>
      <w:r w:rsidR="00923B87" w:rsidRPr="00F63DF1">
        <w:rPr>
          <w:sz w:val="22"/>
          <w:szCs w:val="22"/>
        </w:rPr>
        <w:t xml:space="preserve">on sätestatud siseauditi ja seda teostava siseaudiitori nõuded. Lõigete sõnastuse puhul on lähtutud kehtiva </w:t>
      </w:r>
      <w:proofErr w:type="spellStart"/>
      <w:r w:rsidR="00923B87" w:rsidRPr="00F63DF1">
        <w:rPr>
          <w:sz w:val="22"/>
          <w:szCs w:val="22"/>
        </w:rPr>
        <w:t>RahaPTS</w:t>
      </w:r>
      <w:proofErr w:type="spellEnd"/>
      <w:r w:rsidR="00923B87" w:rsidRPr="00F63DF1">
        <w:rPr>
          <w:sz w:val="22"/>
          <w:szCs w:val="22"/>
        </w:rPr>
        <w:t xml:space="preserve"> § 72</w:t>
      </w:r>
      <w:r w:rsidR="00923B87" w:rsidRPr="00F63DF1">
        <w:rPr>
          <w:sz w:val="22"/>
          <w:szCs w:val="22"/>
          <w:vertAlign w:val="superscript"/>
        </w:rPr>
        <w:t>4</w:t>
      </w:r>
      <w:r w:rsidR="00923B87" w:rsidRPr="00F63DF1">
        <w:rPr>
          <w:sz w:val="22"/>
          <w:szCs w:val="22"/>
        </w:rPr>
        <w:t xml:space="preserve"> virtuaalvääringu teenuse pakkujale kohaldatavatest sisekontrolli sätetest. </w:t>
      </w:r>
      <w:proofErr w:type="spellStart"/>
      <w:r w:rsidR="00923B87" w:rsidRPr="00F63DF1">
        <w:rPr>
          <w:sz w:val="22"/>
          <w:szCs w:val="22"/>
        </w:rPr>
        <w:t>RahaPTS</w:t>
      </w:r>
      <w:proofErr w:type="spellEnd"/>
      <w:r w:rsidR="00923B87" w:rsidRPr="00F63DF1">
        <w:rPr>
          <w:sz w:val="22"/>
          <w:szCs w:val="22"/>
        </w:rPr>
        <w:t xml:space="preserve">-i mõistes kohustatud isikute siseauditi kohustus tuleneb ka </w:t>
      </w:r>
      <w:proofErr w:type="spellStart"/>
      <w:r w:rsidR="00923B87" w:rsidRPr="00F63DF1">
        <w:rPr>
          <w:sz w:val="22"/>
          <w:szCs w:val="22"/>
        </w:rPr>
        <w:t>RahaPTS</w:t>
      </w:r>
      <w:proofErr w:type="spellEnd"/>
      <w:r w:rsidR="00923B87" w:rsidRPr="00F63DF1">
        <w:rPr>
          <w:sz w:val="22"/>
          <w:szCs w:val="22"/>
        </w:rPr>
        <w:t xml:space="preserve"> § 14 lõikest 1.  </w:t>
      </w:r>
    </w:p>
    <w:p w14:paraId="6FE66A2F" w14:textId="77777777" w:rsidR="009B63C0" w:rsidRPr="00F63DF1" w:rsidRDefault="009B63C0" w:rsidP="00D375E5">
      <w:pPr>
        <w:shd w:val="clear" w:color="auto" w:fill="FFFFFF"/>
        <w:spacing w:before="0"/>
        <w:rPr>
          <w:b/>
          <w:bCs/>
          <w:sz w:val="22"/>
          <w:szCs w:val="22"/>
        </w:rPr>
      </w:pPr>
    </w:p>
    <w:p w14:paraId="373EE03C" w14:textId="5140E49C" w:rsidR="00DE173E" w:rsidRPr="00491B07" w:rsidRDefault="00BB3660" w:rsidP="00D375E5">
      <w:pPr>
        <w:shd w:val="clear" w:color="auto" w:fill="FFFFFF"/>
        <w:spacing w:before="0"/>
        <w:rPr>
          <w:sz w:val="22"/>
          <w:szCs w:val="22"/>
        </w:rPr>
      </w:pPr>
      <w:r w:rsidRPr="00F63DF1">
        <w:rPr>
          <w:b/>
          <w:bCs/>
          <w:sz w:val="22"/>
          <w:szCs w:val="22"/>
        </w:rPr>
        <w:t xml:space="preserve">Lõike </w:t>
      </w:r>
      <w:r w:rsidR="00DE173E" w:rsidRPr="00F63DF1">
        <w:rPr>
          <w:b/>
          <w:bCs/>
          <w:sz w:val="22"/>
          <w:szCs w:val="22"/>
        </w:rPr>
        <w:t>9</w:t>
      </w:r>
      <w:r w:rsidRPr="00F63DF1">
        <w:rPr>
          <w:b/>
          <w:bCs/>
          <w:sz w:val="22"/>
          <w:szCs w:val="22"/>
        </w:rPr>
        <w:t xml:space="preserve"> </w:t>
      </w:r>
      <w:r w:rsidR="009B63C0" w:rsidRPr="00F63DF1">
        <w:rPr>
          <w:sz w:val="22"/>
          <w:szCs w:val="22"/>
        </w:rPr>
        <w:t xml:space="preserve">kohaselt peavad teenuseosutajas olema kehtestatud ja rakendatud õiguslikud, tehnilised ja organisatsioonilised meetmed sõltumatu siseauditi üksuse ülesannete täitmiseks, kui see on </w:t>
      </w:r>
      <w:r w:rsidR="009B63C0" w:rsidRPr="00491B07">
        <w:rPr>
          <w:sz w:val="22"/>
          <w:szCs w:val="22"/>
        </w:rPr>
        <w:t>teenuseosutaja tegevuse laadi, ulatust ja keerukust arvestades vajalik ja proportsionaalne.</w:t>
      </w:r>
      <w:r w:rsidR="00431B2A" w:rsidRPr="00491B07">
        <w:rPr>
          <w:sz w:val="22"/>
          <w:szCs w:val="22"/>
        </w:rPr>
        <w:t xml:space="preserve"> Siin tuleb arvesse võtta eelkõige seda, et milliseid teenuseid osutatakse ja kui suures mahus seda tehakse  - kui näiteks hoitakse märkimisväärses ulatuses klientide vahendeid ja/või vahendatakse suurtes mahtudes erinevaid varasid või tehakse tehinguid, siis või</w:t>
      </w:r>
      <w:r w:rsidR="00D35580" w:rsidRPr="00491B07">
        <w:rPr>
          <w:sz w:val="22"/>
          <w:szCs w:val="22"/>
        </w:rPr>
        <w:t>b</w:t>
      </w:r>
      <w:r w:rsidR="00431B2A" w:rsidRPr="00491B07">
        <w:rPr>
          <w:sz w:val="22"/>
          <w:szCs w:val="22"/>
        </w:rPr>
        <w:t xml:space="preserve"> asutada seisukohale, et </w:t>
      </w:r>
      <w:proofErr w:type="spellStart"/>
      <w:r w:rsidR="00431B2A" w:rsidRPr="00491B07">
        <w:rPr>
          <w:sz w:val="22"/>
          <w:szCs w:val="22"/>
        </w:rPr>
        <w:t>sisaudit</w:t>
      </w:r>
      <w:proofErr w:type="spellEnd"/>
      <w:r w:rsidR="00431B2A" w:rsidRPr="00491B07">
        <w:rPr>
          <w:sz w:val="22"/>
          <w:szCs w:val="22"/>
        </w:rPr>
        <w:t xml:space="preserve"> on vajalik. Seda eelkõige lähtuvalt sellest, et kas ja kui suure rahapesu riski võib selline tegevus/teenuste osutamine kaasa tuua</w:t>
      </w:r>
      <w:r w:rsidR="00D35580" w:rsidRPr="00491B07">
        <w:rPr>
          <w:sz w:val="22"/>
          <w:szCs w:val="22"/>
        </w:rPr>
        <w:t>,</w:t>
      </w:r>
      <w:r w:rsidR="00431B2A" w:rsidRPr="00491B07">
        <w:rPr>
          <w:sz w:val="22"/>
          <w:szCs w:val="22"/>
        </w:rPr>
        <w:t xml:space="preserve"> kuna siseauditi üksus on vaja luua rahapesu ja terrorismi rahastamise nõuetele vastavuse kontrollimiseks. </w:t>
      </w:r>
      <w:proofErr w:type="spellStart"/>
      <w:r w:rsidR="00D35580" w:rsidRPr="00491B07">
        <w:rPr>
          <w:sz w:val="22"/>
          <w:szCs w:val="22"/>
        </w:rPr>
        <w:t>Krüptovara</w:t>
      </w:r>
      <w:r w:rsidR="0076296A" w:rsidRPr="00491B07">
        <w:rPr>
          <w:sz w:val="22"/>
          <w:szCs w:val="22"/>
        </w:rPr>
        <w:t>teenus</w:t>
      </w:r>
      <w:r w:rsidR="00D35580" w:rsidRPr="00491B07">
        <w:rPr>
          <w:sz w:val="22"/>
          <w:szCs w:val="22"/>
        </w:rPr>
        <w:t>t</w:t>
      </w:r>
      <w:r w:rsidR="0076296A" w:rsidRPr="00491B07">
        <w:rPr>
          <w:sz w:val="22"/>
          <w:szCs w:val="22"/>
        </w:rPr>
        <w:t>e</w:t>
      </w:r>
      <w:proofErr w:type="spellEnd"/>
      <w:r w:rsidR="0076296A" w:rsidRPr="00491B07">
        <w:rPr>
          <w:sz w:val="22"/>
          <w:szCs w:val="22"/>
        </w:rPr>
        <w:t xml:space="preserve"> osutajatele ei ole see kohustus uus</w:t>
      </w:r>
      <w:r w:rsidR="00D35580" w:rsidRPr="00491B07">
        <w:rPr>
          <w:sz w:val="22"/>
          <w:szCs w:val="22"/>
        </w:rPr>
        <w:t>,</w:t>
      </w:r>
      <w:r w:rsidR="0076296A" w:rsidRPr="00491B07">
        <w:rPr>
          <w:sz w:val="22"/>
          <w:szCs w:val="22"/>
        </w:rPr>
        <w:t xml:space="preserve"> kuna kehtiv </w:t>
      </w:r>
      <w:proofErr w:type="spellStart"/>
      <w:r w:rsidR="0076296A" w:rsidRPr="00491B07">
        <w:rPr>
          <w:sz w:val="22"/>
          <w:szCs w:val="22"/>
        </w:rPr>
        <w:t>RahaPTS</w:t>
      </w:r>
      <w:proofErr w:type="spellEnd"/>
      <w:r w:rsidR="0076296A" w:rsidRPr="00491B07">
        <w:rPr>
          <w:sz w:val="22"/>
          <w:szCs w:val="22"/>
        </w:rPr>
        <w:t xml:space="preserve"> § 72</w:t>
      </w:r>
      <w:r w:rsidR="0076296A" w:rsidRPr="00491B07">
        <w:rPr>
          <w:sz w:val="22"/>
          <w:szCs w:val="22"/>
          <w:vertAlign w:val="superscript"/>
        </w:rPr>
        <w:t>4</w:t>
      </w:r>
      <w:r w:rsidR="0076296A" w:rsidRPr="00491B07">
        <w:rPr>
          <w:sz w:val="22"/>
          <w:szCs w:val="22"/>
        </w:rPr>
        <w:t xml:space="preserve"> kehtestab juba sellise nõude.</w:t>
      </w:r>
      <w:r w:rsidR="00F63DF1" w:rsidRPr="00491B07">
        <w:rPr>
          <w:sz w:val="22"/>
          <w:szCs w:val="22"/>
        </w:rPr>
        <w:t xml:space="preserve"> </w:t>
      </w:r>
      <w:r w:rsidR="00431B2A" w:rsidRPr="00491B07">
        <w:rPr>
          <w:sz w:val="22"/>
          <w:szCs w:val="22"/>
        </w:rPr>
        <w:t xml:space="preserve">Siiski on alati eraldi hinnangu koht, et mis on </w:t>
      </w:r>
      <w:r w:rsidR="0076296A" w:rsidRPr="00491B07">
        <w:rPr>
          <w:sz w:val="22"/>
          <w:szCs w:val="22"/>
        </w:rPr>
        <w:t>need nn künnised, et millest alates võib lugeda osutatav</w:t>
      </w:r>
      <w:r w:rsidR="00D35580" w:rsidRPr="00491B07">
        <w:rPr>
          <w:sz w:val="22"/>
          <w:szCs w:val="22"/>
        </w:rPr>
        <w:t>a</w:t>
      </w:r>
      <w:r w:rsidR="0076296A" w:rsidRPr="00491B07">
        <w:rPr>
          <w:sz w:val="22"/>
          <w:szCs w:val="22"/>
        </w:rPr>
        <w:t>te teenuste mahtu või tegevust märkimisväärseks. Alles asutatavate ja lühikese ajalooga teenuseosutajate puhul ei saa need mahud tõenäoliselt suured olla, mistõttu võib eeldada, et siseauditi nõue neile ei kohaldu.</w:t>
      </w:r>
      <w:r w:rsidR="0029208A">
        <w:rPr>
          <w:sz w:val="22"/>
          <w:szCs w:val="22"/>
        </w:rPr>
        <w:t xml:space="preserve"> Seda, milliste teenuste või millisest mahust alates tuleks siseaudiitor määrata, võib Finantsinspektsioon täpsustada juhendiga.</w:t>
      </w:r>
    </w:p>
    <w:p w14:paraId="1B437F52" w14:textId="77777777" w:rsidR="00DE173E" w:rsidRPr="00491B07" w:rsidRDefault="00DE173E" w:rsidP="00D375E5">
      <w:pPr>
        <w:shd w:val="clear" w:color="auto" w:fill="FFFFFF"/>
        <w:spacing w:before="0"/>
        <w:rPr>
          <w:sz w:val="22"/>
          <w:szCs w:val="22"/>
        </w:rPr>
      </w:pPr>
    </w:p>
    <w:p w14:paraId="5DCA39A0" w14:textId="77777777" w:rsidR="00DE173E" w:rsidRPr="00491B07" w:rsidRDefault="00DE173E" w:rsidP="00D375E5">
      <w:pPr>
        <w:shd w:val="clear" w:color="auto" w:fill="FFFFFF"/>
        <w:spacing w:before="0"/>
        <w:rPr>
          <w:sz w:val="22"/>
          <w:szCs w:val="22"/>
        </w:rPr>
      </w:pPr>
      <w:r w:rsidRPr="00491B07">
        <w:rPr>
          <w:b/>
          <w:bCs/>
          <w:sz w:val="22"/>
          <w:szCs w:val="22"/>
        </w:rPr>
        <w:t xml:space="preserve">Lõike 10 </w:t>
      </w:r>
      <w:r w:rsidRPr="00491B07">
        <w:rPr>
          <w:sz w:val="22"/>
          <w:szCs w:val="22"/>
        </w:rPr>
        <w:t xml:space="preserve">järgi määrab siseaudiitori teenuseosutaja nõukogu. Sama lõike teise lause järgi kohaldatakse siseaudiitorile audiitortegevuse seaduses atesteeritud siseaudiitori kohta sätestatud nõudeid ja tegevuse </w:t>
      </w:r>
      <w:r w:rsidRPr="00491B07">
        <w:rPr>
          <w:sz w:val="22"/>
          <w:szCs w:val="22"/>
        </w:rPr>
        <w:lastRenderedPageBreak/>
        <w:t>õiguslikke aluseid. Kolmanda lause järgi ei või siseaudiitor täita ülesandeid, mis põhjustavad või võivad põhjustada huvide konflikti.</w:t>
      </w:r>
    </w:p>
    <w:p w14:paraId="681342A1" w14:textId="77777777" w:rsidR="00DE173E" w:rsidRPr="00491B07" w:rsidRDefault="00DE173E" w:rsidP="00D375E5">
      <w:pPr>
        <w:shd w:val="clear" w:color="auto" w:fill="FFFFFF"/>
        <w:spacing w:before="0"/>
        <w:rPr>
          <w:sz w:val="22"/>
          <w:szCs w:val="22"/>
        </w:rPr>
      </w:pPr>
    </w:p>
    <w:p w14:paraId="07D57337" w14:textId="6406833A" w:rsidR="00BB3660" w:rsidRPr="00491B07" w:rsidRDefault="00DE173E" w:rsidP="00D375E5">
      <w:pPr>
        <w:shd w:val="clear" w:color="auto" w:fill="FFFFFF"/>
        <w:spacing w:before="0"/>
        <w:rPr>
          <w:sz w:val="22"/>
          <w:szCs w:val="22"/>
        </w:rPr>
      </w:pPr>
      <w:r w:rsidRPr="00491B07">
        <w:rPr>
          <w:b/>
          <w:bCs/>
          <w:sz w:val="22"/>
          <w:szCs w:val="22"/>
        </w:rPr>
        <w:t xml:space="preserve">Lõikes 11 </w:t>
      </w:r>
      <w:r w:rsidRPr="00491B07">
        <w:rPr>
          <w:sz w:val="22"/>
          <w:szCs w:val="22"/>
        </w:rPr>
        <w:t>on sätestatud siseaudiitori ülesanded, milleks on kontrollida teenuseosutaja ja tema juhtide ning töötajate tegevuse vastavust rahapesu ja terrorismi rahastamise tõkestamisega seotud õigusaktidele ja muudele vastava valdkonna üldtunnustatud põhimõtetele ning reeglitele. See tähendab, et siseaudiitor tagab teenuseosutaja ja tema personali tegevuse kooskõla rahapesu ja terrorismi rahastamise tõkestamisega seotud õigusaktide</w:t>
      </w:r>
      <w:r w:rsidR="00222314" w:rsidRPr="00491B07">
        <w:rPr>
          <w:sz w:val="22"/>
          <w:szCs w:val="22"/>
        </w:rPr>
        <w:t>ga, kuid ka sama valdkonna üldtunnustatud põhimõtetele, sh näiteks FATF-i juhenditele. Teenuseosutaja tegevuse vastavust muudele õigusaktidele, sh käesolevale seadusele, kontrollib vastavuskontrolli teostaja.</w:t>
      </w:r>
      <w:r w:rsidR="009B63C0" w:rsidRPr="00491B07">
        <w:rPr>
          <w:sz w:val="22"/>
          <w:szCs w:val="22"/>
        </w:rPr>
        <w:t xml:space="preserve"> </w:t>
      </w:r>
    </w:p>
    <w:p w14:paraId="1890A013" w14:textId="77777777" w:rsidR="00BB3660" w:rsidRPr="005A55CA" w:rsidRDefault="00BB3660" w:rsidP="00D375E5">
      <w:pPr>
        <w:shd w:val="clear" w:color="auto" w:fill="FFFFFF"/>
        <w:spacing w:before="0"/>
        <w:rPr>
          <w:color w:val="5B9BD5" w:themeColor="accent1"/>
          <w:sz w:val="22"/>
          <w:szCs w:val="22"/>
        </w:rPr>
      </w:pPr>
    </w:p>
    <w:p w14:paraId="34A304B0" w14:textId="7CFDF07B" w:rsidR="00923B87" w:rsidRPr="00D35580" w:rsidRDefault="00923B87" w:rsidP="00923B87">
      <w:pPr>
        <w:shd w:val="clear" w:color="auto" w:fill="FFFFFF"/>
        <w:spacing w:before="0"/>
        <w:rPr>
          <w:sz w:val="22"/>
          <w:szCs w:val="22"/>
        </w:rPr>
      </w:pPr>
      <w:r w:rsidRPr="005A55CA">
        <w:rPr>
          <w:b/>
          <w:sz w:val="22"/>
          <w:szCs w:val="22"/>
        </w:rPr>
        <w:t xml:space="preserve">Lõike </w:t>
      </w:r>
      <w:r>
        <w:rPr>
          <w:b/>
          <w:sz w:val="22"/>
          <w:szCs w:val="22"/>
        </w:rPr>
        <w:t>12</w:t>
      </w:r>
      <w:r w:rsidRPr="005A55CA">
        <w:rPr>
          <w:b/>
          <w:sz w:val="22"/>
          <w:szCs w:val="22"/>
        </w:rPr>
        <w:t xml:space="preserve"> </w:t>
      </w:r>
      <w:r w:rsidRPr="005A55CA">
        <w:rPr>
          <w:sz w:val="22"/>
          <w:szCs w:val="22"/>
        </w:rPr>
        <w:t xml:space="preserve">järgi on vastavuskontrolli </w:t>
      </w:r>
      <w:r w:rsidRPr="00D35580">
        <w:rPr>
          <w:sz w:val="22"/>
          <w:szCs w:val="22"/>
        </w:rPr>
        <w:t>funktsiooni</w:t>
      </w:r>
      <w:r>
        <w:rPr>
          <w:sz w:val="22"/>
          <w:szCs w:val="22"/>
        </w:rPr>
        <w:t xml:space="preserve"> </w:t>
      </w:r>
      <w:r w:rsidRPr="005A55CA">
        <w:rPr>
          <w:sz w:val="22"/>
          <w:szCs w:val="22"/>
        </w:rPr>
        <w:t xml:space="preserve">teostaja </w:t>
      </w:r>
      <w:r>
        <w:rPr>
          <w:sz w:val="22"/>
          <w:szCs w:val="22"/>
        </w:rPr>
        <w:t xml:space="preserve">ja siseaudiitor </w:t>
      </w:r>
      <w:r w:rsidRPr="005A55CA">
        <w:rPr>
          <w:sz w:val="22"/>
          <w:szCs w:val="22"/>
        </w:rPr>
        <w:t>kohustatud talle teenuseosutaja kohta teatavaks saanud teabe, mis osutab teenuseosutaja õigusrikkumisele või klientide huvide kahjustamisele, viivitamata edastama teenuseosutaja juh</w:t>
      </w:r>
      <w:r>
        <w:rPr>
          <w:sz w:val="22"/>
          <w:szCs w:val="22"/>
        </w:rPr>
        <w:t>torgani liikmetele ja Finantsinspektsioonile</w:t>
      </w:r>
      <w:r w:rsidRPr="005A55CA">
        <w:rPr>
          <w:sz w:val="22"/>
          <w:szCs w:val="22"/>
        </w:rPr>
        <w:t>.</w:t>
      </w:r>
      <w:r w:rsidR="00222314">
        <w:rPr>
          <w:sz w:val="22"/>
          <w:szCs w:val="22"/>
        </w:rPr>
        <w:t xml:space="preserve"> </w:t>
      </w:r>
      <w:r w:rsidR="00233AA8">
        <w:rPr>
          <w:sz w:val="22"/>
          <w:szCs w:val="22"/>
        </w:rPr>
        <w:t xml:space="preserve">Vastava teabe esitamine teenuseosutaja juhtorgani liikmetele on vajalik, et juhtorganite liikmetel oleks ülevaade teenuseosutaja tegevusest selles osas, mis puudutab õigusrikkumisi või klientide huvide kahjustumist teenuseosutaja tegevuse tagajärjel.  </w:t>
      </w:r>
    </w:p>
    <w:p w14:paraId="72C75480" w14:textId="77777777" w:rsidR="00923B87" w:rsidRDefault="00923B87" w:rsidP="00D375E5">
      <w:pPr>
        <w:shd w:val="clear" w:color="auto" w:fill="FFFFFF"/>
        <w:spacing w:before="0"/>
        <w:rPr>
          <w:b/>
          <w:sz w:val="22"/>
          <w:szCs w:val="22"/>
        </w:rPr>
      </w:pPr>
    </w:p>
    <w:p w14:paraId="4E80884B" w14:textId="34FF955F" w:rsidR="00C77687" w:rsidRPr="005A55CA" w:rsidRDefault="00543284" w:rsidP="00D375E5">
      <w:pPr>
        <w:shd w:val="clear" w:color="auto" w:fill="FFFFFF"/>
        <w:spacing w:before="0"/>
        <w:rPr>
          <w:sz w:val="22"/>
          <w:szCs w:val="22"/>
        </w:rPr>
      </w:pPr>
      <w:r w:rsidRPr="005A55CA">
        <w:rPr>
          <w:b/>
          <w:sz w:val="22"/>
          <w:szCs w:val="22"/>
        </w:rPr>
        <w:t>Lõike 1</w:t>
      </w:r>
      <w:r w:rsidR="00BB3660">
        <w:rPr>
          <w:b/>
          <w:sz w:val="22"/>
          <w:szCs w:val="22"/>
        </w:rPr>
        <w:t>3</w:t>
      </w:r>
      <w:r w:rsidRPr="005A55CA">
        <w:rPr>
          <w:b/>
          <w:sz w:val="22"/>
          <w:szCs w:val="22"/>
        </w:rPr>
        <w:t xml:space="preserve"> </w:t>
      </w:r>
      <w:r w:rsidRPr="005A55CA">
        <w:rPr>
          <w:sz w:val="22"/>
          <w:szCs w:val="22"/>
        </w:rPr>
        <w:t>järgi kohustub t</w:t>
      </w:r>
      <w:r w:rsidR="00C77687" w:rsidRPr="005A55CA">
        <w:rPr>
          <w:sz w:val="22"/>
          <w:szCs w:val="22"/>
        </w:rPr>
        <w:t>eenuseosutaja taga</w:t>
      </w:r>
      <w:r w:rsidRPr="005A55CA">
        <w:rPr>
          <w:sz w:val="22"/>
          <w:szCs w:val="22"/>
        </w:rPr>
        <w:t>ma</w:t>
      </w:r>
      <w:r w:rsidR="00C77687" w:rsidRPr="005A55CA">
        <w:rPr>
          <w:sz w:val="22"/>
          <w:szCs w:val="22"/>
        </w:rPr>
        <w:t xml:space="preserve"> sisekontrolli ja vastavuskontrolli </w:t>
      </w:r>
      <w:r w:rsidR="005C7572" w:rsidRPr="00D35580">
        <w:rPr>
          <w:sz w:val="22"/>
          <w:szCs w:val="22"/>
        </w:rPr>
        <w:t>funktsiooni</w:t>
      </w:r>
      <w:r w:rsidR="005C7572">
        <w:rPr>
          <w:sz w:val="22"/>
          <w:szCs w:val="22"/>
        </w:rPr>
        <w:t xml:space="preserve"> </w:t>
      </w:r>
      <w:r w:rsidR="00C77687" w:rsidRPr="005A55CA">
        <w:rPr>
          <w:sz w:val="22"/>
          <w:szCs w:val="22"/>
        </w:rPr>
        <w:t xml:space="preserve">teostajale </w:t>
      </w:r>
      <w:r w:rsidR="007E25FD">
        <w:rPr>
          <w:sz w:val="22"/>
          <w:szCs w:val="22"/>
        </w:rPr>
        <w:t xml:space="preserve">ning siseaudiitorile </w:t>
      </w:r>
      <w:r w:rsidR="00C77687" w:rsidRPr="005A55CA">
        <w:rPr>
          <w:sz w:val="22"/>
          <w:szCs w:val="22"/>
        </w:rPr>
        <w:t>kõik nende ülesannete täitmiseks vajalikud õigused, töötingimused ja juurdepääsu kogu vajalikule teabele, sealhulgas õiguse saada selgitusi ning teavet teenuseosutaja juh</w:t>
      </w:r>
      <w:r w:rsidR="005C7572">
        <w:rPr>
          <w:sz w:val="22"/>
          <w:szCs w:val="22"/>
        </w:rPr>
        <w:t>atuselt</w:t>
      </w:r>
      <w:r w:rsidR="00C77687" w:rsidRPr="005A55CA">
        <w:rPr>
          <w:sz w:val="22"/>
          <w:szCs w:val="22"/>
        </w:rPr>
        <w:t xml:space="preserve"> ja töötajatelt ning jälgida avastatud puuduste kõrvaldamist ja tehtud ettepanekute täitmist.</w:t>
      </w:r>
    </w:p>
    <w:p w14:paraId="757C027E" w14:textId="77777777" w:rsidR="00C77687" w:rsidRPr="005A55CA" w:rsidRDefault="00C77687" w:rsidP="00D375E5">
      <w:pPr>
        <w:spacing w:before="0"/>
        <w:rPr>
          <w:sz w:val="22"/>
          <w:szCs w:val="22"/>
        </w:rPr>
      </w:pPr>
    </w:p>
    <w:p w14:paraId="7C875B82" w14:textId="6765528E" w:rsidR="00543284" w:rsidRPr="005A55CA" w:rsidRDefault="006007E7" w:rsidP="00D375E5">
      <w:pPr>
        <w:spacing w:before="0"/>
        <w:rPr>
          <w:sz w:val="22"/>
          <w:szCs w:val="22"/>
        </w:rPr>
      </w:pPr>
      <w:r w:rsidRPr="005A55CA">
        <w:rPr>
          <w:b/>
          <w:sz w:val="22"/>
          <w:szCs w:val="22"/>
        </w:rPr>
        <w:t>Paragrahv 3</w:t>
      </w:r>
      <w:r w:rsidR="007E25FD">
        <w:rPr>
          <w:b/>
          <w:sz w:val="22"/>
          <w:szCs w:val="22"/>
        </w:rPr>
        <w:t>4</w:t>
      </w:r>
      <w:r w:rsidRPr="005A55CA">
        <w:rPr>
          <w:b/>
          <w:sz w:val="22"/>
          <w:szCs w:val="22"/>
        </w:rPr>
        <w:t xml:space="preserve"> </w:t>
      </w:r>
      <w:r w:rsidRPr="005A55CA">
        <w:rPr>
          <w:sz w:val="22"/>
          <w:szCs w:val="22"/>
        </w:rPr>
        <w:t xml:space="preserve">käsitleb andmete säilitamist. </w:t>
      </w:r>
    </w:p>
    <w:p w14:paraId="72365F61" w14:textId="77777777" w:rsidR="00543284" w:rsidRPr="005A55CA" w:rsidRDefault="00543284" w:rsidP="00D375E5">
      <w:pPr>
        <w:spacing w:before="0"/>
        <w:rPr>
          <w:sz w:val="22"/>
          <w:szCs w:val="22"/>
        </w:rPr>
      </w:pPr>
    </w:p>
    <w:p w14:paraId="4069825F" w14:textId="346BE4A5" w:rsidR="007E25FD" w:rsidRDefault="006007E7" w:rsidP="00D375E5">
      <w:pPr>
        <w:spacing w:before="0"/>
        <w:rPr>
          <w:sz w:val="22"/>
          <w:szCs w:val="22"/>
        </w:rPr>
      </w:pPr>
      <w:r w:rsidRPr="005A55CA">
        <w:rPr>
          <w:sz w:val="22"/>
          <w:szCs w:val="22"/>
        </w:rPr>
        <w:t xml:space="preserve">Vastavalt </w:t>
      </w:r>
      <w:r w:rsidRPr="005A55CA">
        <w:rPr>
          <w:b/>
          <w:sz w:val="22"/>
          <w:szCs w:val="22"/>
        </w:rPr>
        <w:t>lõikele 1</w:t>
      </w:r>
      <w:r w:rsidRPr="005A55CA">
        <w:rPr>
          <w:sz w:val="22"/>
          <w:szCs w:val="22"/>
        </w:rPr>
        <w:t xml:space="preserve"> kohustub t</w:t>
      </w:r>
      <w:r w:rsidR="00CD6EBF" w:rsidRPr="005A55CA">
        <w:rPr>
          <w:sz w:val="22"/>
          <w:szCs w:val="22"/>
        </w:rPr>
        <w:t>eenuseosutaja</w:t>
      </w:r>
      <w:r w:rsidR="00527EFB">
        <w:rPr>
          <w:sz w:val="22"/>
          <w:szCs w:val="22"/>
        </w:rPr>
        <w:t xml:space="preserve"> </w:t>
      </w:r>
      <w:r w:rsidR="00CD6EBF" w:rsidRPr="005A55CA">
        <w:rPr>
          <w:sz w:val="22"/>
          <w:szCs w:val="22"/>
        </w:rPr>
        <w:t xml:space="preserve">säilitama </w:t>
      </w:r>
      <w:r w:rsidR="007E25FD">
        <w:rPr>
          <w:sz w:val="22"/>
          <w:szCs w:val="22"/>
        </w:rPr>
        <w:t>teenuse osutamise ja tehingutega seotud</w:t>
      </w:r>
      <w:r w:rsidR="00CD6EBF" w:rsidRPr="005A55CA">
        <w:rPr>
          <w:sz w:val="22"/>
          <w:szCs w:val="22"/>
        </w:rPr>
        <w:t xml:space="preserve"> andmeid viie aasta jooksul muutumatuna ja Finantsinspektsioonile kättesaadavana</w:t>
      </w:r>
      <w:r w:rsidR="00CD6EBF" w:rsidRPr="001E39D3">
        <w:rPr>
          <w:sz w:val="22"/>
          <w:szCs w:val="22"/>
        </w:rPr>
        <w:t>,</w:t>
      </w:r>
      <w:r w:rsidR="00CD6EBF" w:rsidRPr="005A55CA">
        <w:rPr>
          <w:sz w:val="22"/>
          <w:szCs w:val="22"/>
        </w:rPr>
        <w:t xml:space="preserve"> kui Finantsinspektsioon ei ole kehtestanud teistsugust tähtaega või kui seaduses ei ole sätestatud pi</w:t>
      </w:r>
      <w:r w:rsidRPr="005A55CA">
        <w:rPr>
          <w:sz w:val="22"/>
          <w:szCs w:val="22"/>
        </w:rPr>
        <w:t>kemat tähtaega</w:t>
      </w:r>
      <w:r w:rsidR="00CD6EBF" w:rsidRPr="005A55CA">
        <w:rPr>
          <w:sz w:val="22"/>
          <w:szCs w:val="22"/>
        </w:rPr>
        <w:t xml:space="preserve">. </w:t>
      </w:r>
      <w:r w:rsidR="003C696D" w:rsidRPr="003C696D">
        <w:rPr>
          <w:sz w:val="22"/>
          <w:szCs w:val="22"/>
        </w:rPr>
        <w:t xml:space="preserve">„Finantsinspektsioonile kättesaadav“ tähendab, et Finantsinspektsioonil peab olema praktikas ka võimalus ligi pääseda andmetele, mis on Finantsinspektsiooni poolse kontrolli objektiks. Selline kättesaadavus on näiteks välistatud juhul, kui andmed asuvad välisriigi serveris, kuhu Finantsinspektsioonil pole võimalik ligi pääseda; kui andmed on krüpteeritud ilma võimaluseta neid </w:t>
      </w:r>
      <w:proofErr w:type="spellStart"/>
      <w:r w:rsidR="003C696D" w:rsidRPr="003C696D">
        <w:rPr>
          <w:sz w:val="22"/>
          <w:szCs w:val="22"/>
        </w:rPr>
        <w:t>dekrüpteerida</w:t>
      </w:r>
      <w:proofErr w:type="spellEnd"/>
      <w:r w:rsidR="003C696D" w:rsidRPr="003C696D">
        <w:rPr>
          <w:sz w:val="22"/>
          <w:szCs w:val="22"/>
        </w:rPr>
        <w:t xml:space="preserve">, jne. </w:t>
      </w:r>
      <w:r w:rsidR="00891042">
        <w:rPr>
          <w:sz w:val="22"/>
          <w:szCs w:val="22"/>
        </w:rPr>
        <w:t xml:space="preserve">Viieaastast tähtaega arvestatakse alates sellest, kui andmed ja dokumendid on muutunud teenuseosutajale kättesaadavaks – näiteks tehingutega seotud andmeid säilitatakse tehingu tegemise hetkest. Lisaks tuleb arvestada teistest asjakohastest seadustest tulenevaid andmete säilitamise nõudeid ja tähtaegu, sh </w:t>
      </w:r>
      <w:proofErr w:type="spellStart"/>
      <w:r w:rsidR="00891042">
        <w:rPr>
          <w:sz w:val="22"/>
          <w:szCs w:val="22"/>
        </w:rPr>
        <w:t>RahaPTS</w:t>
      </w:r>
      <w:proofErr w:type="spellEnd"/>
      <w:r w:rsidR="00891042">
        <w:rPr>
          <w:sz w:val="22"/>
          <w:szCs w:val="22"/>
        </w:rPr>
        <w:t xml:space="preserve"> §-s 47 sätestatut.</w:t>
      </w:r>
      <w:r w:rsidR="00BA3385">
        <w:rPr>
          <w:sz w:val="22"/>
          <w:szCs w:val="22"/>
        </w:rPr>
        <w:t xml:space="preserve"> </w:t>
      </w:r>
      <w:r w:rsidR="00BA3385" w:rsidRPr="003C696D">
        <w:rPr>
          <w:sz w:val="22"/>
          <w:szCs w:val="22"/>
        </w:rPr>
        <w:t>Lisaks, nimetatud</w:t>
      </w:r>
      <w:r w:rsidR="00BA3385" w:rsidRPr="005A55CA">
        <w:rPr>
          <w:sz w:val="22"/>
          <w:szCs w:val="22"/>
        </w:rPr>
        <w:t xml:space="preserve"> viieaastane tähtaeg rakendub teenuseosutajale ka siis, kui Finantsinspektsioon nõuab, et pärast teenuseosutajale väljastatud tegevusloa lõppemist tuleb teenuseosutajal andmeid säilitada </w:t>
      </w:r>
      <w:r w:rsidR="00BA3385">
        <w:rPr>
          <w:sz w:val="22"/>
          <w:szCs w:val="22"/>
        </w:rPr>
        <w:t>muutumatuna ja finantsjärelevalvele kättesaadavana viie aasta jooksul</w:t>
      </w:r>
      <w:r w:rsidR="00BA3385" w:rsidRPr="005A55CA">
        <w:rPr>
          <w:sz w:val="22"/>
          <w:szCs w:val="22"/>
        </w:rPr>
        <w:t xml:space="preserve"> (</w:t>
      </w:r>
      <w:r w:rsidR="00BA3385" w:rsidRPr="005A55CA">
        <w:rPr>
          <w:b/>
          <w:sz w:val="22"/>
          <w:szCs w:val="22"/>
        </w:rPr>
        <w:t xml:space="preserve">lõige </w:t>
      </w:r>
      <w:r w:rsidR="00BA3385">
        <w:rPr>
          <w:b/>
          <w:sz w:val="22"/>
          <w:szCs w:val="22"/>
        </w:rPr>
        <w:t>5</w:t>
      </w:r>
      <w:r w:rsidR="00BA3385" w:rsidRPr="005A55CA">
        <w:rPr>
          <w:sz w:val="22"/>
          <w:szCs w:val="22"/>
        </w:rPr>
        <w:t>).</w:t>
      </w:r>
    </w:p>
    <w:p w14:paraId="083A5599" w14:textId="77777777" w:rsidR="00C87582" w:rsidRPr="005A55CA" w:rsidRDefault="00C87582" w:rsidP="00D375E5">
      <w:pPr>
        <w:spacing w:before="0"/>
        <w:rPr>
          <w:b/>
          <w:sz w:val="22"/>
          <w:szCs w:val="22"/>
        </w:rPr>
      </w:pPr>
    </w:p>
    <w:p w14:paraId="05511D40" w14:textId="789CCD81" w:rsidR="00CD6EBF" w:rsidRDefault="00DB7260" w:rsidP="00D375E5">
      <w:pPr>
        <w:spacing w:before="0"/>
        <w:rPr>
          <w:sz w:val="22"/>
          <w:szCs w:val="22"/>
        </w:rPr>
      </w:pPr>
      <w:r w:rsidRPr="005A55CA">
        <w:rPr>
          <w:b/>
          <w:sz w:val="22"/>
          <w:szCs w:val="22"/>
        </w:rPr>
        <w:t>Lõig</w:t>
      </w:r>
      <w:r w:rsidR="006007E7" w:rsidRPr="005A55CA">
        <w:rPr>
          <w:b/>
          <w:sz w:val="22"/>
          <w:szCs w:val="22"/>
        </w:rPr>
        <w:t>e 2</w:t>
      </w:r>
      <w:r w:rsidR="00CD6EBF" w:rsidRPr="005A55CA">
        <w:rPr>
          <w:sz w:val="22"/>
          <w:szCs w:val="22"/>
        </w:rPr>
        <w:t xml:space="preserve"> </w:t>
      </w:r>
      <w:r w:rsidRPr="005A55CA">
        <w:rPr>
          <w:sz w:val="22"/>
          <w:szCs w:val="22"/>
        </w:rPr>
        <w:t xml:space="preserve">käsitleb kohustust säilitada teenuse osutamise lepingust tulenevaid teenuseosutaja ja kliendi õiguseid ja kohustusi </w:t>
      </w:r>
      <w:r w:rsidR="007E25FD">
        <w:rPr>
          <w:sz w:val="22"/>
          <w:szCs w:val="22"/>
        </w:rPr>
        <w:t xml:space="preserve">sisaldavaid dokumente </w:t>
      </w:r>
      <w:r w:rsidRPr="005A55CA">
        <w:rPr>
          <w:sz w:val="22"/>
          <w:szCs w:val="22"/>
        </w:rPr>
        <w:t xml:space="preserve">või teenuse osutamise tingimusi vähemalt kuni teenuse osutamisega seotud kliendisuhte kestuse lõpuni. Lepingutingimuste säilitamise kohustuslikkus peaks ennetama võimalikke vastuolusid ja vaidlusi, kui vähemalt teenuseosutaja kui üks lepingupool on kohustatud alles hoidma lepingut, mille alusel teenust kliendile osutatakse. Kui teenuseosutaja osutab teenuseid vastavalt oma tüüptingimustele, siis kohustub teenuseosutaja säilitama kõiki versioone </w:t>
      </w:r>
      <w:r w:rsidR="00B91454" w:rsidRPr="005A55CA">
        <w:rPr>
          <w:sz w:val="22"/>
          <w:szCs w:val="22"/>
        </w:rPr>
        <w:t>tüüptingimustest juhul, kui nimetatud tingimusi on muudetud kliendisuhte kestuse ajal.</w:t>
      </w:r>
    </w:p>
    <w:p w14:paraId="3284D183" w14:textId="2C666DFA" w:rsidR="00891042" w:rsidRDefault="00891042" w:rsidP="00D375E5">
      <w:pPr>
        <w:spacing w:before="0"/>
        <w:rPr>
          <w:sz w:val="22"/>
          <w:szCs w:val="22"/>
        </w:rPr>
      </w:pPr>
    </w:p>
    <w:p w14:paraId="7095CC0F" w14:textId="1A96133F" w:rsidR="00891042" w:rsidRDefault="00891042" w:rsidP="00D375E5">
      <w:pPr>
        <w:spacing w:before="0"/>
        <w:rPr>
          <w:sz w:val="22"/>
          <w:szCs w:val="22"/>
        </w:rPr>
      </w:pPr>
      <w:r>
        <w:rPr>
          <w:sz w:val="22"/>
          <w:szCs w:val="22"/>
        </w:rPr>
        <w:t xml:space="preserve">Vastavalt </w:t>
      </w:r>
      <w:r>
        <w:rPr>
          <w:b/>
          <w:bCs/>
          <w:sz w:val="22"/>
          <w:szCs w:val="22"/>
        </w:rPr>
        <w:t xml:space="preserve">lõikele 3 </w:t>
      </w:r>
      <w:r>
        <w:rPr>
          <w:sz w:val="22"/>
          <w:szCs w:val="22"/>
        </w:rPr>
        <w:t xml:space="preserve">tuleb teenuseosutajal registreerida iga kliendiga tehtud tehingu või tehingukorralduse kohta tehingu tegemise või tehingukorralduse kuupäev või ajavahemik ja tehingu või tehingukorralduse sisu kirjeldus (punkt 1), konto avamisel konto tüübi, konto numbri ja vääringu ning muud olulised tunnused (punkt 2) ning kliendi varaga seotud väljamakse tegemisel vara liigi, tehingu rahalise väärtuse, vääringu ja konto numbri (punkt 3). </w:t>
      </w:r>
      <w:r w:rsidR="00B51890">
        <w:rPr>
          <w:sz w:val="22"/>
          <w:szCs w:val="22"/>
        </w:rPr>
        <w:t xml:space="preserve">Punktides 2 ja 3 nimetatud konto all tuleb ka mõelda kontosid, millel on võimalik hoida </w:t>
      </w:r>
      <w:proofErr w:type="spellStart"/>
      <w:r w:rsidR="00B51890">
        <w:rPr>
          <w:sz w:val="22"/>
          <w:szCs w:val="22"/>
        </w:rPr>
        <w:t>krüptovara</w:t>
      </w:r>
      <w:proofErr w:type="spellEnd"/>
      <w:r w:rsidR="00B51890">
        <w:rPr>
          <w:sz w:val="22"/>
          <w:szCs w:val="22"/>
        </w:rPr>
        <w:t>.</w:t>
      </w:r>
    </w:p>
    <w:p w14:paraId="0A6D1794" w14:textId="162E4B61" w:rsidR="00B51890" w:rsidRDefault="00B51890" w:rsidP="00D375E5">
      <w:pPr>
        <w:spacing w:before="0"/>
        <w:rPr>
          <w:sz w:val="22"/>
          <w:szCs w:val="22"/>
        </w:rPr>
      </w:pPr>
    </w:p>
    <w:p w14:paraId="090E8E13" w14:textId="3631D0E4" w:rsidR="00B51890" w:rsidRPr="00B51890" w:rsidRDefault="00B51890" w:rsidP="00D375E5">
      <w:pPr>
        <w:spacing w:before="0"/>
        <w:rPr>
          <w:sz w:val="22"/>
          <w:szCs w:val="22"/>
        </w:rPr>
      </w:pPr>
      <w:r>
        <w:rPr>
          <w:b/>
          <w:bCs/>
          <w:sz w:val="22"/>
          <w:szCs w:val="22"/>
        </w:rPr>
        <w:t xml:space="preserve">Lõike 4 </w:t>
      </w:r>
      <w:r>
        <w:rPr>
          <w:sz w:val="22"/>
          <w:szCs w:val="22"/>
        </w:rPr>
        <w:t xml:space="preserve">järgi tuleb teenuseosutajal pidada lisaks ülaltoodud lõikele ka arvestust või registrit klientide nimel avatud kõikide positsioonide suhtes. Eeltoodu on vajalik, et kliendil oleks võimalik saada </w:t>
      </w:r>
      <w:r>
        <w:rPr>
          <w:sz w:val="22"/>
          <w:szCs w:val="22"/>
        </w:rPr>
        <w:lastRenderedPageBreak/>
        <w:t xml:space="preserve">ülevaadet tema poolt tehtud tehingute kui ka ostetud vara hetkeväärtuse kohta. Seda avab ka sama lõike järgmine lause, mille kohaselt andmed tuleb registreerida arusaadaval ja loetaval viisil ning ühele isikule kuuluvad vahendid kajastada selliselt, et oleks mõistlikult võimalik </w:t>
      </w:r>
      <w:proofErr w:type="spellStart"/>
      <w:r>
        <w:rPr>
          <w:sz w:val="22"/>
          <w:szCs w:val="22"/>
        </w:rPr>
        <w:t>arusaada</w:t>
      </w:r>
      <w:proofErr w:type="spellEnd"/>
      <w:r>
        <w:rPr>
          <w:sz w:val="22"/>
          <w:szCs w:val="22"/>
        </w:rPr>
        <w:t xml:space="preserve"> ühele isikule kuuluvatest osalustest või muudest vastava varaga seotud õigustest või hüvedest. </w:t>
      </w:r>
    </w:p>
    <w:p w14:paraId="087FF743" w14:textId="77777777" w:rsidR="00A066CD" w:rsidRPr="005A55CA" w:rsidRDefault="00A066CD" w:rsidP="00D375E5">
      <w:pPr>
        <w:spacing w:before="0"/>
        <w:rPr>
          <w:sz w:val="22"/>
          <w:szCs w:val="22"/>
        </w:rPr>
      </w:pPr>
    </w:p>
    <w:p w14:paraId="78E65E82" w14:textId="78037172" w:rsidR="007E25FD" w:rsidRDefault="005C7572" w:rsidP="00BA3385">
      <w:pPr>
        <w:pStyle w:val="Normal2"/>
        <w:rPr>
          <w:szCs w:val="22"/>
        </w:rPr>
      </w:pPr>
      <w:r>
        <w:rPr>
          <w:b/>
          <w:szCs w:val="22"/>
        </w:rPr>
        <w:t xml:space="preserve">Lõike </w:t>
      </w:r>
      <w:r w:rsidR="00BA3385">
        <w:rPr>
          <w:b/>
          <w:szCs w:val="22"/>
        </w:rPr>
        <w:t>5</w:t>
      </w:r>
      <w:r>
        <w:rPr>
          <w:b/>
          <w:szCs w:val="22"/>
        </w:rPr>
        <w:t xml:space="preserve"> </w:t>
      </w:r>
      <w:r>
        <w:rPr>
          <w:szCs w:val="22"/>
        </w:rPr>
        <w:t xml:space="preserve">kohaselt on Finantsinspektsioonil õigus nõuda, et pärast teenuseosutajale antud tegevusloa lõppemist peab teenuseosutaja säilitama käesolevas </w:t>
      </w:r>
      <w:r w:rsidR="00B51890">
        <w:rPr>
          <w:szCs w:val="22"/>
        </w:rPr>
        <w:t xml:space="preserve">paragrahvis </w:t>
      </w:r>
      <w:r>
        <w:rPr>
          <w:szCs w:val="22"/>
        </w:rPr>
        <w:t xml:space="preserve">sätestatud andmeid muutumatuna ja Finantsinspektsioonile kättesaadavana viis aastat, kui andmete säilitamisele ei ole seaduses ette nähtud pikemat tähtaega. </w:t>
      </w:r>
      <w:r w:rsidR="00D85A75" w:rsidRPr="005A55CA">
        <w:rPr>
          <w:szCs w:val="22"/>
        </w:rPr>
        <w:t>Dokumentide säilitamise kohta tasub märkida, et muudest seadustest võib tulla kohustus säilitada teatud andmeid ja dokumente ka</w:t>
      </w:r>
      <w:r w:rsidR="006007E7" w:rsidRPr="005A55CA">
        <w:rPr>
          <w:szCs w:val="22"/>
        </w:rPr>
        <w:t>uem kui käesoleva seaduse §-s 3</w:t>
      </w:r>
      <w:r>
        <w:rPr>
          <w:szCs w:val="22"/>
        </w:rPr>
        <w:t>3</w:t>
      </w:r>
      <w:r w:rsidR="00D85A75" w:rsidRPr="005A55CA">
        <w:rPr>
          <w:szCs w:val="22"/>
        </w:rPr>
        <w:t xml:space="preserve"> märgitud. Näiteks raamatupidamisdokumente tuleb säilitada seitse aastat raamatupidamise seaduse alusel ning rahapesu ja terrorismi rahastamise tõkestamise regulatsioon nõuab teenuseosutajalt kui finantseerimisasutuselt hoolsusmeetmete kohaldamiseks kogutud andmete säilitamist viis aastat pärast kliendiga ärisuhte lõppemist</w:t>
      </w:r>
      <w:r w:rsidR="00721846">
        <w:rPr>
          <w:szCs w:val="22"/>
        </w:rPr>
        <w:t xml:space="preserve">; samuti tuleb arvestada asjakohasel juhul ka isikuandmete kaitse </w:t>
      </w:r>
      <w:proofErr w:type="spellStart"/>
      <w:r w:rsidR="00721846">
        <w:rPr>
          <w:szCs w:val="22"/>
        </w:rPr>
        <w:t>üldmääruse</w:t>
      </w:r>
      <w:proofErr w:type="spellEnd"/>
      <w:r w:rsidR="00721846">
        <w:rPr>
          <w:szCs w:val="22"/>
        </w:rPr>
        <w:t xml:space="preserve"> sätetega</w:t>
      </w:r>
      <w:r w:rsidR="00D85A75" w:rsidRPr="005A55CA">
        <w:rPr>
          <w:szCs w:val="22"/>
        </w:rPr>
        <w:t xml:space="preserve">. </w:t>
      </w:r>
    </w:p>
    <w:p w14:paraId="412DCE82" w14:textId="15581D35" w:rsidR="00BA3385" w:rsidRDefault="00BA3385" w:rsidP="00BA3385">
      <w:pPr>
        <w:pStyle w:val="Normal2"/>
        <w:rPr>
          <w:szCs w:val="22"/>
        </w:rPr>
      </w:pPr>
    </w:p>
    <w:p w14:paraId="706534C5" w14:textId="16BE6083" w:rsidR="00BA3385" w:rsidRDefault="00BA3385" w:rsidP="00BA3385">
      <w:pPr>
        <w:pStyle w:val="Normal2"/>
        <w:rPr>
          <w:szCs w:val="22"/>
        </w:rPr>
      </w:pPr>
      <w:r>
        <w:rPr>
          <w:b/>
          <w:bCs w:val="0"/>
          <w:szCs w:val="22"/>
        </w:rPr>
        <w:t xml:space="preserve">Lõike 6 </w:t>
      </w:r>
      <w:r>
        <w:rPr>
          <w:szCs w:val="22"/>
        </w:rPr>
        <w:t>kohaselt peab olema teenuseosutaja kliendil või tema volitat</w:t>
      </w:r>
      <w:r w:rsidR="00A81395">
        <w:rPr>
          <w:szCs w:val="22"/>
        </w:rPr>
        <w:t>u</w:t>
      </w:r>
      <w:r>
        <w:rPr>
          <w:szCs w:val="22"/>
        </w:rPr>
        <w:t>d isikul õigus tutvuda käesoleva paragrahvi lõigete 3 ja 4 kohaselt registreeritud ning nimetatud kliendi endaga seotud andmetega.</w:t>
      </w:r>
      <w:r w:rsidR="00A81395">
        <w:rPr>
          <w:szCs w:val="22"/>
        </w:rPr>
        <w:t xml:space="preserve"> Sätte mõte on selles, et klient või tema volitatud isik saaks tutvuda endaga seotud andmetega, ning mitte saada andmeid teiste klientide andmete kohta.</w:t>
      </w:r>
    </w:p>
    <w:p w14:paraId="02456CE7" w14:textId="3C6F87B3" w:rsidR="00BA3385" w:rsidRDefault="00BA3385" w:rsidP="00BA3385">
      <w:pPr>
        <w:pStyle w:val="Normal2"/>
        <w:rPr>
          <w:szCs w:val="22"/>
        </w:rPr>
      </w:pPr>
    </w:p>
    <w:p w14:paraId="1DB5B732" w14:textId="4DF69B51" w:rsidR="00BA3385" w:rsidRDefault="00BA3385" w:rsidP="00BA3385">
      <w:pPr>
        <w:pStyle w:val="Normal2"/>
        <w:rPr>
          <w:szCs w:val="22"/>
        </w:rPr>
      </w:pPr>
      <w:r>
        <w:rPr>
          <w:b/>
          <w:bCs w:val="0"/>
          <w:szCs w:val="22"/>
        </w:rPr>
        <w:t xml:space="preserve">Lõike 7 </w:t>
      </w:r>
      <w:r>
        <w:rPr>
          <w:szCs w:val="22"/>
        </w:rPr>
        <w:t>järgi peab</w:t>
      </w:r>
      <w:r w:rsidR="00A81395">
        <w:rPr>
          <w:szCs w:val="22"/>
        </w:rPr>
        <w:t xml:space="preserve"> lõigetes 3 ja 4 nimetatud andmetega olema õigus tutvuda ja neist väljavõtteid saada sama lõike punktides 1-11 nimetatud isikutel, sh kohtul asja menetlemisel, uurimisasutusel ja prokuratuuril kriminaalmenetluse raames, Maksu- ja Tolliametil, jne.</w:t>
      </w:r>
    </w:p>
    <w:p w14:paraId="15D8C4D1" w14:textId="380345D7" w:rsidR="00BA3385" w:rsidRDefault="00BA3385" w:rsidP="00BA3385">
      <w:pPr>
        <w:pStyle w:val="Normal2"/>
        <w:rPr>
          <w:szCs w:val="22"/>
        </w:rPr>
      </w:pPr>
    </w:p>
    <w:p w14:paraId="709B209E" w14:textId="7361C87C" w:rsidR="00BA3385" w:rsidRPr="00BA3385" w:rsidRDefault="00BA3385" w:rsidP="00BA3385">
      <w:pPr>
        <w:pStyle w:val="Normal2"/>
        <w:rPr>
          <w:szCs w:val="22"/>
        </w:rPr>
      </w:pPr>
      <w:r>
        <w:rPr>
          <w:b/>
          <w:bCs w:val="0"/>
          <w:szCs w:val="22"/>
        </w:rPr>
        <w:t xml:space="preserve">Lõige 8 </w:t>
      </w:r>
      <w:r>
        <w:rPr>
          <w:szCs w:val="22"/>
        </w:rPr>
        <w:t>sätestab volitusnormi, mille kohaselt valdkonna eest vastutav minister võib kehtestada määrusega täpsemad nõuded andmete registreerimisele ja säilitamisele.</w:t>
      </w:r>
      <w:r w:rsidR="00A81395">
        <w:rPr>
          <w:szCs w:val="22"/>
        </w:rPr>
        <w:t xml:space="preserve"> Seda, kas andmete registreerimise ja säilitamise nõudeid on vajalik täpsustada, tuleb hinnata jooksvalt. Määruse kehtestamisel tuleb arvestada ka samas paragrahvis sätestatud tähtaegu, säilitatavaid andmeid ja isikuid, kellele andmed tuleb kättesaadavaks teha.</w:t>
      </w:r>
    </w:p>
    <w:p w14:paraId="116D0AF7" w14:textId="28177C3E" w:rsidR="009F3746" w:rsidRPr="005A55CA" w:rsidRDefault="009F3746" w:rsidP="00D375E5">
      <w:pPr>
        <w:pStyle w:val="Normal2"/>
        <w:rPr>
          <w:szCs w:val="22"/>
        </w:rPr>
      </w:pPr>
    </w:p>
    <w:p w14:paraId="45493B9A" w14:textId="372419A0" w:rsidR="00E5187D" w:rsidRDefault="005D2630" w:rsidP="00D375E5">
      <w:pPr>
        <w:pStyle w:val="Normal2"/>
        <w:rPr>
          <w:b/>
          <w:bCs w:val="0"/>
          <w:szCs w:val="22"/>
        </w:rPr>
      </w:pPr>
      <w:bookmarkStart w:id="4" w:name="_Toc48637136"/>
      <w:r w:rsidRPr="005A55CA">
        <w:rPr>
          <w:szCs w:val="22"/>
        </w:rPr>
        <w:t>Paragrahv 3</w:t>
      </w:r>
      <w:r w:rsidR="005C7572">
        <w:rPr>
          <w:szCs w:val="22"/>
        </w:rPr>
        <w:t>4</w:t>
      </w:r>
      <w:r w:rsidR="00C77687" w:rsidRPr="005A55CA">
        <w:rPr>
          <w:szCs w:val="22"/>
        </w:rPr>
        <w:t xml:space="preserve"> sätestab teenuse edasiandmise</w:t>
      </w:r>
      <w:r w:rsidRPr="005A55CA">
        <w:rPr>
          <w:szCs w:val="22"/>
        </w:rPr>
        <w:t xml:space="preserve"> tingimused. Teenuseosutaja võib oma tegevust edasi anda kolmandale isikule ainult juhul, kui Finantsinspektsiooni on sellest teavitatud ning kui teenuseosutaja kliendi või järelevalveasutuse jaoks ei toimu teenuse edasiandmisega olulisi muudatusi (loetletud lõike 1 punktides 1-</w:t>
      </w:r>
      <w:r w:rsidR="00A81395">
        <w:rPr>
          <w:szCs w:val="22"/>
        </w:rPr>
        <w:t>9</w:t>
      </w:r>
      <w:r w:rsidRPr="005A55CA">
        <w:rPr>
          <w:szCs w:val="22"/>
        </w:rPr>
        <w:t xml:space="preserve">). </w:t>
      </w:r>
      <w:bookmarkEnd w:id="4"/>
      <w:r w:rsidR="005F33C6">
        <w:rPr>
          <w:szCs w:val="22"/>
        </w:rPr>
        <w:t xml:space="preserve">Eelnõu koostajate hinnangul peaks olema lubatud ka oluliste funktsioonide edasiandmine, kui edasiandmine iseenesest ei mõjuta nende funktsioonide kvaliteeti, toimimist või järelevalve teostamist. </w:t>
      </w:r>
      <w:r w:rsidR="00C87582" w:rsidRPr="005A55CA">
        <w:rPr>
          <w:szCs w:val="22"/>
        </w:rPr>
        <w:t>Sealjuures on tegevuse edasiandmisel oluline, et teenuseosutaja tegevusi ei anta edasi sellisel viisil, mis takistab teenuseosutaja sisekontrolli või järelevalve toimimist</w:t>
      </w:r>
      <w:r w:rsidR="0011603B" w:rsidRPr="005A55CA">
        <w:rPr>
          <w:szCs w:val="22"/>
        </w:rPr>
        <w:t xml:space="preserve"> ning et teenuse edasiandmine oleks igakülgselt vajalik</w:t>
      </w:r>
      <w:r w:rsidR="00C87582" w:rsidRPr="005A55CA">
        <w:rPr>
          <w:szCs w:val="22"/>
        </w:rPr>
        <w:t xml:space="preserve"> (lõige 2)</w:t>
      </w:r>
      <w:r w:rsidR="0011603B" w:rsidRPr="005A55CA">
        <w:rPr>
          <w:szCs w:val="22"/>
        </w:rPr>
        <w:t xml:space="preserve">. </w:t>
      </w:r>
    </w:p>
    <w:p w14:paraId="7B05BF0C" w14:textId="2E3737B8" w:rsidR="001E39D3" w:rsidRDefault="001E39D3" w:rsidP="00D375E5">
      <w:pPr>
        <w:pStyle w:val="Normal2"/>
        <w:rPr>
          <w:b/>
          <w:bCs w:val="0"/>
          <w:szCs w:val="22"/>
        </w:rPr>
      </w:pPr>
    </w:p>
    <w:p w14:paraId="1864C169" w14:textId="3C89B0AD" w:rsidR="001E39D3" w:rsidRPr="001E39D3" w:rsidRDefault="001E39D3" w:rsidP="00D375E5">
      <w:pPr>
        <w:pStyle w:val="Normal2"/>
        <w:rPr>
          <w:szCs w:val="22"/>
          <w:lang w:val="x-none"/>
        </w:rPr>
      </w:pPr>
      <w:r w:rsidRPr="001E39D3">
        <w:rPr>
          <w:szCs w:val="22"/>
        </w:rPr>
        <w:t>Lõike 1 punktide 1-8</w:t>
      </w:r>
      <w:r>
        <w:rPr>
          <w:szCs w:val="22"/>
        </w:rPr>
        <w:t xml:space="preserve"> alusel on </w:t>
      </w:r>
      <w:r>
        <w:rPr>
          <w:szCs w:val="22"/>
          <w:lang w:val="x-none"/>
        </w:rPr>
        <w:t>teenuseosutaja</w:t>
      </w:r>
      <w:r>
        <w:rPr>
          <w:szCs w:val="22"/>
        </w:rPr>
        <w:t>l</w:t>
      </w:r>
      <w:r>
        <w:rPr>
          <w:szCs w:val="22"/>
          <w:lang w:val="x-none"/>
        </w:rPr>
        <w:t xml:space="preserve"> </w:t>
      </w:r>
      <w:r w:rsidRPr="001E39D3">
        <w:rPr>
          <w:szCs w:val="22"/>
          <w:lang w:val="x-none"/>
        </w:rPr>
        <w:t>oma kohustuste paremaks täitmiseks õigus teenuse osutamisega seotud tegevusi edasi anda kolmandale isikule (</w:t>
      </w:r>
      <w:r w:rsidRPr="001E39D3">
        <w:rPr>
          <w:i/>
          <w:iCs/>
          <w:szCs w:val="22"/>
          <w:lang w:val="x-none"/>
        </w:rPr>
        <w:t>tegevuse edasiandmine</w:t>
      </w:r>
      <w:r w:rsidRPr="001E39D3">
        <w:rPr>
          <w:szCs w:val="22"/>
          <w:lang w:val="x-none"/>
        </w:rPr>
        <w:t>), kui:</w:t>
      </w:r>
    </w:p>
    <w:p w14:paraId="6C5CA771" w14:textId="3CA8C609" w:rsidR="001E39D3" w:rsidRPr="001E39D3" w:rsidRDefault="001E39D3" w:rsidP="002B2C7C">
      <w:pPr>
        <w:pStyle w:val="Normal2"/>
        <w:numPr>
          <w:ilvl w:val="0"/>
          <w:numId w:val="31"/>
        </w:numPr>
        <w:rPr>
          <w:szCs w:val="22"/>
        </w:rPr>
      </w:pPr>
      <w:r w:rsidRPr="001E39D3">
        <w:rPr>
          <w:szCs w:val="22"/>
        </w:rPr>
        <w:t>tegevuse edasiandmisega ei delegeeri juhtorgani liikmed oma vastutust või tegevuse edasiandmine ei kahjusta muul viisil klientide huve ning teenuseosutaja jääb tegevuse edasiandmise korral täielikult vastutavaks edasiantud tegevuse nõuetekohase täitmise eest;</w:t>
      </w:r>
    </w:p>
    <w:p w14:paraId="39909323" w14:textId="67A9AA15" w:rsidR="001E39D3" w:rsidRPr="001E39D3" w:rsidRDefault="001E39D3" w:rsidP="002B2C7C">
      <w:pPr>
        <w:pStyle w:val="Normal2"/>
        <w:numPr>
          <w:ilvl w:val="0"/>
          <w:numId w:val="31"/>
        </w:numPr>
        <w:rPr>
          <w:szCs w:val="22"/>
        </w:rPr>
      </w:pPr>
      <w:r w:rsidRPr="001E39D3">
        <w:rPr>
          <w:szCs w:val="22"/>
        </w:rPr>
        <w:t>tegevuse edasiandmine ei takista teenuseosutaja tegevust ja tema kohustuste täitmist vajalikul tasemel ega vähenda teenuse osutamise kvaliteeti;</w:t>
      </w:r>
    </w:p>
    <w:p w14:paraId="7A696D91" w14:textId="1F078409" w:rsidR="001E39D3" w:rsidRPr="001E39D3" w:rsidRDefault="001E39D3" w:rsidP="002B2C7C">
      <w:pPr>
        <w:pStyle w:val="Normal2"/>
        <w:numPr>
          <w:ilvl w:val="0"/>
          <w:numId w:val="31"/>
        </w:numPr>
        <w:rPr>
          <w:szCs w:val="22"/>
        </w:rPr>
      </w:pPr>
      <w:r w:rsidRPr="001E39D3">
        <w:rPr>
          <w:szCs w:val="22"/>
        </w:rPr>
        <w:t>isikul, kellele tegevused edasi antakse, on vajalikud teadmised ja oskused ning ta on võimeline neid kohustusi täitma;</w:t>
      </w:r>
    </w:p>
    <w:p w14:paraId="399D5B4C" w14:textId="20C268BC" w:rsidR="001E39D3" w:rsidRPr="001E39D3" w:rsidRDefault="001E39D3" w:rsidP="002B2C7C">
      <w:pPr>
        <w:pStyle w:val="Normal2"/>
        <w:numPr>
          <w:ilvl w:val="0"/>
          <w:numId w:val="31"/>
        </w:numPr>
        <w:rPr>
          <w:szCs w:val="22"/>
        </w:rPr>
      </w:pPr>
      <w:r w:rsidRPr="001E39D3">
        <w:rPr>
          <w:szCs w:val="22"/>
        </w:rPr>
        <w:t>teenuseosutaja suhted klientidega ja kohustused klientide ees ei muutu tegevuse edasiandmise tõttu;</w:t>
      </w:r>
    </w:p>
    <w:p w14:paraId="64C443C1" w14:textId="2E199CEB" w:rsidR="001E39D3" w:rsidRPr="001E39D3" w:rsidRDefault="001E39D3" w:rsidP="002B2C7C">
      <w:pPr>
        <w:pStyle w:val="Normal2"/>
        <w:numPr>
          <w:ilvl w:val="0"/>
          <w:numId w:val="31"/>
        </w:numPr>
        <w:rPr>
          <w:szCs w:val="22"/>
        </w:rPr>
      </w:pPr>
      <w:r w:rsidRPr="001E39D3">
        <w:rPr>
          <w:szCs w:val="22"/>
        </w:rPr>
        <w:t>tegevuse edasiandmine ei põhjusta olukorda, kus teenuseosutaja ei tegele teenuse osutamisega</w:t>
      </w:r>
      <w:r w:rsidR="00147BCB">
        <w:rPr>
          <w:szCs w:val="22"/>
        </w:rPr>
        <w:t>, mille jaoks talle on väljastatud tegevusluba</w:t>
      </w:r>
      <w:r w:rsidRPr="001E39D3">
        <w:rPr>
          <w:szCs w:val="22"/>
        </w:rPr>
        <w:t>;</w:t>
      </w:r>
    </w:p>
    <w:p w14:paraId="58683873" w14:textId="7C181E62" w:rsidR="001E39D3" w:rsidRPr="001E39D3" w:rsidRDefault="001E39D3" w:rsidP="002B2C7C">
      <w:pPr>
        <w:pStyle w:val="Normal2"/>
        <w:numPr>
          <w:ilvl w:val="0"/>
          <w:numId w:val="31"/>
        </w:numPr>
        <w:rPr>
          <w:szCs w:val="22"/>
        </w:rPr>
      </w:pPr>
      <w:r w:rsidRPr="001E39D3">
        <w:rPr>
          <w:szCs w:val="22"/>
        </w:rPr>
        <w:t>tegevuse edasiandmine ei tühista ega muuda mis tahes muid tingimusi, mille alusel teenuseosutajale tegevusluba anti;</w:t>
      </w:r>
    </w:p>
    <w:p w14:paraId="314A7EDA" w14:textId="7EF7E8A9" w:rsidR="001E39D3" w:rsidRPr="001E39D3" w:rsidRDefault="00B87C36" w:rsidP="002B2C7C">
      <w:pPr>
        <w:pStyle w:val="Normal2"/>
        <w:numPr>
          <w:ilvl w:val="0"/>
          <w:numId w:val="31"/>
        </w:numPr>
        <w:rPr>
          <w:szCs w:val="22"/>
        </w:rPr>
      </w:pPr>
      <w:r>
        <w:rPr>
          <w:szCs w:val="22"/>
        </w:rPr>
        <w:t>tegevus</w:t>
      </w:r>
      <w:r w:rsidR="001E39D3" w:rsidRPr="001E39D3">
        <w:rPr>
          <w:szCs w:val="22"/>
        </w:rPr>
        <w:t>e edasiandmisel võtab teenuseosutaja tarvitusele kõik meetmed, et vältida täiendavaid riske</w:t>
      </w:r>
      <w:r w:rsidR="00A003A3">
        <w:rPr>
          <w:szCs w:val="22"/>
        </w:rPr>
        <w:t xml:space="preserve"> teenuseosutaja tegevusele</w:t>
      </w:r>
      <w:r w:rsidR="001E39D3" w:rsidRPr="001E39D3">
        <w:rPr>
          <w:szCs w:val="22"/>
        </w:rPr>
        <w:t>;</w:t>
      </w:r>
    </w:p>
    <w:p w14:paraId="2863D9F3" w14:textId="07A59DEC" w:rsidR="00C73087" w:rsidRDefault="00C73087" w:rsidP="002B2C7C">
      <w:pPr>
        <w:pStyle w:val="Normal2"/>
        <w:numPr>
          <w:ilvl w:val="0"/>
          <w:numId w:val="31"/>
        </w:numPr>
        <w:rPr>
          <w:szCs w:val="22"/>
        </w:rPr>
      </w:pPr>
      <w:r>
        <w:rPr>
          <w:szCs w:val="22"/>
        </w:rPr>
        <w:t>tegevuse</w:t>
      </w:r>
      <w:r w:rsidR="001E39D3" w:rsidRPr="001E39D3">
        <w:rPr>
          <w:szCs w:val="22"/>
        </w:rPr>
        <w:t xml:space="preserve"> edasiandmine ei </w:t>
      </w:r>
      <w:r w:rsidR="00147BCB">
        <w:rPr>
          <w:szCs w:val="22"/>
        </w:rPr>
        <w:t xml:space="preserve">takista ega </w:t>
      </w:r>
      <w:r w:rsidR="001E39D3" w:rsidRPr="001E39D3">
        <w:rPr>
          <w:szCs w:val="22"/>
        </w:rPr>
        <w:t xml:space="preserve">mõjuta </w:t>
      </w:r>
      <w:proofErr w:type="spellStart"/>
      <w:r w:rsidR="001E39D3" w:rsidRPr="001E39D3">
        <w:rPr>
          <w:szCs w:val="22"/>
        </w:rPr>
        <w:t>sise</w:t>
      </w:r>
      <w:proofErr w:type="spellEnd"/>
      <w:r w:rsidR="001E39D3" w:rsidRPr="001E39D3">
        <w:rPr>
          <w:szCs w:val="22"/>
        </w:rPr>
        <w:t>- ja vastavuskontrolli kvaliteeti ega toimimist</w:t>
      </w:r>
      <w:r>
        <w:rPr>
          <w:szCs w:val="22"/>
        </w:rPr>
        <w:t>;</w:t>
      </w:r>
    </w:p>
    <w:p w14:paraId="11F13A54" w14:textId="0BDE57CF" w:rsidR="001E39D3" w:rsidRPr="001E39D3" w:rsidRDefault="00C73087" w:rsidP="002B2C7C">
      <w:pPr>
        <w:pStyle w:val="Normal2"/>
        <w:numPr>
          <w:ilvl w:val="0"/>
          <w:numId w:val="31"/>
        </w:numPr>
        <w:rPr>
          <w:szCs w:val="22"/>
        </w:rPr>
      </w:pPr>
      <w:r>
        <w:rPr>
          <w:szCs w:val="22"/>
        </w:rPr>
        <w:lastRenderedPageBreak/>
        <w:t>tegevuse edasiandmine ei takista teenuseosutaja üle vajalikul tasemel järelevalve teostamist</w:t>
      </w:r>
      <w:r w:rsidR="001E39D3" w:rsidRPr="001E39D3">
        <w:rPr>
          <w:szCs w:val="22"/>
        </w:rPr>
        <w:t>.</w:t>
      </w:r>
    </w:p>
    <w:p w14:paraId="176148F7" w14:textId="7ECC6AE5" w:rsidR="001E39D3" w:rsidRPr="005A55CA" w:rsidRDefault="001E39D3" w:rsidP="00D375E5">
      <w:pPr>
        <w:pStyle w:val="Normal2"/>
        <w:rPr>
          <w:b/>
          <w:bCs w:val="0"/>
          <w:szCs w:val="22"/>
        </w:rPr>
      </w:pPr>
    </w:p>
    <w:p w14:paraId="25B78740" w14:textId="7D5E277D" w:rsidR="00B87C36" w:rsidRPr="00B87C36" w:rsidRDefault="00B87C36" w:rsidP="00D375E5">
      <w:pPr>
        <w:shd w:val="clear" w:color="auto" w:fill="FFFFFF"/>
        <w:spacing w:before="0"/>
        <w:rPr>
          <w:sz w:val="22"/>
          <w:szCs w:val="22"/>
        </w:rPr>
      </w:pPr>
      <w:r w:rsidRPr="00B87C36">
        <w:rPr>
          <w:b/>
          <w:sz w:val="22"/>
          <w:szCs w:val="22"/>
        </w:rPr>
        <w:t>Punktis 7</w:t>
      </w:r>
      <w:r>
        <w:rPr>
          <w:sz w:val="22"/>
          <w:szCs w:val="22"/>
        </w:rPr>
        <w:t xml:space="preserve"> nimetatud riskide all mõeldakse riske saada kahju sisemiste protsesside, inimeste tegevuse või süsteemide ebaadekvaatsusest või </w:t>
      </w:r>
      <w:proofErr w:type="spellStart"/>
      <w:r>
        <w:rPr>
          <w:sz w:val="22"/>
          <w:szCs w:val="22"/>
        </w:rPr>
        <w:t>mittetoimisest</w:t>
      </w:r>
      <w:proofErr w:type="spellEnd"/>
      <w:r>
        <w:rPr>
          <w:sz w:val="22"/>
          <w:szCs w:val="22"/>
        </w:rPr>
        <w:t xml:space="preserve"> oodatud viisil või välistest sündmustest</w:t>
      </w:r>
      <w:r w:rsidR="005F33C6">
        <w:rPr>
          <w:sz w:val="22"/>
          <w:szCs w:val="22"/>
        </w:rPr>
        <w:t xml:space="preserve">, st </w:t>
      </w:r>
      <w:proofErr w:type="spellStart"/>
      <w:r w:rsidR="005F33C6">
        <w:rPr>
          <w:sz w:val="22"/>
          <w:szCs w:val="22"/>
        </w:rPr>
        <w:t>operatsioonilisi</w:t>
      </w:r>
      <w:proofErr w:type="spellEnd"/>
      <w:r w:rsidR="005F33C6">
        <w:rPr>
          <w:sz w:val="22"/>
          <w:szCs w:val="22"/>
        </w:rPr>
        <w:t xml:space="preserve"> riske</w:t>
      </w:r>
      <w:r>
        <w:rPr>
          <w:sz w:val="22"/>
          <w:szCs w:val="22"/>
        </w:rPr>
        <w:t xml:space="preserve">. Mõiste sisaldab juriidilist riski, kuid ei sisalda strateegilist, reputatsiooni ja süsteemiriski. Operatsiooniriskide kohta on Finantsinspektsioon välja andnud juhendi „Nõuded operatsiooniriski juhtimise korraldamiseks“. </w:t>
      </w:r>
    </w:p>
    <w:p w14:paraId="35382BAD" w14:textId="77777777" w:rsidR="00B87C36" w:rsidRDefault="00B87C36" w:rsidP="00D375E5">
      <w:pPr>
        <w:shd w:val="clear" w:color="auto" w:fill="FFFFFF"/>
        <w:spacing w:before="0"/>
        <w:rPr>
          <w:b/>
          <w:sz w:val="22"/>
          <w:szCs w:val="22"/>
        </w:rPr>
      </w:pPr>
    </w:p>
    <w:p w14:paraId="543C6DC5" w14:textId="34E44BAE" w:rsidR="00C77687" w:rsidRPr="005A55CA" w:rsidRDefault="007F08B0" w:rsidP="00D375E5">
      <w:pPr>
        <w:shd w:val="clear" w:color="auto" w:fill="FFFFFF"/>
        <w:spacing w:before="0"/>
        <w:rPr>
          <w:sz w:val="22"/>
          <w:szCs w:val="22"/>
        </w:rPr>
      </w:pPr>
      <w:r w:rsidRPr="005A55CA">
        <w:rPr>
          <w:b/>
          <w:sz w:val="22"/>
          <w:szCs w:val="22"/>
        </w:rPr>
        <w:t xml:space="preserve">Lõike </w:t>
      </w:r>
      <w:r w:rsidR="00147BCB">
        <w:rPr>
          <w:b/>
          <w:sz w:val="22"/>
          <w:szCs w:val="22"/>
        </w:rPr>
        <w:t>2</w:t>
      </w:r>
      <w:r w:rsidRPr="005A55CA">
        <w:rPr>
          <w:b/>
          <w:sz w:val="22"/>
          <w:szCs w:val="22"/>
        </w:rPr>
        <w:t xml:space="preserve"> </w:t>
      </w:r>
      <w:r w:rsidRPr="005A55CA">
        <w:rPr>
          <w:sz w:val="22"/>
          <w:szCs w:val="22"/>
        </w:rPr>
        <w:t>järgi tuleb t</w:t>
      </w:r>
      <w:r w:rsidR="00C77687" w:rsidRPr="005A55CA">
        <w:rPr>
          <w:sz w:val="22"/>
          <w:szCs w:val="22"/>
        </w:rPr>
        <w:t>egevuse edasiandmise korral hin</w:t>
      </w:r>
      <w:r w:rsidRPr="005A55CA">
        <w:rPr>
          <w:sz w:val="22"/>
          <w:szCs w:val="22"/>
        </w:rPr>
        <w:t>nata</w:t>
      </w:r>
      <w:r w:rsidR="00C77687" w:rsidRPr="005A55CA">
        <w:rPr>
          <w:sz w:val="22"/>
          <w:szCs w:val="22"/>
        </w:rPr>
        <w:t>, kas isik, kellele tegevus edasi antakse, on edasiantud tegevuseks pädev ja sobiv.</w:t>
      </w:r>
      <w:r w:rsidRPr="005A55CA">
        <w:rPr>
          <w:sz w:val="22"/>
          <w:szCs w:val="22"/>
        </w:rPr>
        <w:t xml:space="preserve"> </w:t>
      </w:r>
      <w:r w:rsidR="004D7EA1" w:rsidRPr="005A55CA">
        <w:rPr>
          <w:b/>
          <w:sz w:val="22"/>
          <w:szCs w:val="22"/>
        </w:rPr>
        <w:t xml:space="preserve">Lõike </w:t>
      </w:r>
      <w:r w:rsidR="00147BCB">
        <w:rPr>
          <w:b/>
          <w:sz w:val="22"/>
          <w:szCs w:val="22"/>
        </w:rPr>
        <w:t>3</w:t>
      </w:r>
      <w:r w:rsidR="004D7EA1" w:rsidRPr="005A55CA">
        <w:rPr>
          <w:b/>
          <w:sz w:val="22"/>
          <w:szCs w:val="22"/>
        </w:rPr>
        <w:t xml:space="preserve"> </w:t>
      </w:r>
      <w:r w:rsidR="004D7EA1" w:rsidRPr="005A55CA">
        <w:rPr>
          <w:sz w:val="22"/>
          <w:szCs w:val="22"/>
        </w:rPr>
        <w:t>kohaselt on teenuseosutajal õigus saada teavet edasiantud tegevuse kohta ja anda kohustuslikke juhiseid sellele, kellele tegevus on edasi antud.</w:t>
      </w:r>
    </w:p>
    <w:p w14:paraId="7835DE8E" w14:textId="77777777" w:rsidR="00C77687" w:rsidRPr="005A55CA" w:rsidRDefault="00C77687" w:rsidP="00D375E5">
      <w:pPr>
        <w:shd w:val="clear" w:color="auto" w:fill="FFFFFF"/>
        <w:spacing w:before="0"/>
        <w:rPr>
          <w:color w:val="5B9BD5" w:themeColor="accent1"/>
          <w:sz w:val="22"/>
          <w:szCs w:val="22"/>
        </w:rPr>
      </w:pPr>
    </w:p>
    <w:p w14:paraId="45A7DF54" w14:textId="7BD78623" w:rsidR="00C77687" w:rsidRPr="005A55CA" w:rsidRDefault="0048614C" w:rsidP="00D375E5">
      <w:pPr>
        <w:shd w:val="clear" w:color="auto" w:fill="FFFFFF"/>
        <w:spacing w:before="0"/>
        <w:rPr>
          <w:sz w:val="22"/>
          <w:szCs w:val="22"/>
        </w:rPr>
      </w:pPr>
      <w:r w:rsidRPr="005A55CA">
        <w:rPr>
          <w:b/>
          <w:sz w:val="22"/>
          <w:szCs w:val="22"/>
        </w:rPr>
        <w:t xml:space="preserve">Lõike </w:t>
      </w:r>
      <w:r w:rsidR="00147BCB">
        <w:rPr>
          <w:b/>
          <w:sz w:val="22"/>
          <w:szCs w:val="22"/>
        </w:rPr>
        <w:t>4</w:t>
      </w:r>
      <w:r w:rsidRPr="005A55CA">
        <w:rPr>
          <w:b/>
          <w:sz w:val="22"/>
          <w:szCs w:val="22"/>
        </w:rPr>
        <w:t xml:space="preserve"> </w:t>
      </w:r>
      <w:r w:rsidRPr="005A55CA">
        <w:rPr>
          <w:sz w:val="22"/>
          <w:szCs w:val="22"/>
        </w:rPr>
        <w:t>järgi tuleb</w:t>
      </w:r>
      <w:r w:rsidR="00C77687" w:rsidRPr="005A55CA">
        <w:rPr>
          <w:sz w:val="22"/>
          <w:szCs w:val="22"/>
        </w:rPr>
        <w:t xml:space="preserve"> </w:t>
      </w:r>
      <w:r w:rsidRPr="005A55CA">
        <w:rPr>
          <w:sz w:val="22"/>
          <w:szCs w:val="22"/>
        </w:rPr>
        <w:t>t</w:t>
      </w:r>
      <w:r w:rsidR="00C77687" w:rsidRPr="005A55CA">
        <w:rPr>
          <w:sz w:val="22"/>
          <w:szCs w:val="22"/>
        </w:rPr>
        <w:t>eenuseosutaja</w:t>
      </w:r>
      <w:r w:rsidRPr="005A55CA">
        <w:rPr>
          <w:sz w:val="22"/>
          <w:szCs w:val="22"/>
        </w:rPr>
        <w:t>l</w:t>
      </w:r>
      <w:r w:rsidR="00C77687" w:rsidRPr="005A55CA">
        <w:rPr>
          <w:sz w:val="22"/>
          <w:szCs w:val="22"/>
        </w:rPr>
        <w:t xml:space="preserve"> enne tegevuse edasiandmist Finantsinspektsiooni</w:t>
      </w:r>
      <w:r w:rsidRPr="005A55CA">
        <w:rPr>
          <w:sz w:val="22"/>
          <w:szCs w:val="22"/>
        </w:rPr>
        <w:t xml:space="preserve"> teavitada</w:t>
      </w:r>
      <w:r w:rsidR="00C77687" w:rsidRPr="005A55CA">
        <w:rPr>
          <w:sz w:val="22"/>
          <w:szCs w:val="22"/>
        </w:rPr>
        <w:t>.</w:t>
      </w:r>
      <w:r w:rsidRPr="005A55CA">
        <w:rPr>
          <w:sz w:val="22"/>
          <w:szCs w:val="22"/>
        </w:rPr>
        <w:t xml:space="preserve"> Teavituse eesmärk on anda Finantsinspektsioonile õigus hinnata, kas isik, kellele tegevus edasi antakse, vastab käesoleva paragrahvi lõikes </w:t>
      </w:r>
      <w:r w:rsidR="00DD3306">
        <w:rPr>
          <w:sz w:val="22"/>
          <w:szCs w:val="22"/>
        </w:rPr>
        <w:t>1 ning muude</w:t>
      </w:r>
      <w:r w:rsidRPr="005A55CA">
        <w:rPr>
          <w:sz w:val="22"/>
          <w:szCs w:val="22"/>
        </w:rPr>
        <w:t xml:space="preserve"> seadusega kehtestatud nõuetele. </w:t>
      </w:r>
    </w:p>
    <w:p w14:paraId="542F692A" w14:textId="77777777" w:rsidR="00C77687" w:rsidRPr="005A55CA" w:rsidRDefault="00C77687" w:rsidP="00D375E5">
      <w:pPr>
        <w:shd w:val="clear" w:color="auto" w:fill="FFFFFF"/>
        <w:spacing w:before="0"/>
        <w:rPr>
          <w:color w:val="5B9BD5" w:themeColor="accent1"/>
          <w:sz w:val="22"/>
          <w:szCs w:val="22"/>
        </w:rPr>
      </w:pPr>
    </w:p>
    <w:p w14:paraId="39E24D52" w14:textId="5CF2BE8E" w:rsidR="00C77687" w:rsidRPr="005A55CA" w:rsidRDefault="0048614C" w:rsidP="00D375E5">
      <w:pPr>
        <w:shd w:val="clear" w:color="auto" w:fill="FFFFFF"/>
        <w:spacing w:before="0"/>
        <w:rPr>
          <w:sz w:val="22"/>
          <w:szCs w:val="22"/>
        </w:rPr>
      </w:pPr>
      <w:r w:rsidRPr="005A55CA">
        <w:rPr>
          <w:b/>
          <w:sz w:val="22"/>
          <w:szCs w:val="22"/>
        </w:rPr>
        <w:t xml:space="preserve">Lõike </w:t>
      </w:r>
      <w:r w:rsidR="00147BCB">
        <w:rPr>
          <w:b/>
          <w:sz w:val="22"/>
          <w:szCs w:val="22"/>
        </w:rPr>
        <w:t>5</w:t>
      </w:r>
      <w:r w:rsidRPr="005A55CA">
        <w:rPr>
          <w:b/>
          <w:sz w:val="22"/>
          <w:szCs w:val="22"/>
        </w:rPr>
        <w:t xml:space="preserve"> </w:t>
      </w:r>
      <w:r w:rsidRPr="005A55CA">
        <w:rPr>
          <w:sz w:val="22"/>
          <w:szCs w:val="22"/>
        </w:rPr>
        <w:t>kohaselt on</w:t>
      </w:r>
      <w:r w:rsidR="00C77687" w:rsidRPr="005A55CA">
        <w:rPr>
          <w:sz w:val="22"/>
          <w:szCs w:val="22"/>
        </w:rPr>
        <w:t xml:space="preserve"> Finantsinspektsioonil õigus teha ettekirjutus, millega nõutakse konkreetsele isikule teenuseosutajaga seotud tegevuse või ülesande edasiandmise lõpetamist või kõigi teenuseosutaja poolt kolmandate isikutega sõlmitud tegevuste või ülesannete edasiandmise lepingute lõpetamist, kui:</w:t>
      </w:r>
    </w:p>
    <w:p w14:paraId="39BD0D32" w14:textId="338F1508" w:rsidR="00C77687" w:rsidRPr="005A55CA" w:rsidRDefault="00C77687" w:rsidP="00D375E5">
      <w:pPr>
        <w:shd w:val="clear" w:color="auto" w:fill="FFFFFF"/>
        <w:spacing w:before="0"/>
        <w:rPr>
          <w:sz w:val="22"/>
          <w:szCs w:val="22"/>
        </w:rPr>
      </w:pPr>
      <w:r w:rsidRPr="005A55CA">
        <w:rPr>
          <w:sz w:val="22"/>
          <w:szCs w:val="22"/>
        </w:rPr>
        <w:t>1) kolmandal isikul puudub käesolevas seaduses sätestatud teenuste osutamiseks või ülesannete tegemiseks vajalik kvalifikatsioon</w:t>
      </w:r>
      <w:r w:rsidR="00147BCB">
        <w:rPr>
          <w:sz w:val="22"/>
          <w:szCs w:val="22"/>
        </w:rPr>
        <w:t xml:space="preserve"> või asjakohasel juhul tegevusluba vastava teenuse osutamiseks</w:t>
      </w:r>
      <w:r w:rsidRPr="005A55CA">
        <w:rPr>
          <w:sz w:val="22"/>
          <w:szCs w:val="22"/>
        </w:rPr>
        <w:t>;</w:t>
      </w:r>
    </w:p>
    <w:p w14:paraId="24AFF8CE" w14:textId="201DD4EF" w:rsidR="00C77687" w:rsidRPr="005A55CA" w:rsidRDefault="00C77687" w:rsidP="00D375E5">
      <w:pPr>
        <w:shd w:val="clear" w:color="auto" w:fill="FFFFFF"/>
        <w:spacing w:before="0"/>
        <w:rPr>
          <w:sz w:val="22"/>
          <w:szCs w:val="22"/>
        </w:rPr>
      </w:pPr>
      <w:r w:rsidRPr="005A55CA">
        <w:rPr>
          <w:sz w:val="22"/>
          <w:szCs w:val="22"/>
        </w:rPr>
        <w:t>2) rikutakse teenuseosutaja klientide õigustatud huve või on sellise rikkumise oh</w:t>
      </w:r>
      <w:r w:rsidR="005F33C6">
        <w:rPr>
          <w:sz w:val="22"/>
          <w:szCs w:val="22"/>
        </w:rPr>
        <w:t xml:space="preserve">t või kui ohustatakse teenuse osutamise või </w:t>
      </w:r>
      <w:proofErr w:type="spellStart"/>
      <w:r w:rsidR="005F33C6">
        <w:rPr>
          <w:sz w:val="22"/>
          <w:szCs w:val="22"/>
        </w:rPr>
        <w:t>finantsüsteemi</w:t>
      </w:r>
      <w:proofErr w:type="spellEnd"/>
      <w:r w:rsidR="005F33C6">
        <w:rPr>
          <w:sz w:val="22"/>
          <w:szCs w:val="22"/>
        </w:rPr>
        <w:t xml:space="preserve"> toimimise stabiilsust või usaldusväärsus</w:t>
      </w:r>
      <w:r w:rsidRPr="005A55CA">
        <w:rPr>
          <w:sz w:val="22"/>
          <w:szCs w:val="22"/>
        </w:rPr>
        <w:t>t;</w:t>
      </w:r>
      <w:r w:rsidRPr="005A55CA">
        <w:rPr>
          <w:sz w:val="22"/>
          <w:szCs w:val="22"/>
        </w:rPr>
        <w:br/>
        <w:t>3) kolmanda riigi finantsjärelevalve asutusel, kes teostab järelevalvet kolmanda riigi isiku üle, ei ole õiguslikku alust või võimalusi Finantsinspektsiooniga koostöö tegemiseks;</w:t>
      </w:r>
      <w:r w:rsidRPr="005A55CA">
        <w:rPr>
          <w:sz w:val="22"/>
          <w:szCs w:val="22"/>
        </w:rPr>
        <w:br/>
        <w:t xml:space="preserve">4) kolmas isik, kellele käesoleva seaduse tähenduses teenuse osutamine on edasi antud, ei vasta </w:t>
      </w:r>
      <w:r w:rsidR="005F33C6">
        <w:rPr>
          <w:sz w:val="22"/>
          <w:szCs w:val="22"/>
        </w:rPr>
        <w:t>käesoleva seaduse ettenähtutega vähemalt samaväärsetele nõuetele</w:t>
      </w:r>
      <w:r w:rsidRPr="005A55CA">
        <w:rPr>
          <w:sz w:val="22"/>
          <w:szCs w:val="22"/>
        </w:rPr>
        <w:t>;</w:t>
      </w:r>
      <w:r w:rsidRPr="005A55CA">
        <w:rPr>
          <w:sz w:val="22"/>
          <w:szCs w:val="22"/>
        </w:rPr>
        <w:br/>
        <w:t>5) rikutakse käesolevas seaduses sätestatud muid tingimusi.</w:t>
      </w:r>
    </w:p>
    <w:p w14:paraId="0BD9479C" w14:textId="5145DD55" w:rsidR="00C77687" w:rsidRPr="005A55CA" w:rsidRDefault="00C77687" w:rsidP="00D375E5">
      <w:pPr>
        <w:shd w:val="clear" w:color="auto" w:fill="FFFFFF"/>
        <w:spacing w:before="0"/>
        <w:rPr>
          <w:color w:val="5B9BD5" w:themeColor="accent1"/>
          <w:sz w:val="22"/>
          <w:szCs w:val="22"/>
        </w:rPr>
      </w:pPr>
    </w:p>
    <w:p w14:paraId="678F0A89" w14:textId="3CE57ABC" w:rsidR="00C77687" w:rsidRPr="005A55CA" w:rsidRDefault="007A462F" w:rsidP="00D375E5">
      <w:pPr>
        <w:shd w:val="clear" w:color="auto" w:fill="FFFFFF"/>
        <w:spacing w:before="0"/>
        <w:rPr>
          <w:b/>
          <w:sz w:val="22"/>
          <w:szCs w:val="22"/>
        </w:rPr>
      </w:pPr>
      <w:r w:rsidRPr="005A55CA">
        <w:rPr>
          <w:b/>
          <w:sz w:val="22"/>
          <w:szCs w:val="22"/>
        </w:rPr>
        <w:t>Paragrahv</w:t>
      </w:r>
      <w:r w:rsidR="00C77687" w:rsidRPr="005A55CA">
        <w:rPr>
          <w:b/>
          <w:sz w:val="22"/>
          <w:szCs w:val="22"/>
        </w:rPr>
        <w:t xml:space="preserve"> 3</w:t>
      </w:r>
      <w:r w:rsidR="005F33C6">
        <w:rPr>
          <w:b/>
          <w:sz w:val="22"/>
          <w:szCs w:val="22"/>
        </w:rPr>
        <w:t>6</w:t>
      </w:r>
      <w:r w:rsidRPr="005A55CA">
        <w:rPr>
          <w:b/>
          <w:sz w:val="22"/>
          <w:szCs w:val="22"/>
        </w:rPr>
        <w:t xml:space="preserve"> </w:t>
      </w:r>
      <w:r w:rsidR="00503330">
        <w:rPr>
          <w:sz w:val="22"/>
          <w:szCs w:val="22"/>
        </w:rPr>
        <w:t>sätestab</w:t>
      </w:r>
      <w:r w:rsidR="00503330" w:rsidRPr="005A55CA">
        <w:rPr>
          <w:sz w:val="22"/>
          <w:szCs w:val="22"/>
        </w:rPr>
        <w:t xml:space="preserve"> </w:t>
      </w:r>
      <w:r w:rsidRPr="005A55CA">
        <w:rPr>
          <w:sz w:val="22"/>
          <w:szCs w:val="22"/>
        </w:rPr>
        <w:t>h</w:t>
      </w:r>
      <w:r w:rsidR="00C77687" w:rsidRPr="005A55CA">
        <w:rPr>
          <w:sz w:val="22"/>
          <w:szCs w:val="22"/>
        </w:rPr>
        <w:t xml:space="preserve">uvide konflikti maandamise ja vältimise </w:t>
      </w:r>
      <w:r w:rsidR="005F33C6">
        <w:rPr>
          <w:sz w:val="22"/>
          <w:szCs w:val="22"/>
        </w:rPr>
        <w:t>korra</w:t>
      </w:r>
      <w:r w:rsidRPr="005A55CA">
        <w:rPr>
          <w:sz w:val="22"/>
          <w:szCs w:val="22"/>
        </w:rPr>
        <w:t>.</w:t>
      </w:r>
    </w:p>
    <w:p w14:paraId="759426E6" w14:textId="77777777" w:rsidR="00C77687" w:rsidRPr="005A55CA" w:rsidRDefault="00C77687" w:rsidP="00D375E5">
      <w:pPr>
        <w:shd w:val="clear" w:color="auto" w:fill="FFFFFF"/>
        <w:spacing w:before="0"/>
        <w:rPr>
          <w:color w:val="5B9BD5" w:themeColor="accent1"/>
          <w:sz w:val="22"/>
          <w:szCs w:val="22"/>
        </w:rPr>
      </w:pPr>
    </w:p>
    <w:p w14:paraId="4FA52C6E" w14:textId="571D21A8" w:rsidR="00C77687" w:rsidRPr="005A55CA" w:rsidRDefault="007A462F" w:rsidP="00D375E5">
      <w:pPr>
        <w:shd w:val="clear" w:color="auto" w:fill="FFFFFF"/>
        <w:spacing w:before="0"/>
        <w:rPr>
          <w:sz w:val="22"/>
          <w:szCs w:val="22"/>
        </w:rPr>
      </w:pPr>
      <w:r w:rsidRPr="005A55CA">
        <w:rPr>
          <w:b/>
          <w:sz w:val="22"/>
          <w:szCs w:val="22"/>
        </w:rPr>
        <w:t xml:space="preserve">Lõike 1 </w:t>
      </w:r>
      <w:r w:rsidRPr="005A55CA">
        <w:rPr>
          <w:sz w:val="22"/>
          <w:szCs w:val="22"/>
        </w:rPr>
        <w:t>kohaselt tuleb t</w:t>
      </w:r>
      <w:r w:rsidR="00C77687" w:rsidRPr="005A55CA">
        <w:rPr>
          <w:sz w:val="22"/>
          <w:szCs w:val="22"/>
        </w:rPr>
        <w:t>eenuseosutaja</w:t>
      </w:r>
      <w:r w:rsidRPr="005A55CA">
        <w:rPr>
          <w:sz w:val="22"/>
          <w:szCs w:val="22"/>
        </w:rPr>
        <w:t>l</w:t>
      </w:r>
      <w:r w:rsidR="00C77687" w:rsidRPr="005A55CA">
        <w:rPr>
          <w:sz w:val="22"/>
          <w:szCs w:val="22"/>
        </w:rPr>
        <w:t xml:space="preserve"> kehtesta</w:t>
      </w:r>
      <w:r w:rsidRPr="005A55CA">
        <w:rPr>
          <w:sz w:val="22"/>
          <w:szCs w:val="22"/>
        </w:rPr>
        <w:t>da</w:t>
      </w:r>
      <w:r w:rsidR="00C77687" w:rsidRPr="005A55CA">
        <w:rPr>
          <w:sz w:val="22"/>
          <w:szCs w:val="22"/>
        </w:rPr>
        <w:t xml:space="preserve"> huvide konflikti maandamise ja vältimise kor</w:t>
      </w:r>
      <w:r w:rsidRPr="005A55CA">
        <w:rPr>
          <w:sz w:val="22"/>
          <w:szCs w:val="22"/>
        </w:rPr>
        <w:t>d</w:t>
      </w:r>
      <w:r w:rsidR="00C77687" w:rsidRPr="005A55CA">
        <w:rPr>
          <w:sz w:val="22"/>
          <w:szCs w:val="22"/>
        </w:rPr>
        <w:t xml:space="preserve">, milles sätestatakse õiguslikud, tehnilised ja organisatsioonilised meetmed, arvestades teenuseosutaja tegevuse laadi ja ulatust. </w:t>
      </w:r>
    </w:p>
    <w:p w14:paraId="0EA660F0" w14:textId="77777777" w:rsidR="00C77687" w:rsidRPr="005A55CA" w:rsidRDefault="00C77687" w:rsidP="00D375E5">
      <w:pPr>
        <w:shd w:val="clear" w:color="auto" w:fill="FFFFFF"/>
        <w:spacing w:before="0"/>
        <w:rPr>
          <w:color w:val="5B9BD5" w:themeColor="accent1"/>
          <w:sz w:val="22"/>
          <w:szCs w:val="22"/>
        </w:rPr>
      </w:pPr>
    </w:p>
    <w:p w14:paraId="1FE19D06" w14:textId="62333677" w:rsidR="00C77687" w:rsidRPr="005A55CA" w:rsidRDefault="00821A2F" w:rsidP="00D375E5">
      <w:pPr>
        <w:shd w:val="clear" w:color="auto" w:fill="FFFFFF"/>
        <w:spacing w:before="0"/>
        <w:rPr>
          <w:sz w:val="22"/>
          <w:szCs w:val="22"/>
        </w:rPr>
      </w:pPr>
      <w:r w:rsidRPr="005A55CA">
        <w:rPr>
          <w:b/>
          <w:sz w:val="22"/>
          <w:szCs w:val="22"/>
        </w:rPr>
        <w:t xml:space="preserve">Lõike 2 </w:t>
      </w:r>
      <w:r w:rsidRPr="005A55CA">
        <w:rPr>
          <w:sz w:val="22"/>
          <w:szCs w:val="22"/>
        </w:rPr>
        <w:t>järgi rakendab t</w:t>
      </w:r>
      <w:r w:rsidR="00C77687" w:rsidRPr="005A55CA">
        <w:rPr>
          <w:sz w:val="22"/>
          <w:szCs w:val="22"/>
        </w:rPr>
        <w:t>eenuseosutaja huvide konflikti maandamise ja vältimise korda, et tuvastada, maandada ja võimaluse korral vältida teenuse osutamisel teenuseosutaja sisest huvide konflikti, huvide konflikti teenuse osutaja ja tema üle kontrolli teostava isiku vahel, teenuse osutaja ja tema klientide vahel ning klientide omavahelisi huvide konflikte.</w:t>
      </w:r>
      <w:r w:rsidR="00540038" w:rsidRPr="005A55CA">
        <w:rPr>
          <w:sz w:val="22"/>
          <w:szCs w:val="22"/>
        </w:rPr>
        <w:t xml:space="preserve"> Säte põhineb </w:t>
      </w:r>
      <w:r w:rsidR="00503330">
        <w:rPr>
          <w:sz w:val="22"/>
          <w:szCs w:val="22"/>
        </w:rPr>
        <w:t xml:space="preserve">EL </w:t>
      </w:r>
      <w:proofErr w:type="spellStart"/>
      <w:r w:rsidR="00540038" w:rsidRPr="005A55CA">
        <w:rPr>
          <w:sz w:val="22"/>
          <w:szCs w:val="22"/>
        </w:rPr>
        <w:t>ühisrahastusmääruse</w:t>
      </w:r>
      <w:proofErr w:type="spellEnd"/>
      <w:r w:rsidR="00540038" w:rsidRPr="005A55CA">
        <w:rPr>
          <w:sz w:val="22"/>
          <w:szCs w:val="22"/>
        </w:rPr>
        <w:t xml:space="preserve"> artiklil 8 punktil 4, mida on laiendatud ka teistele seadusega hõlmatud teenuseosutajatele.</w:t>
      </w:r>
      <w:r w:rsidR="005501BE" w:rsidRPr="005A55CA">
        <w:rPr>
          <w:sz w:val="22"/>
          <w:szCs w:val="22"/>
        </w:rPr>
        <w:t xml:space="preserve"> Huvide konflikti maandamist tuleks silmas pidada ka finantsvahendusplatvormi haldamise puhul (§ </w:t>
      </w:r>
      <w:r w:rsidR="007E52C4">
        <w:rPr>
          <w:sz w:val="22"/>
          <w:szCs w:val="22"/>
        </w:rPr>
        <w:t>40</w:t>
      </w:r>
      <w:r w:rsidR="005501BE" w:rsidRPr="005A55CA">
        <w:rPr>
          <w:sz w:val="22"/>
          <w:szCs w:val="22"/>
        </w:rPr>
        <w:t>).</w:t>
      </w:r>
    </w:p>
    <w:p w14:paraId="2D51ADBF" w14:textId="77777777" w:rsidR="00C77687" w:rsidRPr="005A55CA" w:rsidRDefault="00C77687" w:rsidP="00D375E5">
      <w:pPr>
        <w:shd w:val="clear" w:color="auto" w:fill="FFFFFF"/>
        <w:spacing w:before="0"/>
        <w:rPr>
          <w:color w:val="5B9BD5" w:themeColor="accent1"/>
          <w:sz w:val="22"/>
          <w:szCs w:val="22"/>
        </w:rPr>
      </w:pPr>
    </w:p>
    <w:p w14:paraId="31834590" w14:textId="456C91AE" w:rsidR="00C77687" w:rsidRPr="005A55CA" w:rsidRDefault="00821A2F" w:rsidP="00D375E5">
      <w:pPr>
        <w:shd w:val="clear" w:color="auto" w:fill="FFFFFF"/>
        <w:spacing w:before="0"/>
        <w:rPr>
          <w:sz w:val="22"/>
          <w:szCs w:val="22"/>
        </w:rPr>
      </w:pPr>
      <w:r w:rsidRPr="005A55CA">
        <w:rPr>
          <w:b/>
          <w:sz w:val="22"/>
          <w:szCs w:val="22"/>
        </w:rPr>
        <w:t xml:space="preserve">Lõike 3 </w:t>
      </w:r>
      <w:r w:rsidRPr="005A55CA">
        <w:rPr>
          <w:sz w:val="22"/>
          <w:szCs w:val="22"/>
        </w:rPr>
        <w:t>kohaselt peab teenuseosutaja huvide konflikti</w:t>
      </w:r>
      <w:r w:rsidR="00C77687" w:rsidRPr="005A55CA">
        <w:rPr>
          <w:sz w:val="22"/>
          <w:szCs w:val="22"/>
        </w:rPr>
        <w:t xml:space="preserve"> </w:t>
      </w:r>
      <w:r w:rsidRPr="005A55CA">
        <w:rPr>
          <w:sz w:val="22"/>
          <w:szCs w:val="22"/>
        </w:rPr>
        <w:t>maandamise kord muuhulgas (st vähemalt aga mitte ainult) hõlmama</w:t>
      </w:r>
      <w:r w:rsidR="00C77687" w:rsidRPr="005A55CA">
        <w:rPr>
          <w:sz w:val="22"/>
          <w:szCs w:val="22"/>
        </w:rPr>
        <w:t>:</w:t>
      </w:r>
    </w:p>
    <w:p w14:paraId="1410829A" w14:textId="77777777" w:rsidR="00C77687" w:rsidRPr="005A55CA" w:rsidRDefault="00C77687" w:rsidP="00D375E5">
      <w:pPr>
        <w:shd w:val="clear" w:color="auto" w:fill="FFFFFF"/>
        <w:spacing w:before="0"/>
        <w:rPr>
          <w:sz w:val="22"/>
          <w:szCs w:val="22"/>
        </w:rPr>
      </w:pPr>
      <w:r w:rsidRPr="005A55CA">
        <w:rPr>
          <w:sz w:val="22"/>
          <w:szCs w:val="22"/>
        </w:rPr>
        <w:t>1) iga teenuse või tegevusega seotud asjaolusid, millest tuleneb või võib tuleneda huvide konflikt või mis toovad kaasa klientide huvide kahjustamise olulise riski;</w:t>
      </w:r>
    </w:p>
    <w:p w14:paraId="586F06E4" w14:textId="77777777" w:rsidR="00C77687" w:rsidRPr="005A55CA" w:rsidRDefault="00C77687" w:rsidP="00D375E5">
      <w:pPr>
        <w:shd w:val="clear" w:color="auto" w:fill="FFFFFF"/>
        <w:spacing w:before="0"/>
        <w:rPr>
          <w:sz w:val="22"/>
          <w:szCs w:val="22"/>
        </w:rPr>
      </w:pPr>
      <w:r w:rsidRPr="005A55CA">
        <w:rPr>
          <w:sz w:val="22"/>
          <w:szCs w:val="22"/>
        </w:rPr>
        <w:t>2) meetmeid, mida tuleb rakendada huvide konflikti lahendamiseks.</w:t>
      </w:r>
    </w:p>
    <w:p w14:paraId="36683477" w14:textId="77777777" w:rsidR="00C77687" w:rsidRPr="005A55CA" w:rsidRDefault="00C77687" w:rsidP="00D375E5">
      <w:pPr>
        <w:shd w:val="clear" w:color="auto" w:fill="FFFFFF"/>
        <w:spacing w:before="0"/>
        <w:rPr>
          <w:sz w:val="22"/>
          <w:szCs w:val="22"/>
        </w:rPr>
      </w:pPr>
      <w:r w:rsidRPr="005A55CA">
        <w:rPr>
          <w:sz w:val="22"/>
          <w:szCs w:val="22"/>
        </w:rPr>
        <w:t>3) seda, kuidas potentsiaalsetest või tegelikest huvide konflikti olukordadest kliente teavitatakse.</w:t>
      </w:r>
    </w:p>
    <w:p w14:paraId="0048DA54" w14:textId="1B0972CC" w:rsidR="00C77687" w:rsidRDefault="00C77687" w:rsidP="00D375E5">
      <w:pPr>
        <w:pStyle w:val="Normal2"/>
        <w:rPr>
          <w:color w:val="5B9BD5" w:themeColor="accent1"/>
          <w:szCs w:val="22"/>
        </w:rPr>
      </w:pPr>
    </w:p>
    <w:p w14:paraId="4B412345" w14:textId="508F2EB9" w:rsidR="00C77687" w:rsidRPr="005A55CA" w:rsidRDefault="00821A2F" w:rsidP="00D375E5">
      <w:pPr>
        <w:shd w:val="clear" w:color="auto" w:fill="FFFFFF"/>
        <w:spacing w:before="0"/>
        <w:rPr>
          <w:b/>
          <w:sz w:val="22"/>
          <w:szCs w:val="22"/>
        </w:rPr>
      </w:pPr>
      <w:r w:rsidRPr="005A55CA">
        <w:rPr>
          <w:b/>
          <w:sz w:val="22"/>
          <w:szCs w:val="22"/>
        </w:rPr>
        <w:t xml:space="preserve">Paragrahv </w:t>
      </w:r>
      <w:r w:rsidR="00C77687" w:rsidRPr="005A55CA">
        <w:rPr>
          <w:b/>
          <w:sz w:val="22"/>
          <w:szCs w:val="22"/>
        </w:rPr>
        <w:t>3</w:t>
      </w:r>
      <w:r w:rsidR="005F33C6">
        <w:rPr>
          <w:b/>
          <w:sz w:val="22"/>
          <w:szCs w:val="22"/>
        </w:rPr>
        <w:t>7</w:t>
      </w:r>
      <w:r w:rsidRPr="005A55CA">
        <w:rPr>
          <w:b/>
          <w:sz w:val="22"/>
          <w:szCs w:val="22"/>
        </w:rPr>
        <w:t xml:space="preserve"> </w:t>
      </w:r>
      <w:r w:rsidRPr="005A55CA">
        <w:rPr>
          <w:sz w:val="22"/>
          <w:szCs w:val="22"/>
        </w:rPr>
        <w:t xml:space="preserve">käsitleb teenuseosutaja </w:t>
      </w:r>
      <w:r w:rsidR="00C77687" w:rsidRPr="005A55CA">
        <w:rPr>
          <w:sz w:val="22"/>
          <w:szCs w:val="22"/>
        </w:rPr>
        <w:t>või temaga seotud isikute osalemi</w:t>
      </w:r>
      <w:r w:rsidRPr="005A55CA">
        <w:rPr>
          <w:sz w:val="22"/>
          <w:szCs w:val="22"/>
        </w:rPr>
        <w:t>st</w:t>
      </w:r>
      <w:r w:rsidR="00C77687" w:rsidRPr="005A55CA">
        <w:rPr>
          <w:sz w:val="22"/>
          <w:szCs w:val="22"/>
        </w:rPr>
        <w:t xml:space="preserve"> investeerimisprojektides</w:t>
      </w:r>
      <w:r w:rsidRPr="005A55CA">
        <w:rPr>
          <w:sz w:val="22"/>
          <w:szCs w:val="22"/>
        </w:rPr>
        <w:t>. Kuivõrd sellises olukorras võib tekkida samuti huvide konflikt, siis tuleks käesolevat paragrahvi vaadata koosmõjus §-ga 3</w:t>
      </w:r>
      <w:r w:rsidR="005F33C6">
        <w:rPr>
          <w:sz w:val="22"/>
          <w:szCs w:val="22"/>
        </w:rPr>
        <w:t>6</w:t>
      </w:r>
      <w:r w:rsidRPr="005A55CA">
        <w:rPr>
          <w:sz w:val="22"/>
          <w:szCs w:val="22"/>
        </w:rPr>
        <w:t xml:space="preserve"> ülal.</w:t>
      </w:r>
    </w:p>
    <w:p w14:paraId="1CF2E8CF" w14:textId="77777777" w:rsidR="00C77687" w:rsidRPr="005A55CA" w:rsidRDefault="00C77687" w:rsidP="00D375E5">
      <w:pPr>
        <w:shd w:val="clear" w:color="auto" w:fill="FFFFFF"/>
        <w:spacing w:before="0"/>
        <w:rPr>
          <w:b/>
          <w:color w:val="5B9BD5" w:themeColor="accent1"/>
          <w:sz w:val="22"/>
          <w:szCs w:val="22"/>
        </w:rPr>
      </w:pPr>
    </w:p>
    <w:p w14:paraId="57E4C590" w14:textId="796B1F30" w:rsidR="00C77687" w:rsidRPr="005A55CA" w:rsidRDefault="00821A2F" w:rsidP="00D375E5">
      <w:pPr>
        <w:shd w:val="clear" w:color="auto" w:fill="FFFFFF"/>
        <w:spacing w:before="0"/>
        <w:rPr>
          <w:sz w:val="22"/>
          <w:szCs w:val="22"/>
        </w:rPr>
      </w:pPr>
      <w:r w:rsidRPr="005A55CA">
        <w:rPr>
          <w:b/>
          <w:sz w:val="22"/>
          <w:szCs w:val="22"/>
        </w:rPr>
        <w:t xml:space="preserve">Lõike 1 </w:t>
      </w:r>
      <w:r w:rsidRPr="005A55CA">
        <w:rPr>
          <w:sz w:val="22"/>
          <w:szCs w:val="22"/>
        </w:rPr>
        <w:t>kohaselt võivad t</w:t>
      </w:r>
      <w:r w:rsidR="00C77687" w:rsidRPr="005A55CA">
        <w:rPr>
          <w:sz w:val="22"/>
          <w:szCs w:val="22"/>
        </w:rPr>
        <w:t>eenuseosuta</w:t>
      </w:r>
      <w:r w:rsidRPr="005A55CA">
        <w:rPr>
          <w:sz w:val="22"/>
          <w:szCs w:val="22"/>
        </w:rPr>
        <w:t>ja</w:t>
      </w:r>
      <w:r w:rsidR="00C77687" w:rsidRPr="005A55CA">
        <w:rPr>
          <w:sz w:val="22"/>
          <w:szCs w:val="22"/>
        </w:rPr>
        <w:t xml:space="preserve"> juhtorgani liikmed ja töötajad ning teenuseosutajas olulist osalust omavad isikud või mis tahes isikud, kes otseselt või kaudselt on kontrolli kaudu nendega seotud, </w:t>
      </w:r>
      <w:proofErr w:type="spellStart"/>
      <w:r w:rsidR="00C77687" w:rsidRPr="005A55CA">
        <w:rPr>
          <w:sz w:val="22"/>
          <w:szCs w:val="22"/>
        </w:rPr>
        <w:t>teenuseostuja</w:t>
      </w:r>
      <w:proofErr w:type="spellEnd"/>
      <w:r w:rsidR="00C77687" w:rsidRPr="005A55CA">
        <w:rPr>
          <w:sz w:val="22"/>
          <w:szCs w:val="22"/>
        </w:rPr>
        <w:t xml:space="preserve"> vahendusel pakutavates investeerimisprojektides osaleda üksnes juhul</w:t>
      </w:r>
      <w:r w:rsidRPr="005A55CA">
        <w:rPr>
          <w:sz w:val="22"/>
          <w:szCs w:val="22"/>
        </w:rPr>
        <w:t xml:space="preserve">, kui </w:t>
      </w:r>
      <w:r w:rsidR="00C77687" w:rsidRPr="005A55CA">
        <w:rPr>
          <w:sz w:val="22"/>
          <w:szCs w:val="22"/>
        </w:rPr>
        <w:t>teenuseosutaja veebilehel avalikustatakse informatsioon eelnimetatud isikute osaluste kohta</w:t>
      </w:r>
      <w:r w:rsidR="009318A4">
        <w:rPr>
          <w:sz w:val="22"/>
          <w:szCs w:val="22"/>
        </w:rPr>
        <w:t xml:space="preserve"> (sealhulgas nimetatud </w:t>
      </w:r>
      <w:r w:rsidR="009318A4">
        <w:rPr>
          <w:sz w:val="22"/>
          <w:szCs w:val="22"/>
        </w:rPr>
        <w:lastRenderedPageBreak/>
        <w:t>isikute poolt investeeritud summa eurodes või protsendina investeerimisprojekti koguväärtuses)</w:t>
      </w:r>
      <w:r w:rsidRPr="005A55CA">
        <w:rPr>
          <w:sz w:val="22"/>
          <w:szCs w:val="22"/>
        </w:rPr>
        <w:t xml:space="preserve">, ja kui </w:t>
      </w:r>
      <w:r w:rsidR="00C77687" w:rsidRPr="005A55CA">
        <w:rPr>
          <w:sz w:val="22"/>
          <w:szCs w:val="22"/>
        </w:rPr>
        <w:t xml:space="preserve">teenuseostaja tagab, et eelnimetatud isikute investeeringud tehakse samadel tingimustel teiste </w:t>
      </w:r>
      <w:r w:rsidR="00006734">
        <w:rPr>
          <w:sz w:val="22"/>
          <w:szCs w:val="22"/>
        </w:rPr>
        <w:t>klientidega</w:t>
      </w:r>
      <w:r w:rsidR="00C77687" w:rsidRPr="005A55CA">
        <w:rPr>
          <w:sz w:val="22"/>
          <w:szCs w:val="22"/>
        </w:rPr>
        <w:t xml:space="preserve"> ja eelnimetatud isikutele ei võimaldata sooduskohtlemist, eelisjuurdepääsu teabele või muid hüvesid või eelisei</w:t>
      </w:r>
      <w:r w:rsidRPr="005A55CA">
        <w:rPr>
          <w:sz w:val="22"/>
          <w:szCs w:val="22"/>
        </w:rPr>
        <w:t xml:space="preserve">d võrreldes muude </w:t>
      </w:r>
      <w:r w:rsidR="00006734">
        <w:rPr>
          <w:sz w:val="22"/>
          <w:szCs w:val="22"/>
        </w:rPr>
        <w:t>klientidega</w:t>
      </w:r>
      <w:r w:rsidRPr="005A55CA">
        <w:rPr>
          <w:sz w:val="22"/>
          <w:szCs w:val="22"/>
        </w:rPr>
        <w:t xml:space="preserve"> (punktid 1 ja 2).</w:t>
      </w:r>
    </w:p>
    <w:p w14:paraId="7E7C1387" w14:textId="77777777" w:rsidR="00C77687" w:rsidRPr="005A55CA" w:rsidRDefault="00C77687" w:rsidP="00D375E5">
      <w:pPr>
        <w:shd w:val="clear" w:color="auto" w:fill="FFFFFF"/>
        <w:spacing w:before="0"/>
        <w:rPr>
          <w:color w:val="5B9BD5" w:themeColor="accent1"/>
          <w:sz w:val="22"/>
          <w:szCs w:val="22"/>
        </w:rPr>
      </w:pPr>
    </w:p>
    <w:p w14:paraId="790629A9" w14:textId="3F84EAAF" w:rsidR="00C77687" w:rsidRPr="005A55CA" w:rsidRDefault="00821A2F" w:rsidP="00D375E5">
      <w:pPr>
        <w:shd w:val="clear" w:color="auto" w:fill="FFFFFF"/>
        <w:spacing w:before="0"/>
        <w:rPr>
          <w:sz w:val="22"/>
          <w:szCs w:val="22"/>
        </w:rPr>
      </w:pPr>
      <w:r w:rsidRPr="005A55CA">
        <w:rPr>
          <w:b/>
          <w:sz w:val="22"/>
          <w:szCs w:val="22"/>
        </w:rPr>
        <w:t xml:space="preserve">Lõike 2 </w:t>
      </w:r>
      <w:r w:rsidRPr="005A55CA">
        <w:rPr>
          <w:sz w:val="22"/>
          <w:szCs w:val="22"/>
        </w:rPr>
        <w:t>kohaselt ei või eelmises lõikes nimetatud isikud omada ega omandada finantsilist huvi rahastuse taotleja äritegevuses muul viisil kui osaledes investeerimisprojektis, mis on teenuseosutaja kaudu avalikult kättesaadav.</w:t>
      </w:r>
      <w:r w:rsidR="007E506B" w:rsidRPr="005A55CA">
        <w:rPr>
          <w:sz w:val="22"/>
          <w:szCs w:val="22"/>
        </w:rPr>
        <w:t xml:space="preserve"> Säte põhineb </w:t>
      </w:r>
      <w:r w:rsidR="00503330">
        <w:rPr>
          <w:sz w:val="22"/>
          <w:szCs w:val="22"/>
        </w:rPr>
        <w:t xml:space="preserve">EL </w:t>
      </w:r>
      <w:proofErr w:type="spellStart"/>
      <w:r w:rsidR="007E506B" w:rsidRPr="005A55CA">
        <w:rPr>
          <w:sz w:val="22"/>
          <w:szCs w:val="22"/>
        </w:rPr>
        <w:t>ühisrahastusmääruse</w:t>
      </w:r>
      <w:proofErr w:type="spellEnd"/>
      <w:r w:rsidR="007E506B" w:rsidRPr="005A55CA">
        <w:rPr>
          <w:sz w:val="22"/>
          <w:szCs w:val="22"/>
        </w:rPr>
        <w:t xml:space="preserve"> artikli 8 punktil 1, mida on laiendatud ka teistele seadusega hõlmatud teenuseosutajatele.</w:t>
      </w:r>
    </w:p>
    <w:p w14:paraId="40AB71A3" w14:textId="77777777" w:rsidR="00540038" w:rsidRPr="005A55CA" w:rsidRDefault="00540038" w:rsidP="00D375E5">
      <w:pPr>
        <w:shd w:val="clear" w:color="auto" w:fill="FFFFFF"/>
        <w:spacing w:before="0"/>
        <w:rPr>
          <w:b/>
          <w:color w:val="5B9BD5" w:themeColor="accent1"/>
          <w:sz w:val="22"/>
          <w:szCs w:val="22"/>
        </w:rPr>
      </w:pPr>
    </w:p>
    <w:p w14:paraId="502FA654" w14:textId="1D8D0764" w:rsidR="00C77687" w:rsidRPr="005A55CA" w:rsidRDefault="0048614C" w:rsidP="00D375E5">
      <w:pPr>
        <w:shd w:val="clear" w:color="auto" w:fill="FFFFFF"/>
        <w:spacing w:before="0"/>
        <w:rPr>
          <w:b/>
          <w:sz w:val="22"/>
          <w:szCs w:val="22"/>
        </w:rPr>
      </w:pPr>
      <w:r w:rsidRPr="005A55CA">
        <w:rPr>
          <w:b/>
          <w:sz w:val="22"/>
          <w:szCs w:val="22"/>
        </w:rPr>
        <w:t xml:space="preserve">Paragrahv </w:t>
      </w:r>
      <w:r w:rsidR="00C77687" w:rsidRPr="005A55CA">
        <w:rPr>
          <w:b/>
          <w:sz w:val="22"/>
          <w:szCs w:val="22"/>
        </w:rPr>
        <w:t>3</w:t>
      </w:r>
      <w:r w:rsidR="005C7572">
        <w:rPr>
          <w:b/>
          <w:sz w:val="22"/>
          <w:szCs w:val="22"/>
        </w:rPr>
        <w:t>7</w:t>
      </w:r>
      <w:r w:rsidRPr="005A55CA">
        <w:rPr>
          <w:b/>
          <w:sz w:val="22"/>
          <w:szCs w:val="22"/>
        </w:rPr>
        <w:t xml:space="preserve"> </w:t>
      </w:r>
      <w:r w:rsidRPr="005A55CA">
        <w:rPr>
          <w:sz w:val="22"/>
          <w:szCs w:val="22"/>
        </w:rPr>
        <w:t xml:space="preserve">sätestab teenuseosutajale keelu maksta või anda </w:t>
      </w:r>
      <w:r w:rsidR="00006734">
        <w:rPr>
          <w:sz w:val="22"/>
          <w:szCs w:val="22"/>
        </w:rPr>
        <w:t>tasu</w:t>
      </w:r>
      <w:r w:rsidRPr="005A55CA">
        <w:rPr>
          <w:sz w:val="22"/>
          <w:szCs w:val="22"/>
        </w:rPr>
        <w:t xml:space="preserve"> või mitterahalist hüve </w:t>
      </w:r>
      <w:r w:rsidR="00147BCB">
        <w:rPr>
          <w:sz w:val="22"/>
          <w:szCs w:val="22"/>
        </w:rPr>
        <w:t xml:space="preserve">teisele teenuseosutajale või muule kolmandale isikule </w:t>
      </w:r>
      <w:r w:rsidR="00006734">
        <w:rPr>
          <w:sz w:val="22"/>
          <w:szCs w:val="22"/>
        </w:rPr>
        <w:t>klientide</w:t>
      </w:r>
      <w:r w:rsidRPr="005A55CA">
        <w:rPr>
          <w:sz w:val="22"/>
          <w:szCs w:val="22"/>
        </w:rPr>
        <w:t xml:space="preserve"> korraldus</w:t>
      </w:r>
      <w:r w:rsidR="00006734">
        <w:rPr>
          <w:sz w:val="22"/>
          <w:szCs w:val="22"/>
        </w:rPr>
        <w:t>t</w:t>
      </w:r>
      <w:r w:rsidRPr="005A55CA">
        <w:rPr>
          <w:sz w:val="22"/>
          <w:szCs w:val="22"/>
        </w:rPr>
        <w:t>e</w:t>
      </w:r>
      <w:r w:rsidR="00006734">
        <w:rPr>
          <w:sz w:val="22"/>
          <w:szCs w:val="22"/>
        </w:rPr>
        <w:t xml:space="preserve"> või huvi</w:t>
      </w:r>
      <w:r w:rsidRPr="005A55CA">
        <w:rPr>
          <w:sz w:val="22"/>
          <w:szCs w:val="22"/>
        </w:rPr>
        <w:t xml:space="preserve"> suunamise eest </w:t>
      </w:r>
      <w:r w:rsidR="00147BCB">
        <w:rPr>
          <w:sz w:val="22"/>
          <w:szCs w:val="22"/>
        </w:rPr>
        <w:t xml:space="preserve">mistahes </w:t>
      </w:r>
      <w:r w:rsidRPr="005A55CA">
        <w:rPr>
          <w:sz w:val="22"/>
          <w:szCs w:val="22"/>
        </w:rPr>
        <w:t xml:space="preserve">konkreetse </w:t>
      </w:r>
      <w:proofErr w:type="spellStart"/>
      <w:r w:rsidR="00006734">
        <w:rPr>
          <w:sz w:val="22"/>
          <w:szCs w:val="22"/>
        </w:rPr>
        <w:t>ühisrahastusprojekti</w:t>
      </w:r>
      <w:proofErr w:type="spellEnd"/>
      <w:r w:rsidR="00006734">
        <w:rPr>
          <w:sz w:val="22"/>
          <w:szCs w:val="22"/>
        </w:rPr>
        <w:t xml:space="preserve"> või </w:t>
      </w:r>
      <w:proofErr w:type="spellStart"/>
      <w:r w:rsidR="00006734">
        <w:rPr>
          <w:sz w:val="22"/>
          <w:szCs w:val="22"/>
        </w:rPr>
        <w:t>krüptovara</w:t>
      </w:r>
      <w:proofErr w:type="spellEnd"/>
      <w:r w:rsidR="001E39D3" w:rsidRPr="001E39D3">
        <w:rPr>
          <w:sz w:val="22"/>
          <w:szCs w:val="22"/>
        </w:rPr>
        <w:t xml:space="preserve"> </w:t>
      </w:r>
      <w:r w:rsidRPr="005A55CA">
        <w:rPr>
          <w:sz w:val="22"/>
          <w:szCs w:val="22"/>
        </w:rPr>
        <w:t xml:space="preserve">pakkumise juurde enda finantsvahendusplatvormil või kolmanda osapoole platvormil. </w:t>
      </w:r>
      <w:r w:rsidR="00147BCB">
        <w:rPr>
          <w:sz w:val="22"/>
          <w:szCs w:val="22"/>
        </w:rPr>
        <w:t xml:space="preserve">Lisaks ei tohi teenuseosutaja saada rahastuse taotlejalt ega muult isikult tasu või mitterahalist hüve </w:t>
      </w:r>
      <w:r w:rsidR="00006734">
        <w:rPr>
          <w:sz w:val="22"/>
          <w:szCs w:val="22"/>
        </w:rPr>
        <w:t>klientide</w:t>
      </w:r>
      <w:r w:rsidR="00147BCB">
        <w:rPr>
          <w:sz w:val="22"/>
          <w:szCs w:val="22"/>
        </w:rPr>
        <w:t xml:space="preserve"> korralduste suunamise eest mistahes konkreetse </w:t>
      </w:r>
      <w:proofErr w:type="spellStart"/>
      <w:r w:rsidR="00006734">
        <w:rPr>
          <w:sz w:val="22"/>
          <w:szCs w:val="22"/>
        </w:rPr>
        <w:t>krüptovara</w:t>
      </w:r>
      <w:proofErr w:type="spellEnd"/>
      <w:r w:rsidR="00147BCB">
        <w:rPr>
          <w:sz w:val="22"/>
          <w:szCs w:val="22"/>
        </w:rPr>
        <w:t xml:space="preserve"> kauplemise platvormi või </w:t>
      </w:r>
      <w:proofErr w:type="spellStart"/>
      <w:r w:rsidR="00006734">
        <w:rPr>
          <w:sz w:val="22"/>
          <w:szCs w:val="22"/>
        </w:rPr>
        <w:t>krüptovara</w:t>
      </w:r>
      <w:proofErr w:type="spellEnd"/>
      <w:r w:rsidR="00147BCB">
        <w:rPr>
          <w:sz w:val="22"/>
          <w:szCs w:val="22"/>
        </w:rPr>
        <w:t xml:space="preserve"> pakkumise juurde. </w:t>
      </w:r>
      <w:r w:rsidRPr="005A55CA">
        <w:rPr>
          <w:sz w:val="22"/>
          <w:szCs w:val="22"/>
        </w:rPr>
        <w:t xml:space="preserve">Nimetatud keeluga soovitakse tagada, et </w:t>
      </w:r>
      <w:r w:rsidR="00147BCB">
        <w:rPr>
          <w:sz w:val="22"/>
          <w:szCs w:val="22"/>
        </w:rPr>
        <w:t>teenuse</w:t>
      </w:r>
      <w:r w:rsidRPr="005A55CA">
        <w:rPr>
          <w:sz w:val="22"/>
          <w:szCs w:val="22"/>
        </w:rPr>
        <w:t xml:space="preserve">osutaja ei suunaks </w:t>
      </w:r>
      <w:r w:rsidR="00006734">
        <w:rPr>
          <w:sz w:val="22"/>
          <w:szCs w:val="22"/>
        </w:rPr>
        <w:t>kliente</w:t>
      </w:r>
      <w:r w:rsidRPr="005A55CA">
        <w:rPr>
          <w:sz w:val="22"/>
          <w:szCs w:val="22"/>
        </w:rPr>
        <w:t xml:space="preserve"> mingi konkreetse </w:t>
      </w:r>
      <w:proofErr w:type="spellStart"/>
      <w:r w:rsidR="00006734">
        <w:rPr>
          <w:sz w:val="22"/>
          <w:szCs w:val="22"/>
        </w:rPr>
        <w:t>ühisrahastusprojekti</w:t>
      </w:r>
      <w:proofErr w:type="spellEnd"/>
      <w:r w:rsidR="00006734">
        <w:rPr>
          <w:sz w:val="22"/>
          <w:szCs w:val="22"/>
        </w:rPr>
        <w:t xml:space="preserve"> või </w:t>
      </w:r>
      <w:proofErr w:type="spellStart"/>
      <w:r w:rsidR="00006734">
        <w:rPr>
          <w:sz w:val="22"/>
          <w:szCs w:val="22"/>
        </w:rPr>
        <w:t>krüptovara</w:t>
      </w:r>
      <w:proofErr w:type="spellEnd"/>
      <w:r w:rsidR="00006734" w:rsidRPr="005A55CA">
        <w:rPr>
          <w:sz w:val="22"/>
          <w:szCs w:val="22"/>
        </w:rPr>
        <w:t xml:space="preserve"> </w:t>
      </w:r>
      <w:r w:rsidRPr="005A55CA">
        <w:rPr>
          <w:sz w:val="22"/>
          <w:szCs w:val="22"/>
        </w:rPr>
        <w:t>pakkumise juurde või muul moel ei eelistaks üht pakkumist teisele</w:t>
      </w:r>
      <w:r w:rsidR="006C2CD2">
        <w:rPr>
          <w:sz w:val="22"/>
          <w:szCs w:val="22"/>
        </w:rPr>
        <w:t xml:space="preserve">, või et </w:t>
      </w:r>
      <w:proofErr w:type="spellStart"/>
      <w:r w:rsidR="00006734">
        <w:rPr>
          <w:sz w:val="22"/>
          <w:szCs w:val="22"/>
        </w:rPr>
        <w:t>krüptovara</w:t>
      </w:r>
      <w:proofErr w:type="spellEnd"/>
      <w:r w:rsidR="006C2CD2">
        <w:rPr>
          <w:sz w:val="22"/>
          <w:szCs w:val="22"/>
        </w:rPr>
        <w:t xml:space="preserve"> kauplemise platvormi korraldaja ei suunaks </w:t>
      </w:r>
      <w:r w:rsidR="00006734">
        <w:rPr>
          <w:sz w:val="22"/>
          <w:szCs w:val="22"/>
        </w:rPr>
        <w:t>kliente</w:t>
      </w:r>
      <w:r w:rsidR="006C2CD2">
        <w:rPr>
          <w:sz w:val="22"/>
          <w:szCs w:val="22"/>
        </w:rPr>
        <w:t xml:space="preserve"> mingi konkreetse platvormi või </w:t>
      </w:r>
      <w:proofErr w:type="spellStart"/>
      <w:r w:rsidR="00006734">
        <w:rPr>
          <w:sz w:val="22"/>
          <w:szCs w:val="22"/>
        </w:rPr>
        <w:t>krüptovara</w:t>
      </w:r>
      <w:proofErr w:type="spellEnd"/>
      <w:r w:rsidR="006C2CD2">
        <w:rPr>
          <w:sz w:val="22"/>
          <w:szCs w:val="22"/>
        </w:rPr>
        <w:t xml:space="preserve"> pakkumise juurde</w:t>
      </w:r>
      <w:r w:rsidRPr="005A55CA">
        <w:rPr>
          <w:sz w:val="22"/>
          <w:szCs w:val="22"/>
        </w:rPr>
        <w:t xml:space="preserve">. </w:t>
      </w:r>
      <w:r w:rsidR="00C333C5">
        <w:rPr>
          <w:sz w:val="22"/>
          <w:szCs w:val="22"/>
        </w:rPr>
        <w:t xml:space="preserve">Täpsustuseks eeltoodule, et korralduste või huvi suunamine iseenesest ei ole keelatud, aga sealjuures peab olema välistatud huvide konflikti tekkimine, st tasu või hüve andmine või maksmine. Lisaks </w:t>
      </w:r>
      <w:r w:rsidRPr="005A55CA">
        <w:rPr>
          <w:sz w:val="22"/>
          <w:szCs w:val="22"/>
        </w:rPr>
        <w:t>ei ole selle sättega välistatud teatud objektiivsete kategooriate (nt uued pakkumised) loomine.</w:t>
      </w:r>
      <w:r w:rsidR="0029208A">
        <w:rPr>
          <w:sz w:val="22"/>
          <w:szCs w:val="22"/>
        </w:rPr>
        <w:t xml:space="preserve"> </w:t>
      </w:r>
    </w:p>
    <w:p w14:paraId="4F0CD6A1" w14:textId="77777777" w:rsidR="00C77687" w:rsidRPr="005A55CA" w:rsidRDefault="00C77687" w:rsidP="00D375E5">
      <w:pPr>
        <w:shd w:val="clear" w:color="auto" w:fill="FFFFFF"/>
        <w:spacing w:before="0"/>
        <w:rPr>
          <w:b/>
          <w:color w:val="5B9BD5" w:themeColor="accent1"/>
          <w:sz w:val="22"/>
          <w:szCs w:val="22"/>
        </w:rPr>
      </w:pPr>
    </w:p>
    <w:p w14:paraId="31555B2F" w14:textId="037D60BF" w:rsidR="00386BBE" w:rsidRDefault="0048614C" w:rsidP="00D375E5">
      <w:pPr>
        <w:shd w:val="clear" w:color="auto" w:fill="FFFFFF"/>
        <w:spacing w:before="0"/>
        <w:rPr>
          <w:sz w:val="22"/>
          <w:szCs w:val="22"/>
        </w:rPr>
      </w:pPr>
      <w:r w:rsidRPr="005A55CA">
        <w:rPr>
          <w:b/>
          <w:sz w:val="22"/>
          <w:szCs w:val="22"/>
        </w:rPr>
        <w:t>Paragrahv</w:t>
      </w:r>
      <w:r w:rsidR="00C77687" w:rsidRPr="005A55CA">
        <w:rPr>
          <w:b/>
          <w:sz w:val="22"/>
          <w:szCs w:val="22"/>
        </w:rPr>
        <w:t xml:space="preserve"> 3</w:t>
      </w:r>
      <w:r w:rsidR="00006734">
        <w:rPr>
          <w:b/>
          <w:sz w:val="22"/>
          <w:szCs w:val="22"/>
        </w:rPr>
        <w:t>9</w:t>
      </w:r>
      <w:r w:rsidRPr="005A55CA">
        <w:rPr>
          <w:b/>
          <w:sz w:val="22"/>
          <w:szCs w:val="22"/>
        </w:rPr>
        <w:t xml:space="preserve"> </w:t>
      </w:r>
      <w:r w:rsidR="00503330">
        <w:rPr>
          <w:sz w:val="22"/>
          <w:szCs w:val="22"/>
        </w:rPr>
        <w:t>sätestab</w:t>
      </w:r>
      <w:r w:rsidR="00503330" w:rsidRPr="005A55CA">
        <w:rPr>
          <w:sz w:val="22"/>
          <w:szCs w:val="22"/>
        </w:rPr>
        <w:t xml:space="preserve"> </w:t>
      </w:r>
      <w:r w:rsidRPr="005A55CA">
        <w:rPr>
          <w:sz w:val="22"/>
          <w:szCs w:val="22"/>
        </w:rPr>
        <w:t xml:space="preserve">(makse)konto avamise kohustuse ning sellest Finantsinspektsiooni </w:t>
      </w:r>
      <w:r w:rsidR="00386BBE">
        <w:rPr>
          <w:sz w:val="22"/>
          <w:szCs w:val="22"/>
        </w:rPr>
        <w:t>teavitamise</w:t>
      </w:r>
      <w:r w:rsidRPr="005A55CA">
        <w:rPr>
          <w:sz w:val="22"/>
          <w:szCs w:val="22"/>
        </w:rPr>
        <w:t xml:space="preserve">. </w:t>
      </w:r>
    </w:p>
    <w:p w14:paraId="547BC324" w14:textId="77777777" w:rsidR="00386BBE" w:rsidRDefault="00386BBE" w:rsidP="00D375E5">
      <w:pPr>
        <w:shd w:val="clear" w:color="auto" w:fill="FFFFFF"/>
        <w:spacing w:before="0"/>
        <w:rPr>
          <w:sz w:val="22"/>
          <w:szCs w:val="22"/>
        </w:rPr>
      </w:pPr>
    </w:p>
    <w:p w14:paraId="0639B0F1" w14:textId="12A4E97A" w:rsidR="00C77687" w:rsidRDefault="0048614C" w:rsidP="00D375E5">
      <w:pPr>
        <w:shd w:val="clear" w:color="auto" w:fill="FFFFFF"/>
        <w:spacing w:before="0"/>
        <w:rPr>
          <w:sz w:val="22"/>
          <w:szCs w:val="22"/>
        </w:rPr>
      </w:pPr>
      <w:r w:rsidRPr="005A55CA">
        <w:rPr>
          <w:b/>
          <w:sz w:val="22"/>
          <w:szCs w:val="22"/>
        </w:rPr>
        <w:t xml:space="preserve">Lõike 1 </w:t>
      </w:r>
      <w:r w:rsidRPr="005A55CA">
        <w:rPr>
          <w:sz w:val="22"/>
          <w:szCs w:val="22"/>
        </w:rPr>
        <w:t xml:space="preserve">kohaselt peab teenuseosutaja avama </w:t>
      </w:r>
      <w:r w:rsidR="00C77687" w:rsidRPr="005A55CA">
        <w:rPr>
          <w:sz w:val="22"/>
          <w:szCs w:val="22"/>
        </w:rPr>
        <w:t xml:space="preserve">maksekonto krediidiasutuses, e-raha asutuses või makseasutuses, mis on asutatud Eestis või teises lepinguriigis, mis osutab Eestis teenuseid piiriüleselt või mis on </w:t>
      </w:r>
      <w:r w:rsidR="00006734">
        <w:rPr>
          <w:sz w:val="22"/>
          <w:szCs w:val="22"/>
        </w:rPr>
        <w:t>registreerinud</w:t>
      </w:r>
      <w:r w:rsidR="00006734" w:rsidRPr="005A55CA">
        <w:rPr>
          <w:sz w:val="22"/>
          <w:szCs w:val="22"/>
        </w:rPr>
        <w:t xml:space="preserve"> </w:t>
      </w:r>
      <w:r w:rsidR="00C77687" w:rsidRPr="005A55CA">
        <w:rPr>
          <w:sz w:val="22"/>
          <w:szCs w:val="22"/>
        </w:rPr>
        <w:t>Eestis filiaali.</w:t>
      </w:r>
      <w:r w:rsidRPr="005A55CA">
        <w:rPr>
          <w:sz w:val="22"/>
          <w:szCs w:val="22"/>
        </w:rPr>
        <w:t xml:space="preserve"> Nimetatud kohustus põhineb sellel, et nii järelevalveasutusel kui ka </w:t>
      </w:r>
      <w:r w:rsidRPr="001E39D3">
        <w:rPr>
          <w:sz w:val="22"/>
          <w:szCs w:val="22"/>
        </w:rPr>
        <w:t xml:space="preserve">vastavuskontrolli teostajal peaks olema võimalik saada ülevaade selle kohta, kus (st millistel kontodel) ja mis mahus hoitakse teenuseosutaja kontodel </w:t>
      </w:r>
      <w:r w:rsidR="00BD5E7F">
        <w:rPr>
          <w:sz w:val="22"/>
          <w:szCs w:val="22"/>
        </w:rPr>
        <w:t>klientide</w:t>
      </w:r>
      <w:r w:rsidRPr="001E39D3">
        <w:rPr>
          <w:sz w:val="22"/>
          <w:szCs w:val="22"/>
        </w:rPr>
        <w:t xml:space="preserve"> rahalisi vahendeid. Sama kohaldatakse ka </w:t>
      </w:r>
      <w:proofErr w:type="spellStart"/>
      <w:r w:rsidR="00BD5E7F">
        <w:rPr>
          <w:sz w:val="22"/>
          <w:szCs w:val="22"/>
        </w:rPr>
        <w:t>krüptovara</w:t>
      </w:r>
      <w:proofErr w:type="spellEnd"/>
      <w:r w:rsidRPr="001E39D3">
        <w:rPr>
          <w:sz w:val="22"/>
          <w:szCs w:val="22"/>
        </w:rPr>
        <w:t xml:space="preserve"> rahakottidele, kui teenuseosutaja võtab vastu </w:t>
      </w:r>
      <w:proofErr w:type="spellStart"/>
      <w:r w:rsidR="00BD5E7F">
        <w:rPr>
          <w:sz w:val="22"/>
          <w:szCs w:val="22"/>
        </w:rPr>
        <w:t>krüptovara</w:t>
      </w:r>
      <w:proofErr w:type="spellEnd"/>
      <w:r w:rsidRPr="001E39D3">
        <w:rPr>
          <w:sz w:val="22"/>
          <w:szCs w:val="22"/>
        </w:rPr>
        <w:t xml:space="preserve"> või mu</w:t>
      </w:r>
      <w:r w:rsidR="009F067C">
        <w:rPr>
          <w:sz w:val="22"/>
          <w:szCs w:val="22"/>
        </w:rPr>
        <w:t>id vahendeid</w:t>
      </w:r>
      <w:r w:rsidRPr="001E39D3">
        <w:rPr>
          <w:sz w:val="22"/>
          <w:szCs w:val="22"/>
        </w:rPr>
        <w:t>, mida tavapäraselt maksekontodel ei hoiustata</w:t>
      </w:r>
      <w:r w:rsidR="007A462F" w:rsidRPr="001E39D3">
        <w:rPr>
          <w:sz w:val="22"/>
          <w:szCs w:val="22"/>
        </w:rPr>
        <w:t xml:space="preserve"> (</w:t>
      </w:r>
      <w:r w:rsidR="007A462F" w:rsidRPr="001E39D3">
        <w:rPr>
          <w:b/>
          <w:sz w:val="22"/>
          <w:szCs w:val="22"/>
        </w:rPr>
        <w:t>lõige 3)</w:t>
      </w:r>
      <w:r w:rsidRPr="001E39D3">
        <w:rPr>
          <w:sz w:val="22"/>
          <w:szCs w:val="22"/>
        </w:rPr>
        <w:t>.</w:t>
      </w:r>
    </w:p>
    <w:p w14:paraId="18C870FF" w14:textId="77777777" w:rsidR="009F067C" w:rsidRPr="001E39D3" w:rsidRDefault="009F067C" w:rsidP="00D375E5">
      <w:pPr>
        <w:shd w:val="clear" w:color="auto" w:fill="FFFFFF"/>
        <w:spacing w:before="0"/>
        <w:rPr>
          <w:sz w:val="22"/>
          <w:szCs w:val="22"/>
        </w:rPr>
      </w:pPr>
    </w:p>
    <w:p w14:paraId="6E45C12D" w14:textId="17BBD5F9" w:rsidR="00C77687" w:rsidRPr="001E39D3" w:rsidRDefault="007A462F" w:rsidP="00D375E5">
      <w:pPr>
        <w:shd w:val="clear" w:color="auto" w:fill="FFFFFF"/>
        <w:spacing w:before="0"/>
        <w:rPr>
          <w:sz w:val="22"/>
          <w:szCs w:val="22"/>
        </w:rPr>
      </w:pPr>
      <w:r w:rsidRPr="001E39D3">
        <w:rPr>
          <w:b/>
          <w:sz w:val="22"/>
          <w:szCs w:val="22"/>
        </w:rPr>
        <w:t xml:space="preserve">Lõigete 2 ja 4 </w:t>
      </w:r>
      <w:r w:rsidRPr="001E39D3">
        <w:rPr>
          <w:sz w:val="22"/>
          <w:szCs w:val="22"/>
        </w:rPr>
        <w:t>kohaselt tuleb teenuseosutajal esitada teavet kõi</w:t>
      </w:r>
      <w:r w:rsidR="00B26AF5">
        <w:rPr>
          <w:sz w:val="22"/>
          <w:szCs w:val="22"/>
        </w:rPr>
        <w:t>gi</w:t>
      </w:r>
      <w:r w:rsidRPr="001E39D3">
        <w:rPr>
          <w:sz w:val="22"/>
          <w:szCs w:val="22"/>
        </w:rPr>
        <w:t xml:space="preserve"> tema nimel avatud maksekontode ja muude kontode (vt sama paragrahvi </w:t>
      </w:r>
      <w:proofErr w:type="spellStart"/>
      <w:r w:rsidRPr="001E39D3">
        <w:rPr>
          <w:sz w:val="22"/>
          <w:szCs w:val="22"/>
        </w:rPr>
        <w:t>lg-t</w:t>
      </w:r>
      <w:proofErr w:type="spellEnd"/>
      <w:r w:rsidRPr="001E39D3">
        <w:rPr>
          <w:sz w:val="22"/>
          <w:szCs w:val="22"/>
        </w:rPr>
        <w:t xml:space="preserve"> 3) ning teavitama Finantsinspektsiooni, kui avatakse täiendav konto või kui kontodega seotud andmed muutuvad.</w:t>
      </w:r>
    </w:p>
    <w:p w14:paraId="532D707C" w14:textId="77777777" w:rsidR="007A462F" w:rsidRPr="005A55CA" w:rsidRDefault="007A462F" w:rsidP="00D375E5">
      <w:pPr>
        <w:spacing w:before="0"/>
        <w:rPr>
          <w:color w:val="000000" w:themeColor="text1"/>
          <w:sz w:val="22"/>
          <w:szCs w:val="22"/>
        </w:rPr>
      </w:pPr>
    </w:p>
    <w:p w14:paraId="482031EB" w14:textId="0D6FA6C5" w:rsidR="00D44B2C" w:rsidRPr="00224FFD" w:rsidRDefault="00F933AF" w:rsidP="00D375E5">
      <w:pPr>
        <w:shd w:val="clear" w:color="auto" w:fill="FFFFFF"/>
        <w:spacing w:before="0"/>
        <w:rPr>
          <w:b/>
          <w:sz w:val="22"/>
          <w:szCs w:val="22"/>
        </w:rPr>
      </w:pPr>
      <w:r w:rsidRPr="005A55CA">
        <w:rPr>
          <w:b/>
          <w:sz w:val="22"/>
          <w:szCs w:val="22"/>
        </w:rPr>
        <w:t xml:space="preserve">Paragrahv </w:t>
      </w:r>
      <w:r w:rsidR="005C7572">
        <w:rPr>
          <w:b/>
          <w:sz w:val="22"/>
          <w:szCs w:val="22"/>
        </w:rPr>
        <w:t>40</w:t>
      </w:r>
      <w:r w:rsidRPr="005A55CA">
        <w:rPr>
          <w:b/>
          <w:sz w:val="22"/>
          <w:szCs w:val="22"/>
        </w:rPr>
        <w:t xml:space="preserve"> </w:t>
      </w:r>
      <w:r w:rsidRPr="005A55CA">
        <w:rPr>
          <w:sz w:val="22"/>
          <w:szCs w:val="22"/>
        </w:rPr>
        <w:t xml:space="preserve">sätestab erinõuded finantsvahendusplatvormile (mõiste kohta vt </w:t>
      </w:r>
      <w:r w:rsidR="00540038" w:rsidRPr="005A55CA">
        <w:rPr>
          <w:sz w:val="22"/>
          <w:szCs w:val="22"/>
        </w:rPr>
        <w:t xml:space="preserve">ka </w:t>
      </w:r>
      <w:r w:rsidRPr="005A55CA">
        <w:rPr>
          <w:sz w:val="22"/>
          <w:szCs w:val="22"/>
        </w:rPr>
        <w:t xml:space="preserve">§ 5 lg </w:t>
      </w:r>
      <w:r w:rsidR="004701CD">
        <w:rPr>
          <w:sz w:val="22"/>
          <w:szCs w:val="22"/>
        </w:rPr>
        <w:t>2</w:t>
      </w:r>
      <w:r w:rsidRPr="005A55CA">
        <w:rPr>
          <w:sz w:val="22"/>
          <w:szCs w:val="22"/>
        </w:rPr>
        <w:t xml:space="preserve"> selgitusi).</w:t>
      </w:r>
      <w:r w:rsidR="00224FFD">
        <w:rPr>
          <w:sz w:val="22"/>
          <w:szCs w:val="22"/>
        </w:rPr>
        <w:t xml:space="preserve"> </w:t>
      </w:r>
      <w:r w:rsidR="00DD0EF1">
        <w:rPr>
          <w:sz w:val="22"/>
          <w:szCs w:val="22"/>
        </w:rPr>
        <w:t xml:space="preserve">Finantsvahendusplatvormile sätestatud nõuded on teataval määral sarnased </w:t>
      </w:r>
      <w:r w:rsidR="00DD0EF1" w:rsidRPr="00E15E73">
        <w:rPr>
          <w:sz w:val="22"/>
          <w:szCs w:val="22"/>
        </w:rPr>
        <w:t xml:space="preserve">väärtpaberituru seaduses sätestatud </w:t>
      </w:r>
      <w:r w:rsidR="00224FFD" w:rsidRPr="00E15E73">
        <w:rPr>
          <w:sz w:val="22"/>
          <w:szCs w:val="22"/>
        </w:rPr>
        <w:t>reguleeritud turu regulatsiooni</w:t>
      </w:r>
      <w:r w:rsidR="00DD0EF1" w:rsidRPr="00E15E73">
        <w:rPr>
          <w:sz w:val="22"/>
          <w:szCs w:val="22"/>
        </w:rPr>
        <w:t>ga, kuid need on käesolevas seaduses esitatud lihtsustatud kujul, arvestades investeerimis</w:t>
      </w:r>
      <w:r w:rsidR="00DA04DA">
        <w:rPr>
          <w:sz w:val="22"/>
          <w:szCs w:val="22"/>
        </w:rPr>
        <w:t>projektide</w:t>
      </w:r>
      <w:r w:rsidR="00DD0EF1" w:rsidRPr="00E15E73">
        <w:rPr>
          <w:sz w:val="22"/>
          <w:szCs w:val="22"/>
        </w:rPr>
        <w:t xml:space="preserve"> ja väärtpaberite erinevusi</w:t>
      </w:r>
      <w:r w:rsidR="00224FFD" w:rsidRPr="00E15E73">
        <w:rPr>
          <w:sz w:val="22"/>
          <w:szCs w:val="22"/>
        </w:rPr>
        <w:t>.</w:t>
      </w:r>
    </w:p>
    <w:p w14:paraId="1627DBF7" w14:textId="77777777" w:rsidR="00D44B2C" w:rsidRPr="005A55CA" w:rsidRDefault="00D44B2C" w:rsidP="00D375E5">
      <w:pPr>
        <w:shd w:val="clear" w:color="auto" w:fill="FFFFFF"/>
        <w:spacing w:before="0"/>
        <w:rPr>
          <w:color w:val="5B9BD5" w:themeColor="accent1"/>
          <w:sz w:val="22"/>
          <w:szCs w:val="22"/>
        </w:rPr>
      </w:pPr>
    </w:p>
    <w:p w14:paraId="122E532C" w14:textId="4F4C93F0" w:rsidR="00D44B2C" w:rsidRPr="005A55CA" w:rsidRDefault="00540038" w:rsidP="00D375E5">
      <w:pPr>
        <w:shd w:val="clear" w:color="auto" w:fill="FFFFFF"/>
        <w:spacing w:before="0"/>
        <w:rPr>
          <w:sz w:val="22"/>
          <w:szCs w:val="22"/>
        </w:rPr>
      </w:pPr>
      <w:r w:rsidRPr="005A55CA">
        <w:rPr>
          <w:b/>
          <w:sz w:val="22"/>
          <w:szCs w:val="22"/>
        </w:rPr>
        <w:t xml:space="preserve">Lõike 1 </w:t>
      </w:r>
      <w:r w:rsidRPr="005A55CA">
        <w:rPr>
          <w:sz w:val="22"/>
          <w:szCs w:val="22"/>
        </w:rPr>
        <w:t>järgi kohustub t</w:t>
      </w:r>
      <w:r w:rsidR="00D44B2C" w:rsidRPr="005A55CA">
        <w:rPr>
          <w:sz w:val="22"/>
          <w:szCs w:val="22"/>
        </w:rPr>
        <w:t xml:space="preserve">eenuseosutaja, kes </w:t>
      </w:r>
      <w:r w:rsidR="004701CD">
        <w:rPr>
          <w:sz w:val="22"/>
          <w:szCs w:val="22"/>
        </w:rPr>
        <w:t>peab</w:t>
      </w:r>
      <w:r w:rsidR="00D44B2C" w:rsidRPr="005A55CA">
        <w:rPr>
          <w:sz w:val="22"/>
          <w:szCs w:val="22"/>
        </w:rPr>
        <w:t xml:space="preserve"> fin</w:t>
      </w:r>
      <w:r w:rsidRPr="005A55CA">
        <w:rPr>
          <w:sz w:val="22"/>
          <w:szCs w:val="22"/>
        </w:rPr>
        <w:t>antsvahendusplatvormi, kehtestama</w:t>
      </w:r>
      <w:r w:rsidR="00D44B2C" w:rsidRPr="005A55CA">
        <w:rPr>
          <w:sz w:val="22"/>
          <w:szCs w:val="22"/>
        </w:rPr>
        <w:t xml:space="preserve"> </w:t>
      </w:r>
      <w:proofErr w:type="spellStart"/>
      <w:r w:rsidR="00D44B2C" w:rsidRPr="005A55CA">
        <w:rPr>
          <w:sz w:val="22"/>
          <w:szCs w:val="22"/>
        </w:rPr>
        <w:t>sise</w:t>
      </w:r>
      <w:proofErr w:type="spellEnd"/>
      <w:r w:rsidR="00D44B2C" w:rsidRPr="005A55CA">
        <w:rPr>
          <w:sz w:val="22"/>
          <w:szCs w:val="22"/>
        </w:rPr>
        <w:t>-eeskirjadega täpsed õiguslikud, tehnilised ja organisatsioonilised meetmed ja rakendab neid, et tuvastada ja maandada platvormiga seotud õigus- ja korrapärase toimimise riske.</w:t>
      </w:r>
      <w:r w:rsidRPr="005A55CA">
        <w:rPr>
          <w:sz w:val="22"/>
          <w:szCs w:val="22"/>
        </w:rPr>
        <w:t xml:space="preserve"> Kuivõrd finantsvahendusplatvormi näol on tegemist uudse tehnoloogilise lahendusega, millel on võimalik kaubelda (</w:t>
      </w:r>
      <w:r w:rsidR="004701CD">
        <w:rPr>
          <w:sz w:val="22"/>
          <w:szCs w:val="22"/>
        </w:rPr>
        <w:t xml:space="preserve">osaliselt </w:t>
      </w:r>
      <w:proofErr w:type="spellStart"/>
      <w:r w:rsidRPr="005A55CA">
        <w:rPr>
          <w:sz w:val="22"/>
          <w:szCs w:val="22"/>
        </w:rPr>
        <w:t>senireguleerimata</w:t>
      </w:r>
      <w:proofErr w:type="spellEnd"/>
      <w:r w:rsidRPr="005A55CA">
        <w:rPr>
          <w:sz w:val="22"/>
          <w:szCs w:val="22"/>
        </w:rPr>
        <w:t xml:space="preserve">) instrumentidega, siis on oluline, et teenuseosutaja, kes finantsvahendusplatvormi </w:t>
      </w:r>
      <w:r w:rsidR="004701CD">
        <w:rPr>
          <w:sz w:val="22"/>
          <w:szCs w:val="22"/>
        </w:rPr>
        <w:t>peab</w:t>
      </w:r>
      <w:r w:rsidRPr="005A55CA">
        <w:rPr>
          <w:sz w:val="22"/>
          <w:szCs w:val="22"/>
        </w:rPr>
        <w:t xml:space="preserve">, oleks eelnevalt kehtestanud </w:t>
      </w:r>
      <w:proofErr w:type="spellStart"/>
      <w:r w:rsidRPr="005A55CA">
        <w:rPr>
          <w:sz w:val="22"/>
          <w:szCs w:val="22"/>
        </w:rPr>
        <w:t>sise</w:t>
      </w:r>
      <w:proofErr w:type="spellEnd"/>
      <w:r w:rsidRPr="005A55CA">
        <w:rPr>
          <w:sz w:val="22"/>
          <w:szCs w:val="22"/>
        </w:rPr>
        <w:t xml:space="preserve">-eeskirjad, millega maandatakse platvormi toimimisega kaasnevaid riske. </w:t>
      </w:r>
    </w:p>
    <w:p w14:paraId="6C2F35B6" w14:textId="123A89AE" w:rsidR="00D44B2C" w:rsidRPr="005A55CA" w:rsidRDefault="00D44B2C" w:rsidP="00D375E5">
      <w:pPr>
        <w:shd w:val="clear" w:color="auto" w:fill="FFFFFF"/>
        <w:spacing w:before="0"/>
        <w:rPr>
          <w:color w:val="5B9BD5" w:themeColor="accent1"/>
          <w:sz w:val="22"/>
          <w:szCs w:val="22"/>
        </w:rPr>
      </w:pPr>
    </w:p>
    <w:p w14:paraId="6A2C7DCD" w14:textId="47D44836" w:rsidR="00D44B2C" w:rsidRPr="005A55CA" w:rsidRDefault="005501BE" w:rsidP="00D375E5">
      <w:pPr>
        <w:shd w:val="clear" w:color="auto" w:fill="FFFFFF"/>
        <w:spacing w:before="0"/>
        <w:rPr>
          <w:sz w:val="22"/>
          <w:szCs w:val="22"/>
        </w:rPr>
      </w:pPr>
      <w:r w:rsidRPr="005A55CA">
        <w:rPr>
          <w:b/>
          <w:sz w:val="22"/>
          <w:szCs w:val="22"/>
        </w:rPr>
        <w:t>Lõike 2</w:t>
      </w:r>
      <w:r w:rsidR="00540038" w:rsidRPr="005A55CA">
        <w:rPr>
          <w:b/>
          <w:sz w:val="22"/>
          <w:szCs w:val="22"/>
        </w:rPr>
        <w:t xml:space="preserve"> </w:t>
      </w:r>
      <w:r w:rsidR="00540038" w:rsidRPr="005A55CA">
        <w:rPr>
          <w:sz w:val="22"/>
          <w:szCs w:val="22"/>
        </w:rPr>
        <w:t>järgi tuleb teenuseosutajal rakendada</w:t>
      </w:r>
      <w:r w:rsidR="00D44B2C" w:rsidRPr="005A55CA">
        <w:rPr>
          <w:sz w:val="22"/>
          <w:szCs w:val="22"/>
        </w:rPr>
        <w:t xml:space="preserve"> meetmeid, et usaldusväärselt </w:t>
      </w:r>
      <w:r w:rsidR="004701CD">
        <w:rPr>
          <w:sz w:val="22"/>
          <w:szCs w:val="22"/>
        </w:rPr>
        <w:t>pidada</w:t>
      </w:r>
      <w:r w:rsidR="00D44B2C" w:rsidRPr="005A55CA">
        <w:rPr>
          <w:sz w:val="22"/>
          <w:szCs w:val="22"/>
        </w:rPr>
        <w:t xml:space="preserve"> finantsvahendusplatvormi korraldamiseks kasutatava infotehnoloogilise süsteemi või muu tehingute tegemist vahendava ja andmeid salvestava süsteemi tehnilisi toiminguid ning toime tulla süsteemide riketega.</w:t>
      </w:r>
      <w:r w:rsidR="00540038" w:rsidRPr="005A55CA">
        <w:rPr>
          <w:sz w:val="22"/>
          <w:szCs w:val="22"/>
        </w:rPr>
        <w:t xml:space="preserve"> Sisuliselt on tegemist sama paragrahvi esimese lõike täpsustusega, mis puudutab finants-vahendusplatvormi spetsiifiliselt tehnoloogilist poolt.</w:t>
      </w:r>
    </w:p>
    <w:p w14:paraId="47E316E3" w14:textId="77777777" w:rsidR="00D44B2C" w:rsidRPr="005A55CA" w:rsidRDefault="00D44B2C" w:rsidP="00D375E5">
      <w:pPr>
        <w:shd w:val="clear" w:color="auto" w:fill="FFFFFF"/>
        <w:spacing w:before="0"/>
        <w:rPr>
          <w:sz w:val="22"/>
          <w:szCs w:val="22"/>
        </w:rPr>
      </w:pPr>
    </w:p>
    <w:p w14:paraId="0CDC495F" w14:textId="77777777" w:rsidR="004701CD" w:rsidRDefault="005501BE" w:rsidP="00D375E5">
      <w:pPr>
        <w:shd w:val="clear" w:color="auto" w:fill="FFFFFF"/>
        <w:spacing w:before="0"/>
        <w:rPr>
          <w:sz w:val="22"/>
          <w:szCs w:val="22"/>
        </w:rPr>
      </w:pPr>
      <w:r w:rsidRPr="005A55CA">
        <w:rPr>
          <w:b/>
          <w:sz w:val="22"/>
          <w:szCs w:val="22"/>
        </w:rPr>
        <w:lastRenderedPageBreak/>
        <w:t>Lõige 3</w:t>
      </w:r>
      <w:r w:rsidR="007E506B" w:rsidRPr="005A55CA">
        <w:rPr>
          <w:b/>
          <w:sz w:val="22"/>
          <w:szCs w:val="22"/>
        </w:rPr>
        <w:t xml:space="preserve"> </w:t>
      </w:r>
      <w:r w:rsidR="007E506B" w:rsidRPr="005A55CA">
        <w:rPr>
          <w:sz w:val="22"/>
          <w:szCs w:val="22"/>
        </w:rPr>
        <w:t>kohustab teenuseosutajat kehtestama</w:t>
      </w:r>
      <w:r w:rsidR="00D44B2C" w:rsidRPr="005A55CA">
        <w:rPr>
          <w:sz w:val="22"/>
          <w:szCs w:val="22"/>
        </w:rPr>
        <w:t xml:space="preserve"> finantsvahendusplatvormil läbipaistvalt ja ühetaoliselt kohaldatavad reeglid, millega tagatakse </w:t>
      </w:r>
      <w:r w:rsidR="0079410B">
        <w:rPr>
          <w:sz w:val="22"/>
          <w:szCs w:val="22"/>
        </w:rPr>
        <w:t xml:space="preserve">tehingute hinna, mahu ja aja avalikustamine. </w:t>
      </w:r>
    </w:p>
    <w:p w14:paraId="236FD52E" w14:textId="77777777" w:rsidR="004701CD" w:rsidRDefault="004701CD" w:rsidP="00D375E5">
      <w:pPr>
        <w:shd w:val="clear" w:color="auto" w:fill="FFFFFF"/>
        <w:spacing w:before="0"/>
        <w:rPr>
          <w:sz w:val="22"/>
          <w:szCs w:val="22"/>
        </w:rPr>
      </w:pPr>
    </w:p>
    <w:p w14:paraId="6DF1CE24" w14:textId="53407789" w:rsidR="00D44B2C" w:rsidRPr="005A55CA" w:rsidRDefault="004701CD" w:rsidP="00D375E5">
      <w:pPr>
        <w:shd w:val="clear" w:color="auto" w:fill="FFFFFF"/>
        <w:spacing w:before="0"/>
        <w:rPr>
          <w:sz w:val="22"/>
          <w:szCs w:val="22"/>
        </w:rPr>
      </w:pPr>
      <w:r>
        <w:rPr>
          <w:b/>
          <w:bCs/>
          <w:sz w:val="22"/>
          <w:szCs w:val="22"/>
        </w:rPr>
        <w:t xml:space="preserve">Lõige 4 </w:t>
      </w:r>
      <w:r>
        <w:rPr>
          <w:sz w:val="22"/>
          <w:szCs w:val="22"/>
        </w:rPr>
        <w:t xml:space="preserve">kohaselt tuleb </w:t>
      </w:r>
      <w:proofErr w:type="spellStart"/>
      <w:r>
        <w:rPr>
          <w:sz w:val="22"/>
          <w:szCs w:val="22"/>
        </w:rPr>
        <w:t>krüptovaraga</w:t>
      </w:r>
      <w:proofErr w:type="spellEnd"/>
      <w:r>
        <w:rPr>
          <w:sz w:val="22"/>
          <w:szCs w:val="22"/>
        </w:rPr>
        <w:t xml:space="preserve"> tehtud</w:t>
      </w:r>
      <w:r w:rsidR="0079410B">
        <w:rPr>
          <w:sz w:val="22"/>
          <w:szCs w:val="22"/>
        </w:rPr>
        <w:t xml:space="preserve"> tehingute üksikasjad tuleb avalikustada nii reaalajalähedaselt kui tehniliselt võimalik. Säte põhineb suuremas osas </w:t>
      </w:r>
      <w:r w:rsidR="00B558EB">
        <w:rPr>
          <w:sz w:val="22"/>
          <w:szCs w:val="22"/>
        </w:rPr>
        <w:t xml:space="preserve">EL </w:t>
      </w:r>
      <w:proofErr w:type="spellStart"/>
      <w:r w:rsidR="0079410B">
        <w:rPr>
          <w:sz w:val="22"/>
          <w:szCs w:val="22"/>
        </w:rPr>
        <w:t>krüptovaraturgude</w:t>
      </w:r>
      <w:proofErr w:type="spellEnd"/>
      <w:r w:rsidR="0079410B">
        <w:rPr>
          <w:sz w:val="22"/>
          <w:szCs w:val="22"/>
        </w:rPr>
        <w:t xml:space="preserve"> määruse</w:t>
      </w:r>
      <w:r>
        <w:rPr>
          <w:sz w:val="22"/>
          <w:szCs w:val="22"/>
        </w:rPr>
        <w:t xml:space="preserve"> ettepaneku</w:t>
      </w:r>
      <w:r w:rsidR="0079410B">
        <w:rPr>
          <w:sz w:val="22"/>
          <w:szCs w:val="22"/>
        </w:rPr>
        <w:t xml:space="preserve"> artikli 68 </w:t>
      </w:r>
      <w:r w:rsidR="00B558EB">
        <w:rPr>
          <w:sz w:val="22"/>
          <w:szCs w:val="22"/>
        </w:rPr>
        <w:t>punkti</w:t>
      </w:r>
      <w:r w:rsidR="0079410B">
        <w:rPr>
          <w:sz w:val="22"/>
          <w:szCs w:val="22"/>
        </w:rPr>
        <w:t xml:space="preserve">l 9. </w:t>
      </w:r>
    </w:p>
    <w:p w14:paraId="707E2673" w14:textId="77777777" w:rsidR="00D44B2C" w:rsidRPr="005A55CA" w:rsidRDefault="00D44B2C" w:rsidP="00D375E5">
      <w:pPr>
        <w:shd w:val="clear" w:color="auto" w:fill="FFFFFF"/>
        <w:spacing w:before="0"/>
        <w:rPr>
          <w:sz w:val="22"/>
          <w:szCs w:val="22"/>
        </w:rPr>
      </w:pPr>
    </w:p>
    <w:p w14:paraId="3295EEDB" w14:textId="6B36951D" w:rsidR="00D44B2C" w:rsidRPr="005A55CA" w:rsidRDefault="005501BE" w:rsidP="00D375E5">
      <w:pPr>
        <w:shd w:val="clear" w:color="auto" w:fill="FFFFFF"/>
        <w:spacing w:before="0"/>
        <w:rPr>
          <w:sz w:val="22"/>
          <w:szCs w:val="22"/>
        </w:rPr>
      </w:pPr>
      <w:r w:rsidRPr="005A55CA">
        <w:rPr>
          <w:b/>
          <w:sz w:val="22"/>
          <w:szCs w:val="22"/>
        </w:rPr>
        <w:t xml:space="preserve">Lõike </w:t>
      </w:r>
      <w:r w:rsidR="004701CD">
        <w:rPr>
          <w:b/>
          <w:sz w:val="22"/>
          <w:szCs w:val="22"/>
        </w:rPr>
        <w:t>5</w:t>
      </w:r>
      <w:r w:rsidR="007E506B" w:rsidRPr="005A55CA">
        <w:rPr>
          <w:b/>
          <w:sz w:val="22"/>
          <w:szCs w:val="22"/>
        </w:rPr>
        <w:t xml:space="preserve"> </w:t>
      </w:r>
      <w:r w:rsidR="007E506B" w:rsidRPr="005A55CA">
        <w:rPr>
          <w:sz w:val="22"/>
          <w:szCs w:val="22"/>
        </w:rPr>
        <w:t>järgi tuleb</w:t>
      </w:r>
      <w:r w:rsidR="00D44B2C" w:rsidRPr="005A55CA">
        <w:rPr>
          <w:sz w:val="22"/>
          <w:szCs w:val="22"/>
        </w:rPr>
        <w:t xml:space="preserve"> </w:t>
      </w:r>
      <w:r w:rsidR="007E506B" w:rsidRPr="005A55CA">
        <w:rPr>
          <w:sz w:val="22"/>
          <w:szCs w:val="22"/>
        </w:rPr>
        <w:t>t</w:t>
      </w:r>
      <w:r w:rsidR="00D44B2C" w:rsidRPr="005A55CA">
        <w:rPr>
          <w:sz w:val="22"/>
          <w:szCs w:val="22"/>
        </w:rPr>
        <w:t>eenuseosutaja</w:t>
      </w:r>
      <w:r w:rsidR="007E506B" w:rsidRPr="005A55CA">
        <w:rPr>
          <w:sz w:val="22"/>
          <w:szCs w:val="22"/>
        </w:rPr>
        <w:t>l</w:t>
      </w:r>
      <w:r w:rsidR="00D44B2C" w:rsidRPr="005A55CA">
        <w:rPr>
          <w:sz w:val="22"/>
          <w:szCs w:val="22"/>
        </w:rPr>
        <w:t xml:space="preserve"> rakenda</w:t>
      </w:r>
      <w:r w:rsidR="007E506B" w:rsidRPr="005A55CA">
        <w:rPr>
          <w:sz w:val="22"/>
          <w:szCs w:val="22"/>
        </w:rPr>
        <w:t>da</w:t>
      </w:r>
      <w:r w:rsidR="00D44B2C" w:rsidRPr="005A55CA">
        <w:rPr>
          <w:sz w:val="22"/>
          <w:szCs w:val="22"/>
        </w:rPr>
        <w:t xml:space="preserve"> meetmeid, et tagada tema süsteemides täidetud tehingute tõhus ja õigeaegne lõpuleviimine.</w:t>
      </w:r>
    </w:p>
    <w:p w14:paraId="3CF922BF" w14:textId="77777777" w:rsidR="00D44B2C" w:rsidRPr="005A55CA" w:rsidRDefault="00D44B2C" w:rsidP="00D375E5">
      <w:pPr>
        <w:shd w:val="clear" w:color="auto" w:fill="FFFFFF"/>
        <w:spacing w:before="0"/>
        <w:rPr>
          <w:color w:val="5B9BD5" w:themeColor="accent1"/>
          <w:sz w:val="22"/>
          <w:szCs w:val="22"/>
        </w:rPr>
      </w:pPr>
    </w:p>
    <w:p w14:paraId="3CB6D566" w14:textId="28036B47" w:rsidR="00D44B2C" w:rsidRPr="005A55CA" w:rsidRDefault="005501BE" w:rsidP="00D375E5">
      <w:pPr>
        <w:shd w:val="clear" w:color="auto" w:fill="FFFFFF"/>
        <w:spacing w:before="0"/>
        <w:rPr>
          <w:sz w:val="22"/>
          <w:szCs w:val="22"/>
        </w:rPr>
      </w:pPr>
      <w:r w:rsidRPr="005A55CA">
        <w:rPr>
          <w:b/>
          <w:sz w:val="22"/>
          <w:szCs w:val="22"/>
        </w:rPr>
        <w:t xml:space="preserve">Lõike </w:t>
      </w:r>
      <w:r w:rsidR="00812D22">
        <w:rPr>
          <w:b/>
          <w:sz w:val="22"/>
          <w:szCs w:val="22"/>
        </w:rPr>
        <w:t>6</w:t>
      </w:r>
      <w:r w:rsidR="00D44B2C" w:rsidRPr="005A55CA">
        <w:rPr>
          <w:sz w:val="22"/>
          <w:szCs w:val="22"/>
        </w:rPr>
        <w:t xml:space="preserve"> </w:t>
      </w:r>
      <w:r w:rsidR="007E506B" w:rsidRPr="005A55CA">
        <w:rPr>
          <w:sz w:val="22"/>
          <w:szCs w:val="22"/>
        </w:rPr>
        <w:t>järgi peab t</w:t>
      </w:r>
      <w:r w:rsidR="00D44B2C" w:rsidRPr="005A55CA">
        <w:rPr>
          <w:sz w:val="22"/>
          <w:szCs w:val="22"/>
        </w:rPr>
        <w:t>eenuseosutaja taga</w:t>
      </w:r>
      <w:r w:rsidR="007E506B" w:rsidRPr="005A55CA">
        <w:rPr>
          <w:sz w:val="22"/>
          <w:szCs w:val="22"/>
        </w:rPr>
        <w:t>ma</w:t>
      </w:r>
      <w:r w:rsidR="00D44B2C" w:rsidRPr="005A55CA">
        <w:rPr>
          <w:sz w:val="22"/>
          <w:szCs w:val="22"/>
        </w:rPr>
        <w:t xml:space="preserve"> finantsvahendusplatvormil korrapäraseks toimimiseks piisavate finantsvahendite pideva olemasolu, võttes arvesse finantsvahendusplatvormil tehtavate tehingute laadi ja mahtu ning finantsvahendusplatvormi toimimist mõjutavate riskide ulatust ja taset.</w:t>
      </w:r>
    </w:p>
    <w:p w14:paraId="4D2585FE" w14:textId="77777777" w:rsidR="00D44B2C" w:rsidRPr="005A55CA" w:rsidRDefault="00D44B2C" w:rsidP="00D375E5">
      <w:pPr>
        <w:shd w:val="clear" w:color="auto" w:fill="FFFFFF"/>
        <w:spacing w:before="0"/>
        <w:rPr>
          <w:color w:val="5B9BD5" w:themeColor="accent1"/>
          <w:sz w:val="22"/>
          <w:szCs w:val="22"/>
        </w:rPr>
      </w:pPr>
    </w:p>
    <w:p w14:paraId="750B7CBF" w14:textId="086C23B5" w:rsidR="00D44B2C" w:rsidRPr="005A55CA" w:rsidRDefault="005501BE" w:rsidP="00D375E5">
      <w:pPr>
        <w:shd w:val="clear" w:color="auto" w:fill="FFFFFF"/>
        <w:spacing w:before="0"/>
        <w:rPr>
          <w:b/>
          <w:sz w:val="22"/>
          <w:szCs w:val="22"/>
        </w:rPr>
      </w:pPr>
      <w:r w:rsidRPr="005A55CA">
        <w:rPr>
          <w:b/>
          <w:sz w:val="22"/>
          <w:szCs w:val="22"/>
        </w:rPr>
        <w:t xml:space="preserve">Lõike </w:t>
      </w:r>
      <w:r w:rsidR="00812D22">
        <w:rPr>
          <w:b/>
          <w:sz w:val="22"/>
          <w:szCs w:val="22"/>
        </w:rPr>
        <w:t>7</w:t>
      </w:r>
      <w:r w:rsidR="00D44B2C" w:rsidRPr="005A55CA">
        <w:rPr>
          <w:sz w:val="22"/>
          <w:szCs w:val="22"/>
        </w:rPr>
        <w:t xml:space="preserve"> </w:t>
      </w:r>
      <w:r w:rsidR="007E506B" w:rsidRPr="005A55CA">
        <w:rPr>
          <w:sz w:val="22"/>
          <w:szCs w:val="22"/>
        </w:rPr>
        <w:t>kohaselt ei või t</w:t>
      </w:r>
      <w:r w:rsidR="00D44B2C" w:rsidRPr="005A55CA">
        <w:rPr>
          <w:sz w:val="22"/>
          <w:szCs w:val="22"/>
        </w:rPr>
        <w:t xml:space="preserve">eenuseosutaja ühelgi enda </w:t>
      </w:r>
      <w:r w:rsidR="00812D22">
        <w:rPr>
          <w:sz w:val="22"/>
          <w:szCs w:val="22"/>
        </w:rPr>
        <w:t>peetaval</w:t>
      </w:r>
      <w:r w:rsidR="00D44B2C" w:rsidRPr="005A55CA">
        <w:rPr>
          <w:sz w:val="22"/>
          <w:szCs w:val="22"/>
        </w:rPr>
        <w:t xml:space="preserve"> finantsvahendusplatvormil täita oma arvel kliendi korraldusi ega kaubelda oma arvel ostu- ja müügihuvide sobitamisel.</w:t>
      </w:r>
      <w:r w:rsidR="00155C29" w:rsidRPr="005A55CA">
        <w:rPr>
          <w:sz w:val="22"/>
          <w:szCs w:val="22"/>
        </w:rPr>
        <w:t xml:space="preserve"> Oma arvel kauplemisena o</w:t>
      </w:r>
      <w:r w:rsidR="00D44B2C" w:rsidRPr="005A55CA">
        <w:rPr>
          <w:sz w:val="22"/>
          <w:szCs w:val="22"/>
        </w:rPr>
        <w:t xml:space="preserve">stu- ja müügihuvide sobitamisel </w:t>
      </w:r>
      <w:r w:rsidR="00A1190F">
        <w:rPr>
          <w:sz w:val="22"/>
          <w:szCs w:val="22"/>
        </w:rPr>
        <w:t xml:space="preserve">(ingl. k </w:t>
      </w:r>
      <w:proofErr w:type="spellStart"/>
      <w:r w:rsidR="00A1190F">
        <w:rPr>
          <w:i/>
          <w:iCs/>
          <w:sz w:val="22"/>
          <w:szCs w:val="22"/>
        </w:rPr>
        <w:t>matched</w:t>
      </w:r>
      <w:proofErr w:type="spellEnd"/>
      <w:r w:rsidR="00A1190F">
        <w:rPr>
          <w:i/>
          <w:iCs/>
          <w:sz w:val="22"/>
          <w:szCs w:val="22"/>
        </w:rPr>
        <w:t xml:space="preserve"> </w:t>
      </w:r>
      <w:proofErr w:type="spellStart"/>
      <w:r w:rsidR="00A1190F">
        <w:rPr>
          <w:i/>
          <w:iCs/>
          <w:sz w:val="22"/>
          <w:szCs w:val="22"/>
        </w:rPr>
        <w:t>principal</w:t>
      </w:r>
      <w:proofErr w:type="spellEnd"/>
      <w:r w:rsidR="00A1190F">
        <w:rPr>
          <w:i/>
          <w:iCs/>
          <w:sz w:val="22"/>
          <w:szCs w:val="22"/>
        </w:rPr>
        <w:t xml:space="preserve"> </w:t>
      </w:r>
      <w:proofErr w:type="spellStart"/>
      <w:r w:rsidR="00A1190F" w:rsidRPr="00A1190F">
        <w:rPr>
          <w:i/>
          <w:iCs/>
          <w:sz w:val="22"/>
          <w:szCs w:val="22"/>
        </w:rPr>
        <w:t>trading</w:t>
      </w:r>
      <w:proofErr w:type="spellEnd"/>
      <w:r w:rsidR="00A1190F">
        <w:rPr>
          <w:sz w:val="22"/>
          <w:szCs w:val="22"/>
        </w:rPr>
        <w:t xml:space="preserve">) </w:t>
      </w:r>
      <w:r w:rsidR="00155C29" w:rsidRPr="00A1190F">
        <w:rPr>
          <w:sz w:val="22"/>
          <w:szCs w:val="22"/>
        </w:rPr>
        <w:t>mõeldakse</w:t>
      </w:r>
      <w:r w:rsidR="00D44B2C" w:rsidRPr="005A55CA">
        <w:rPr>
          <w:sz w:val="22"/>
          <w:szCs w:val="22"/>
        </w:rPr>
        <w:t xml:space="preserve"> tehing</w:t>
      </w:r>
      <w:r w:rsidR="00155C29" w:rsidRPr="005A55CA">
        <w:rPr>
          <w:sz w:val="22"/>
          <w:szCs w:val="22"/>
        </w:rPr>
        <w:t>ut</w:t>
      </w:r>
      <w:r w:rsidR="00D44B2C" w:rsidRPr="005A55CA">
        <w:rPr>
          <w:sz w:val="22"/>
          <w:szCs w:val="22"/>
        </w:rPr>
        <w:t xml:space="preserve">, mille </w:t>
      </w:r>
      <w:r w:rsidR="00C1579C">
        <w:rPr>
          <w:sz w:val="22"/>
          <w:szCs w:val="22"/>
        </w:rPr>
        <w:t>tegija</w:t>
      </w:r>
      <w:r w:rsidR="00D44B2C" w:rsidRPr="005A55CA">
        <w:rPr>
          <w:sz w:val="22"/>
          <w:szCs w:val="22"/>
        </w:rPr>
        <w:t xml:space="preserve"> asub ostja ja müüja vahele sellisel viisil, et ei võta ostu- ja müügitehingu samaaegsel </w:t>
      </w:r>
      <w:r w:rsidR="00C1579C">
        <w:rPr>
          <w:sz w:val="22"/>
          <w:szCs w:val="22"/>
        </w:rPr>
        <w:t>tegemisel</w:t>
      </w:r>
      <w:r w:rsidR="00D44B2C" w:rsidRPr="005A55CA">
        <w:rPr>
          <w:sz w:val="22"/>
          <w:szCs w:val="22"/>
        </w:rPr>
        <w:t xml:space="preserve"> tururiski ning tehing tehakse hinnaga, mille arvelt tehingu </w:t>
      </w:r>
      <w:r w:rsidR="00C1579C">
        <w:rPr>
          <w:sz w:val="22"/>
          <w:szCs w:val="22"/>
        </w:rPr>
        <w:t>tegija</w:t>
      </w:r>
      <w:r w:rsidR="00D44B2C" w:rsidRPr="005A55CA">
        <w:rPr>
          <w:sz w:val="22"/>
          <w:szCs w:val="22"/>
        </w:rPr>
        <w:t xml:space="preserve"> ei saa kasu ega kahju, välja arvatud eelnevalt avaldatud </w:t>
      </w:r>
      <w:r w:rsidR="00155C29" w:rsidRPr="005A55CA">
        <w:rPr>
          <w:sz w:val="22"/>
          <w:szCs w:val="22"/>
        </w:rPr>
        <w:t>vahendus-, teenus- või muu tasu (</w:t>
      </w:r>
      <w:r w:rsidRPr="005A55CA">
        <w:rPr>
          <w:b/>
          <w:sz w:val="22"/>
          <w:szCs w:val="22"/>
        </w:rPr>
        <w:t xml:space="preserve">lõige </w:t>
      </w:r>
      <w:r w:rsidR="00812D22">
        <w:rPr>
          <w:b/>
          <w:sz w:val="22"/>
          <w:szCs w:val="22"/>
        </w:rPr>
        <w:t>8</w:t>
      </w:r>
      <w:r w:rsidR="00155C29" w:rsidRPr="005A55CA">
        <w:rPr>
          <w:sz w:val="22"/>
          <w:szCs w:val="22"/>
        </w:rPr>
        <w:t>).</w:t>
      </w:r>
      <w:r w:rsidR="00A1190F">
        <w:rPr>
          <w:sz w:val="22"/>
          <w:szCs w:val="22"/>
        </w:rPr>
        <w:t xml:space="preserve"> Lõikes 7 sätestatud erandi kohaselt ei kohaldata oma arvel kauplemise piirangut juhul, kui huvide konflikt on piisavalt maandatud ning kui klient on andnud selleks eelneva nõusoleku, sealhulgas juhul, kui teenuseosutaja kaupleb oma arvel ostu- ja müügihuvide sobitamisel. </w:t>
      </w:r>
    </w:p>
    <w:p w14:paraId="54BDADFC" w14:textId="77777777" w:rsidR="00D44B2C" w:rsidRPr="005A55CA" w:rsidRDefault="00D44B2C" w:rsidP="00D375E5">
      <w:pPr>
        <w:shd w:val="clear" w:color="auto" w:fill="FFFFFF"/>
        <w:spacing w:before="0"/>
        <w:rPr>
          <w:sz w:val="22"/>
          <w:szCs w:val="22"/>
        </w:rPr>
      </w:pPr>
    </w:p>
    <w:p w14:paraId="0BC88D78" w14:textId="74BCE726" w:rsidR="00D44B2C" w:rsidRPr="005A55CA" w:rsidRDefault="005501BE" w:rsidP="00D375E5">
      <w:pPr>
        <w:shd w:val="clear" w:color="auto" w:fill="FFFFFF"/>
        <w:spacing w:before="0"/>
        <w:rPr>
          <w:sz w:val="22"/>
          <w:szCs w:val="22"/>
        </w:rPr>
      </w:pPr>
      <w:r w:rsidRPr="005A55CA">
        <w:rPr>
          <w:b/>
          <w:sz w:val="22"/>
          <w:szCs w:val="22"/>
        </w:rPr>
        <w:t xml:space="preserve">Lõigete </w:t>
      </w:r>
      <w:r w:rsidR="00C1579C">
        <w:rPr>
          <w:b/>
          <w:sz w:val="22"/>
          <w:szCs w:val="22"/>
        </w:rPr>
        <w:t>9</w:t>
      </w:r>
      <w:r w:rsidRPr="005A55CA">
        <w:rPr>
          <w:b/>
          <w:sz w:val="22"/>
          <w:szCs w:val="22"/>
        </w:rPr>
        <w:t xml:space="preserve"> </w:t>
      </w:r>
      <w:r w:rsidRPr="005A55CA">
        <w:rPr>
          <w:sz w:val="22"/>
          <w:szCs w:val="22"/>
        </w:rPr>
        <w:t>ja</w:t>
      </w:r>
      <w:r w:rsidRPr="005A55CA">
        <w:rPr>
          <w:b/>
          <w:sz w:val="22"/>
          <w:szCs w:val="22"/>
        </w:rPr>
        <w:t xml:space="preserve"> </w:t>
      </w:r>
      <w:r w:rsidR="00C1579C">
        <w:rPr>
          <w:b/>
          <w:sz w:val="22"/>
          <w:szCs w:val="22"/>
        </w:rPr>
        <w:t>10</w:t>
      </w:r>
      <w:r w:rsidR="00155C29" w:rsidRPr="005A55CA">
        <w:rPr>
          <w:b/>
          <w:sz w:val="22"/>
          <w:szCs w:val="22"/>
        </w:rPr>
        <w:t xml:space="preserve"> </w:t>
      </w:r>
      <w:r w:rsidR="00155C29" w:rsidRPr="005A55CA">
        <w:rPr>
          <w:sz w:val="22"/>
          <w:szCs w:val="22"/>
        </w:rPr>
        <w:t>kohaselt tuleb finantsvahendusplatvormi haldaval teenuseosutajal rakendada igakülgseid</w:t>
      </w:r>
      <w:r w:rsidR="00D44B2C" w:rsidRPr="005A55CA">
        <w:rPr>
          <w:sz w:val="22"/>
          <w:szCs w:val="22"/>
        </w:rPr>
        <w:t xml:space="preserve"> meetmeid, et tagada finantsvahendusplatvormi tehingute tegemise süsteemi töökindlus, piisav võimsus korralduste ja sõnumite tippmahtudega toimetulekuks, korrapärane toimimine pingelises olukorras ning tehingute künniseid ja -piirmäärasid ületavate või selgelt ekslike korralduste tagasilükkamine</w:t>
      </w:r>
      <w:r w:rsidR="0079410B">
        <w:rPr>
          <w:sz w:val="22"/>
          <w:szCs w:val="22"/>
        </w:rPr>
        <w:t xml:space="preserve"> ning turukuritarvitamise tuvastamine ja ärahoidmine</w:t>
      </w:r>
      <w:r w:rsidR="00D44B2C" w:rsidRPr="005A55CA">
        <w:rPr>
          <w:sz w:val="22"/>
          <w:szCs w:val="22"/>
        </w:rPr>
        <w:t>.</w:t>
      </w:r>
      <w:r w:rsidR="00155C29" w:rsidRPr="005A55CA">
        <w:rPr>
          <w:sz w:val="22"/>
          <w:szCs w:val="22"/>
        </w:rPr>
        <w:t xml:space="preserve"> Eelneva kindlustamiseks on vajalik süsteeme igakülgselt testida, et veenduda süsteemide vastavuses eeltoodud nõuetega, ning ette näha plaan, mis tagab teenuste jätkuvust süsteemi tõrgete korral.</w:t>
      </w:r>
      <w:r w:rsidR="00C1579C">
        <w:rPr>
          <w:sz w:val="22"/>
          <w:szCs w:val="22"/>
        </w:rPr>
        <w:t xml:space="preserve"> „Pingelise olukorra“ all on mõeldud tavapärase majandustegevuse raames harvaesinevaid olukordi, sh suuri korralduste mahte, järsku hinnaliikumist ning turu järsku liikumist.</w:t>
      </w:r>
    </w:p>
    <w:p w14:paraId="5CFE61FC" w14:textId="0C7FE8EE" w:rsidR="00D44B2C" w:rsidRPr="005A55CA" w:rsidRDefault="00D44B2C" w:rsidP="00D375E5">
      <w:pPr>
        <w:shd w:val="clear" w:color="auto" w:fill="FFFFFF"/>
        <w:spacing w:before="0"/>
        <w:rPr>
          <w:sz w:val="22"/>
          <w:szCs w:val="22"/>
        </w:rPr>
      </w:pPr>
    </w:p>
    <w:p w14:paraId="2601E82D" w14:textId="0DFCA1CE" w:rsidR="00D44B2C" w:rsidRDefault="00155C29" w:rsidP="00D375E5">
      <w:pPr>
        <w:shd w:val="clear" w:color="auto" w:fill="FFFFFF"/>
        <w:spacing w:before="0"/>
        <w:rPr>
          <w:sz w:val="22"/>
          <w:szCs w:val="22"/>
        </w:rPr>
      </w:pPr>
      <w:r w:rsidRPr="005A55CA">
        <w:rPr>
          <w:b/>
          <w:sz w:val="22"/>
          <w:szCs w:val="22"/>
        </w:rPr>
        <w:t>Lõikes 1</w:t>
      </w:r>
      <w:r w:rsidR="00C1579C">
        <w:rPr>
          <w:b/>
          <w:sz w:val="22"/>
          <w:szCs w:val="22"/>
        </w:rPr>
        <w:t>1</w:t>
      </w:r>
      <w:r w:rsidRPr="005A55CA">
        <w:rPr>
          <w:sz w:val="22"/>
          <w:szCs w:val="22"/>
        </w:rPr>
        <w:t xml:space="preserve"> on ette nähtud volitusnorm v</w:t>
      </w:r>
      <w:r w:rsidR="00D44B2C" w:rsidRPr="005A55CA">
        <w:rPr>
          <w:sz w:val="22"/>
          <w:szCs w:val="22"/>
        </w:rPr>
        <w:t>astava valdkonna minist</w:t>
      </w:r>
      <w:r w:rsidRPr="005A55CA">
        <w:rPr>
          <w:sz w:val="22"/>
          <w:szCs w:val="22"/>
        </w:rPr>
        <w:t>ri jaoks, kes võib kehtestada määrusega</w:t>
      </w:r>
      <w:r w:rsidR="00D44B2C" w:rsidRPr="005A55CA">
        <w:rPr>
          <w:sz w:val="22"/>
          <w:szCs w:val="22"/>
        </w:rPr>
        <w:t xml:space="preserve"> täpsemad nõuded finantsvahendusplatvormil tehingute tegemise</w:t>
      </w:r>
      <w:r w:rsidR="00934290">
        <w:rPr>
          <w:sz w:val="22"/>
          <w:szCs w:val="22"/>
        </w:rPr>
        <w:t>le</w:t>
      </w:r>
      <w:r w:rsidR="00D44B2C" w:rsidRPr="005A55CA">
        <w:rPr>
          <w:sz w:val="22"/>
          <w:szCs w:val="22"/>
        </w:rPr>
        <w:t>.</w:t>
      </w:r>
    </w:p>
    <w:p w14:paraId="0C128602" w14:textId="53E6A475" w:rsidR="00C23D02" w:rsidRDefault="00C23D02" w:rsidP="00D375E5">
      <w:pPr>
        <w:shd w:val="clear" w:color="auto" w:fill="FFFFFF"/>
        <w:spacing w:before="0"/>
        <w:rPr>
          <w:sz w:val="22"/>
          <w:szCs w:val="22"/>
        </w:rPr>
      </w:pPr>
    </w:p>
    <w:p w14:paraId="6EE710BE" w14:textId="2B7E7327" w:rsidR="00F9339D" w:rsidRPr="00F9339D" w:rsidRDefault="00F9339D" w:rsidP="00F9339D">
      <w:pPr>
        <w:shd w:val="clear" w:color="auto" w:fill="FFFFFF"/>
        <w:spacing w:before="0"/>
        <w:rPr>
          <w:sz w:val="22"/>
          <w:szCs w:val="22"/>
        </w:rPr>
      </w:pPr>
      <w:r>
        <w:rPr>
          <w:b/>
          <w:bCs/>
          <w:sz w:val="22"/>
          <w:szCs w:val="22"/>
        </w:rPr>
        <w:t xml:space="preserve">Paragrahv 41 </w:t>
      </w:r>
      <w:r>
        <w:rPr>
          <w:sz w:val="22"/>
          <w:szCs w:val="22"/>
        </w:rPr>
        <w:t xml:space="preserve">sätestab nõuded </w:t>
      </w:r>
      <w:proofErr w:type="spellStart"/>
      <w:r>
        <w:rPr>
          <w:sz w:val="22"/>
          <w:szCs w:val="22"/>
        </w:rPr>
        <w:t>krüptovara</w:t>
      </w:r>
      <w:proofErr w:type="spellEnd"/>
      <w:r>
        <w:rPr>
          <w:sz w:val="22"/>
          <w:szCs w:val="22"/>
        </w:rPr>
        <w:t xml:space="preserve"> registreerimisele hajusraamatu- või muu turvalisel tehnoloogial põhineva süsteemi abil</w:t>
      </w:r>
      <w:r w:rsidRPr="005A55CA">
        <w:rPr>
          <w:sz w:val="22"/>
          <w:szCs w:val="22"/>
        </w:rPr>
        <w:t xml:space="preserve"> ning </w:t>
      </w:r>
      <w:r>
        <w:rPr>
          <w:sz w:val="22"/>
          <w:szCs w:val="22"/>
        </w:rPr>
        <w:t xml:space="preserve">selgitab </w:t>
      </w:r>
      <w:r w:rsidRPr="005A55CA">
        <w:rPr>
          <w:sz w:val="22"/>
          <w:szCs w:val="22"/>
        </w:rPr>
        <w:t xml:space="preserve">registreerimiskande õiguslikku tähendust. </w:t>
      </w:r>
      <w:proofErr w:type="spellStart"/>
      <w:r>
        <w:rPr>
          <w:sz w:val="22"/>
          <w:szCs w:val="22"/>
        </w:rPr>
        <w:t>Krüptovara</w:t>
      </w:r>
      <w:proofErr w:type="spellEnd"/>
      <w:r w:rsidRPr="005A55CA">
        <w:rPr>
          <w:sz w:val="22"/>
          <w:szCs w:val="22"/>
        </w:rPr>
        <w:t xml:space="preserve"> registreerimise erikohtlemine tuleneb </w:t>
      </w:r>
      <w:proofErr w:type="spellStart"/>
      <w:r>
        <w:rPr>
          <w:sz w:val="22"/>
          <w:szCs w:val="22"/>
        </w:rPr>
        <w:t>krüptovara</w:t>
      </w:r>
      <w:proofErr w:type="spellEnd"/>
      <w:r w:rsidRPr="005A55CA">
        <w:rPr>
          <w:sz w:val="22"/>
          <w:szCs w:val="22"/>
        </w:rPr>
        <w:t xml:space="preserve"> tehnoloogilisest eripärast, st nimetatud instrumentidel on juba täna kasutusel süsteemid, kus kannete õigsuse üle ei otsusta ja neid ei kinnita üks keskne isik või asutus, vaid kandeid kinnitavad teised samas süsteemis osalejad.</w:t>
      </w:r>
    </w:p>
    <w:p w14:paraId="317A4661" w14:textId="77777777" w:rsidR="00F9339D" w:rsidRPr="005A55CA" w:rsidRDefault="00F9339D" w:rsidP="00F9339D">
      <w:pPr>
        <w:spacing w:before="0"/>
        <w:rPr>
          <w:b/>
          <w:sz w:val="22"/>
          <w:szCs w:val="22"/>
        </w:rPr>
      </w:pPr>
    </w:p>
    <w:p w14:paraId="3AEACCBB" w14:textId="69247D8A" w:rsidR="00F9339D" w:rsidRPr="005A55CA" w:rsidRDefault="00F9339D" w:rsidP="00F9339D">
      <w:pPr>
        <w:spacing w:before="0"/>
        <w:rPr>
          <w:sz w:val="22"/>
          <w:szCs w:val="22"/>
        </w:rPr>
      </w:pPr>
      <w:r w:rsidRPr="005A55CA">
        <w:rPr>
          <w:b/>
          <w:sz w:val="22"/>
          <w:szCs w:val="22"/>
        </w:rPr>
        <w:t xml:space="preserve">Lõike 1 </w:t>
      </w:r>
      <w:r w:rsidRPr="005A55CA">
        <w:rPr>
          <w:sz w:val="22"/>
          <w:szCs w:val="22"/>
        </w:rPr>
        <w:t xml:space="preserve">kohaselt tekivad </w:t>
      </w:r>
      <w:proofErr w:type="spellStart"/>
      <w:r>
        <w:rPr>
          <w:sz w:val="22"/>
          <w:szCs w:val="22"/>
        </w:rPr>
        <w:t>krüptovara</w:t>
      </w:r>
      <w:proofErr w:type="spellEnd"/>
      <w:r w:rsidRPr="005A55CA">
        <w:rPr>
          <w:sz w:val="22"/>
          <w:szCs w:val="22"/>
        </w:rPr>
        <w:t xml:space="preserve"> omanikule </w:t>
      </w:r>
      <w:proofErr w:type="spellStart"/>
      <w:r>
        <w:rPr>
          <w:sz w:val="22"/>
          <w:szCs w:val="22"/>
        </w:rPr>
        <w:t>krüptovaraga</w:t>
      </w:r>
      <w:proofErr w:type="spellEnd"/>
      <w:r w:rsidRPr="005A55CA">
        <w:rPr>
          <w:sz w:val="22"/>
          <w:szCs w:val="22"/>
        </w:rPr>
        <w:t xml:space="preserve"> seotud õigused </w:t>
      </w:r>
      <w:r>
        <w:rPr>
          <w:sz w:val="22"/>
          <w:szCs w:val="22"/>
        </w:rPr>
        <w:t>pärast vastava vara</w:t>
      </w:r>
      <w:r w:rsidRPr="005A55CA">
        <w:rPr>
          <w:sz w:val="22"/>
          <w:szCs w:val="22"/>
        </w:rPr>
        <w:t xml:space="preserve"> ülemineku kohta kande kinnitamisega hajusraamatusüsteemi või muus turvalisel tehnoloogial põhinevas süsteemi</w:t>
      </w:r>
      <w:r>
        <w:rPr>
          <w:sz w:val="22"/>
          <w:szCs w:val="22"/>
        </w:rPr>
        <w:t>s, kui seadusest ei tulene teisiti</w:t>
      </w:r>
      <w:r w:rsidRPr="005A55CA">
        <w:rPr>
          <w:sz w:val="22"/>
          <w:szCs w:val="22"/>
        </w:rPr>
        <w:t xml:space="preserve">. </w:t>
      </w:r>
      <w:r>
        <w:rPr>
          <w:sz w:val="22"/>
          <w:szCs w:val="22"/>
        </w:rPr>
        <w:t xml:space="preserve">Tegemist on normiga, mis käsitleb </w:t>
      </w:r>
      <w:proofErr w:type="spellStart"/>
      <w:r>
        <w:rPr>
          <w:sz w:val="22"/>
          <w:szCs w:val="22"/>
        </w:rPr>
        <w:t>krüptovaraga</w:t>
      </w:r>
      <w:proofErr w:type="spellEnd"/>
      <w:r>
        <w:rPr>
          <w:sz w:val="22"/>
          <w:szCs w:val="22"/>
        </w:rPr>
        <w:t xml:space="preserve"> seotud õiguste ülemineku hetke. Lõikest 1 lähtuvalt ei ole </w:t>
      </w:r>
      <w:proofErr w:type="spellStart"/>
      <w:r>
        <w:rPr>
          <w:sz w:val="22"/>
          <w:szCs w:val="22"/>
        </w:rPr>
        <w:t>krüptovara</w:t>
      </w:r>
      <w:proofErr w:type="spellEnd"/>
      <w:r>
        <w:rPr>
          <w:sz w:val="22"/>
          <w:szCs w:val="22"/>
        </w:rPr>
        <w:t xml:space="preserve"> puhul vajalik näiteks äriregistri või muu registri poolt tehtava kande jõustumist, et loetaks </w:t>
      </w:r>
      <w:proofErr w:type="spellStart"/>
      <w:r>
        <w:rPr>
          <w:sz w:val="22"/>
          <w:szCs w:val="22"/>
        </w:rPr>
        <w:t>tokeniga</w:t>
      </w:r>
      <w:proofErr w:type="spellEnd"/>
      <w:r>
        <w:rPr>
          <w:sz w:val="22"/>
          <w:szCs w:val="22"/>
        </w:rPr>
        <w:t xml:space="preserve"> seotud õiguste üleminek kehtivaks, vaid kanne hajusraamatusüsteemis või muus turvalisel tehnoloogial põhinevas süsteemis tõendabki </w:t>
      </w:r>
      <w:proofErr w:type="spellStart"/>
      <w:r>
        <w:rPr>
          <w:sz w:val="22"/>
          <w:szCs w:val="22"/>
        </w:rPr>
        <w:t>krüptovara</w:t>
      </w:r>
      <w:proofErr w:type="spellEnd"/>
      <w:r>
        <w:rPr>
          <w:sz w:val="22"/>
          <w:szCs w:val="22"/>
        </w:rPr>
        <w:t xml:space="preserve"> omandi üleminekut. Samas aga on lõikes 1 sätestatud erand, mille järgi ei kohaldata samas lõikes sätestatut, kui seadusest tuleneb teisiti. Sellega soovitakse välistada vastuolu teiste </w:t>
      </w:r>
      <w:proofErr w:type="spellStart"/>
      <w:r>
        <w:rPr>
          <w:sz w:val="22"/>
          <w:szCs w:val="22"/>
        </w:rPr>
        <w:t>üldseaduste</w:t>
      </w:r>
      <w:proofErr w:type="spellEnd"/>
      <w:r>
        <w:rPr>
          <w:sz w:val="22"/>
          <w:szCs w:val="22"/>
        </w:rPr>
        <w:t xml:space="preserve"> sätetega (eeskätt ÄS § 149 ja § 150), mis </w:t>
      </w:r>
      <w:r w:rsidR="00947A43">
        <w:rPr>
          <w:sz w:val="22"/>
          <w:szCs w:val="22"/>
        </w:rPr>
        <w:t xml:space="preserve">teatud </w:t>
      </w:r>
      <w:proofErr w:type="spellStart"/>
      <w:r w:rsidR="00947A43">
        <w:rPr>
          <w:sz w:val="22"/>
          <w:szCs w:val="22"/>
        </w:rPr>
        <w:t>krüptovaradele</w:t>
      </w:r>
      <w:proofErr w:type="spellEnd"/>
      <w:r w:rsidR="00947A43">
        <w:rPr>
          <w:sz w:val="22"/>
          <w:szCs w:val="22"/>
        </w:rPr>
        <w:t xml:space="preserve"> </w:t>
      </w:r>
      <w:r>
        <w:rPr>
          <w:sz w:val="22"/>
          <w:szCs w:val="22"/>
        </w:rPr>
        <w:t xml:space="preserve">(st osaühingu osadele) võivad kohalduda. </w:t>
      </w:r>
      <w:r w:rsidR="00020315">
        <w:rPr>
          <w:sz w:val="22"/>
          <w:szCs w:val="22"/>
        </w:rPr>
        <w:t>Samuti tuleb lähtuda ka muudes seadustes, sh asjaõigusseaduses, sätestatud õiguste tekkimise sätetest.</w:t>
      </w:r>
    </w:p>
    <w:p w14:paraId="5CBD0570" w14:textId="77777777" w:rsidR="00F9339D" w:rsidRPr="005A55CA" w:rsidRDefault="00F9339D" w:rsidP="00F9339D">
      <w:pPr>
        <w:spacing w:before="0"/>
        <w:rPr>
          <w:sz w:val="22"/>
          <w:szCs w:val="22"/>
        </w:rPr>
      </w:pPr>
    </w:p>
    <w:p w14:paraId="5A867BEB" w14:textId="36D41305" w:rsidR="00F9339D" w:rsidRPr="005A55CA" w:rsidRDefault="00F9339D" w:rsidP="00F9339D">
      <w:pPr>
        <w:spacing w:before="0"/>
        <w:rPr>
          <w:sz w:val="22"/>
          <w:szCs w:val="22"/>
        </w:rPr>
      </w:pPr>
      <w:r w:rsidRPr="005A55CA">
        <w:rPr>
          <w:b/>
          <w:sz w:val="22"/>
          <w:szCs w:val="22"/>
        </w:rPr>
        <w:t xml:space="preserve">Lõike </w:t>
      </w:r>
      <w:r>
        <w:rPr>
          <w:b/>
          <w:sz w:val="22"/>
          <w:szCs w:val="22"/>
        </w:rPr>
        <w:t>2</w:t>
      </w:r>
      <w:r w:rsidRPr="005A55CA">
        <w:rPr>
          <w:b/>
          <w:sz w:val="22"/>
          <w:szCs w:val="22"/>
        </w:rPr>
        <w:t xml:space="preserve"> </w:t>
      </w:r>
      <w:r w:rsidRPr="005A55CA">
        <w:rPr>
          <w:sz w:val="22"/>
          <w:szCs w:val="22"/>
        </w:rPr>
        <w:t xml:space="preserve">järgi loetakse kolmandate isikute suhtes </w:t>
      </w:r>
      <w:proofErr w:type="spellStart"/>
      <w:r w:rsidR="00020315">
        <w:rPr>
          <w:sz w:val="22"/>
          <w:szCs w:val="22"/>
        </w:rPr>
        <w:t>krüptovaraga</w:t>
      </w:r>
      <w:proofErr w:type="spellEnd"/>
      <w:r w:rsidRPr="005A55CA">
        <w:rPr>
          <w:sz w:val="22"/>
          <w:szCs w:val="22"/>
        </w:rPr>
        <w:t xml:space="preserve"> seotud õigused kehtivaks selle kohta kande kinnitamisega turvalisel tehnoloogial põhinevasse süsteemi. </w:t>
      </w:r>
      <w:r>
        <w:rPr>
          <w:sz w:val="22"/>
          <w:szCs w:val="22"/>
        </w:rPr>
        <w:t xml:space="preserve">Eelnimetatud kande puhul on silmas peetud </w:t>
      </w:r>
      <w:proofErr w:type="spellStart"/>
      <w:r w:rsidR="00020315">
        <w:rPr>
          <w:sz w:val="22"/>
          <w:szCs w:val="22"/>
        </w:rPr>
        <w:t>krüptovara</w:t>
      </w:r>
      <w:proofErr w:type="spellEnd"/>
      <w:r>
        <w:rPr>
          <w:sz w:val="22"/>
          <w:szCs w:val="22"/>
        </w:rPr>
        <w:t xml:space="preserve"> võõrandamisega tekkivat kannet (vt lisaks lõike 1 selgitusi).</w:t>
      </w:r>
    </w:p>
    <w:p w14:paraId="22B70C06" w14:textId="77777777" w:rsidR="00F9339D" w:rsidRPr="005A55CA" w:rsidRDefault="00F9339D" w:rsidP="00F9339D">
      <w:pPr>
        <w:spacing w:before="0"/>
        <w:rPr>
          <w:sz w:val="22"/>
          <w:szCs w:val="22"/>
        </w:rPr>
      </w:pPr>
    </w:p>
    <w:p w14:paraId="63550A1C" w14:textId="2E88B19E" w:rsidR="00F9339D" w:rsidRPr="005A55CA" w:rsidRDefault="00F9339D" w:rsidP="00F9339D">
      <w:pPr>
        <w:spacing w:before="0"/>
        <w:rPr>
          <w:sz w:val="22"/>
          <w:szCs w:val="22"/>
        </w:rPr>
      </w:pPr>
      <w:r w:rsidRPr="005A55CA">
        <w:rPr>
          <w:b/>
          <w:sz w:val="22"/>
          <w:szCs w:val="22"/>
        </w:rPr>
        <w:t xml:space="preserve">Lõikes </w:t>
      </w:r>
      <w:r w:rsidR="00020315">
        <w:rPr>
          <w:b/>
          <w:sz w:val="22"/>
          <w:szCs w:val="22"/>
        </w:rPr>
        <w:t>3</w:t>
      </w:r>
      <w:r w:rsidRPr="005A55CA">
        <w:rPr>
          <w:b/>
          <w:sz w:val="22"/>
          <w:szCs w:val="22"/>
        </w:rPr>
        <w:t xml:space="preserve"> </w:t>
      </w:r>
      <w:r w:rsidRPr="005A55CA">
        <w:rPr>
          <w:sz w:val="22"/>
          <w:szCs w:val="22"/>
        </w:rPr>
        <w:t xml:space="preserve">on sätestatud, et </w:t>
      </w:r>
      <w:r w:rsidR="00AB065E">
        <w:rPr>
          <w:sz w:val="22"/>
          <w:szCs w:val="22"/>
        </w:rPr>
        <w:t>hajusraamatu</w:t>
      </w:r>
      <w:r w:rsidRPr="005A55CA">
        <w:rPr>
          <w:sz w:val="22"/>
          <w:szCs w:val="22"/>
        </w:rPr>
        <w:t xml:space="preserve"> süsteem peab tagama </w:t>
      </w:r>
      <w:proofErr w:type="spellStart"/>
      <w:r w:rsidR="00AB065E">
        <w:rPr>
          <w:sz w:val="22"/>
          <w:szCs w:val="22"/>
        </w:rPr>
        <w:t>krüptovara</w:t>
      </w:r>
      <w:proofErr w:type="spellEnd"/>
      <w:r w:rsidRPr="005A55CA">
        <w:rPr>
          <w:sz w:val="22"/>
          <w:szCs w:val="22"/>
        </w:rPr>
        <w:t xml:space="preserve"> ja </w:t>
      </w:r>
      <w:r w:rsidR="00AB065E">
        <w:rPr>
          <w:sz w:val="22"/>
          <w:szCs w:val="22"/>
        </w:rPr>
        <w:t>selle</w:t>
      </w:r>
      <w:r w:rsidRPr="005A55CA">
        <w:rPr>
          <w:sz w:val="22"/>
          <w:szCs w:val="22"/>
        </w:rPr>
        <w:t xml:space="preserve"> omanike ning piirangute kohta teabe digitaalse esitamise ja avalikustamise ning </w:t>
      </w:r>
      <w:proofErr w:type="spellStart"/>
      <w:r w:rsidR="00AB065E">
        <w:rPr>
          <w:sz w:val="22"/>
          <w:szCs w:val="22"/>
        </w:rPr>
        <w:t>krüptovaraga</w:t>
      </w:r>
      <w:proofErr w:type="spellEnd"/>
      <w:r w:rsidRPr="005A55CA">
        <w:rPr>
          <w:sz w:val="22"/>
          <w:szCs w:val="22"/>
        </w:rPr>
        <w:t xml:space="preserve"> tehtud tehingute kohta terviklike andmete esitamise ja säilimise muutumatul kujul tähtajatult.</w:t>
      </w:r>
    </w:p>
    <w:p w14:paraId="5071BC65" w14:textId="77777777" w:rsidR="00F9339D" w:rsidRPr="005A55CA" w:rsidRDefault="00F9339D" w:rsidP="00F9339D">
      <w:pPr>
        <w:spacing w:before="0"/>
        <w:rPr>
          <w:sz w:val="22"/>
          <w:szCs w:val="22"/>
        </w:rPr>
      </w:pPr>
    </w:p>
    <w:p w14:paraId="365561EF" w14:textId="7CCBC580" w:rsidR="00F9339D" w:rsidRPr="00C102E2" w:rsidRDefault="00F9339D" w:rsidP="00F9339D">
      <w:pPr>
        <w:spacing w:before="0"/>
        <w:rPr>
          <w:sz w:val="22"/>
          <w:szCs w:val="22"/>
        </w:rPr>
      </w:pPr>
      <w:r w:rsidRPr="00C102E2">
        <w:rPr>
          <w:b/>
          <w:sz w:val="22"/>
          <w:szCs w:val="22"/>
        </w:rPr>
        <w:t xml:space="preserve">Lõike </w:t>
      </w:r>
      <w:r w:rsidR="00AB065E">
        <w:rPr>
          <w:b/>
          <w:sz w:val="22"/>
          <w:szCs w:val="22"/>
        </w:rPr>
        <w:t>4</w:t>
      </w:r>
      <w:r w:rsidRPr="00C102E2">
        <w:rPr>
          <w:b/>
          <w:sz w:val="22"/>
          <w:szCs w:val="22"/>
        </w:rPr>
        <w:t xml:space="preserve"> </w:t>
      </w:r>
      <w:r w:rsidR="00AB065E">
        <w:rPr>
          <w:bCs/>
          <w:sz w:val="22"/>
          <w:szCs w:val="22"/>
        </w:rPr>
        <w:t xml:space="preserve">järgi on hajusraamatu süsteemis kajastatavad andmed </w:t>
      </w:r>
      <w:proofErr w:type="spellStart"/>
      <w:r w:rsidR="00AB065E">
        <w:rPr>
          <w:bCs/>
          <w:sz w:val="22"/>
          <w:szCs w:val="22"/>
        </w:rPr>
        <w:t>krüptovaraga</w:t>
      </w:r>
      <w:proofErr w:type="spellEnd"/>
      <w:r w:rsidR="00AB065E">
        <w:rPr>
          <w:bCs/>
          <w:sz w:val="22"/>
          <w:szCs w:val="22"/>
        </w:rPr>
        <w:t xml:space="preserve"> tehtud tehingute kohta avalikud ning kasutatav tehnoloogia peab tagama igaühele õiguse nendega tutvuda. </w:t>
      </w:r>
    </w:p>
    <w:p w14:paraId="55AEAEC8" w14:textId="77777777" w:rsidR="00C1579C" w:rsidRDefault="00C1579C" w:rsidP="00D375E5">
      <w:pPr>
        <w:shd w:val="clear" w:color="auto" w:fill="FFFFFF"/>
        <w:spacing w:before="0"/>
        <w:rPr>
          <w:sz w:val="22"/>
          <w:szCs w:val="22"/>
        </w:rPr>
      </w:pPr>
    </w:p>
    <w:p w14:paraId="17C671F8" w14:textId="6503A7A7" w:rsidR="00C1579C" w:rsidRPr="005A55CA" w:rsidRDefault="00C1579C" w:rsidP="00C1579C">
      <w:pPr>
        <w:spacing w:before="0"/>
        <w:rPr>
          <w:sz w:val="22"/>
          <w:szCs w:val="22"/>
        </w:rPr>
      </w:pPr>
      <w:r w:rsidRPr="005A55CA">
        <w:rPr>
          <w:b/>
          <w:sz w:val="22"/>
          <w:szCs w:val="22"/>
        </w:rPr>
        <w:t xml:space="preserve">Paragrahv </w:t>
      </w:r>
      <w:r>
        <w:rPr>
          <w:b/>
          <w:sz w:val="22"/>
          <w:szCs w:val="22"/>
        </w:rPr>
        <w:t>42</w:t>
      </w:r>
      <w:r w:rsidRPr="005A55CA">
        <w:rPr>
          <w:b/>
          <w:sz w:val="22"/>
          <w:szCs w:val="22"/>
        </w:rPr>
        <w:t xml:space="preserve"> </w:t>
      </w:r>
      <w:r w:rsidRPr="005A55CA">
        <w:rPr>
          <w:sz w:val="22"/>
          <w:szCs w:val="22"/>
        </w:rPr>
        <w:t>reguleerib kliendi kaebuse lahendamist ja kliendi kaebusele vastamist. Paragrahv põhineb suuremas osas</w:t>
      </w:r>
      <w:r>
        <w:rPr>
          <w:sz w:val="22"/>
          <w:szCs w:val="22"/>
        </w:rPr>
        <w:t xml:space="preserve"> </w:t>
      </w:r>
      <w:r w:rsidRPr="00EE18FA">
        <w:rPr>
          <w:sz w:val="22"/>
          <w:szCs w:val="22"/>
        </w:rPr>
        <w:t xml:space="preserve">EL </w:t>
      </w:r>
      <w:proofErr w:type="spellStart"/>
      <w:r w:rsidRPr="00EE18FA">
        <w:rPr>
          <w:sz w:val="22"/>
          <w:szCs w:val="22"/>
        </w:rPr>
        <w:t>ühisrahastusmääruse</w:t>
      </w:r>
      <w:proofErr w:type="spellEnd"/>
      <w:r w:rsidRPr="00EE18FA">
        <w:rPr>
          <w:sz w:val="22"/>
          <w:szCs w:val="22"/>
        </w:rPr>
        <w:t xml:space="preserve"> artikli 6 lõigetel 1-3</w:t>
      </w:r>
      <w:r w:rsidRPr="005A55CA">
        <w:rPr>
          <w:sz w:val="22"/>
          <w:szCs w:val="22"/>
        </w:rPr>
        <w:t>.</w:t>
      </w:r>
      <w:r w:rsidR="00AB065E">
        <w:rPr>
          <w:sz w:val="22"/>
          <w:szCs w:val="22"/>
        </w:rPr>
        <w:t xml:space="preserve"> Paragrahv puudutab neid </w:t>
      </w:r>
      <w:proofErr w:type="spellStart"/>
      <w:r w:rsidR="00AB065E">
        <w:rPr>
          <w:sz w:val="22"/>
          <w:szCs w:val="22"/>
        </w:rPr>
        <w:t>ühisrahastusteenuse</w:t>
      </w:r>
      <w:proofErr w:type="spellEnd"/>
      <w:r w:rsidR="00AB065E">
        <w:rPr>
          <w:sz w:val="22"/>
          <w:szCs w:val="22"/>
        </w:rPr>
        <w:t xml:space="preserve"> osutajaid, kellele EL </w:t>
      </w:r>
      <w:proofErr w:type="spellStart"/>
      <w:r w:rsidR="00AB065E">
        <w:rPr>
          <w:sz w:val="22"/>
          <w:szCs w:val="22"/>
        </w:rPr>
        <w:t>ühisrahastusmäärus</w:t>
      </w:r>
      <w:proofErr w:type="spellEnd"/>
      <w:r w:rsidR="00AB065E">
        <w:rPr>
          <w:sz w:val="22"/>
          <w:szCs w:val="22"/>
        </w:rPr>
        <w:t xml:space="preserve"> ei kohaldu, ning </w:t>
      </w:r>
      <w:proofErr w:type="spellStart"/>
      <w:r w:rsidR="00AB065E">
        <w:rPr>
          <w:sz w:val="22"/>
          <w:szCs w:val="22"/>
        </w:rPr>
        <w:t>krüptovarateenuse</w:t>
      </w:r>
      <w:proofErr w:type="spellEnd"/>
      <w:r w:rsidR="00AB065E">
        <w:rPr>
          <w:sz w:val="22"/>
          <w:szCs w:val="22"/>
        </w:rPr>
        <w:t xml:space="preserve"> osutajaid.</w:t>
      </w:r>
    </w:p>
    <w:p w14:paraId="330EFD3A" w14:textId="77777777" w:rsidR="00C1579C" w:rsidRPr="005A55CA" w:rsidRDefault="00C1579C" w:rsidP="00C1579C">
      <w:pPr>
        <w:spacing w:before="0"/>
        <w:rPr>
          <w:sz w:val="22"/>
          <w:szCs w:val="22"/>
        </w:rPr>
      </w:pPr>
    </w:p>
    <w:p w14:paraId="61157482" w14:textId="77777777" w:rsidR="00C1579C" w:rsidRPr="005A55CA" w:rsidRDefault="00C1579C" w:rsidP="00C1579C">
      <w:pPr>
        <w:spacing w:before="0"/>
        <w:rPr>
          <w:sz w:val="22"/>
          <w:szCs w:val="22"/>
        </w:rPr>
      </w:pPr>
      <w:r w:rsidRPr="005A55CA">
        <w:rPr>
          <w:b/>
          <w:sz w:val="22"/>
          <w:szCs w:val="22"/>
        </w:rPr>
        <w:t xml:space="preserve">Lõike 1 </w:t>
      </w:r>
      <w:r w:rsidRPr="005A55CA">
        <w:rPr>
          <w:sz w:val="22"/>
          <w:szCs w:val="22"/>
        </w:rPr>
        <w:t xml:space="preserve">kohaselt peab teenuseosutaja oma </w:t>
      </w:r>
      <w:proofErr w:type="spellStart"/>
      <w:r w:rsidRPr="005A55CA">
        <w:rPr>
          <w:sz w:val="22"/>
          <w:szCs w:val="22"/>
        </w:rPr>
        <w:t>sise</w:t>
      </w:r>
      <w:proofErr w:type="spellEnd"/>
      <w:r w:rsidRPr="005A55CA">
        <w:rPr>
          <w:sz w:val="22"/>
          <w:szCs w:val="22"/>
        </w:rPr>
        <w:t xml:space="preserve">-eeskirjadega kehtestama toimiva ja läbipaistva korra klientidelt saadud kaebuste mõistlikuks ja kiireks lahendamiseks. </w:t>
      </w:r>
    </w:p>
    <w:p w14:paraId="0F238249" w14:textId="77777777" w:rsidR="00C1579C" w:rsidRPr="005A55CA" w:rsidRDefault="00C1579C" w:rsidP="00C1579C">
      <w:pPr>
        <w:pStyle w:val="Heading2"/>
        <w:spacing w:before="0"/>
        <w:jc w:val="both"/>
        <w:rPr>
          <w:sz w:val="22"/>
          <w:szCs w:val="22"/>
        </w:rPr>
      </w:pPr>
    </w:p>
    <w:p w14:paraId="6049E2F0" w14:textId="77777777" w:rsidR="00C1579C" w:rsidRPr="005A55CA" w:rsidRDefault="00C1579C" w:rsidP="00C1579C">
      <w:pPr>
        <w:spacing w:before="0"/>
        <w:rPr>
          <w:sz w:val="22"/>
          <w:szCs w:val="22"/>
          <w:lang w:eastAsia="en-US"/>
        </w:rPr>
      </w:pPr>
      <w:r w:rsidRPr="005A55CA">
        <w:rPr>
          <w:b/>
          <w:sz w:val="22"/>
          <w:szCs w:val="22"/>
          <w:lang w:eastAsia="en-US"/>
        </w:rPr>
        <w:t xml:space="preserve">Lõike 2 </w:t>
      </w:r>
      <w:r w:rsidRPr="005A55CA">
        <w:rPr>
          <w:sz w:val="22"/>
          <w:szCs w:val="22"/>
          <w:lang w:eastAsia="en-US"/>
        </w:rPr>
        <w:t>kohaselt peab kliendil olema võimalik esitada teenuseosutajale kaebus tasuta. Teisisõnu ei tohi teenuseosutaja nõuda kaebuse esitajalt raha või muud varaliselt hinnatavat hüve enne kaebuse esitamist või kaebuse esitamise eest.</w:t>
      </w:r>
    </w:p>
    <w:p w14:paraId="0D9408C7" w14:textId="77777777" w:rsidR="00C1579C" w:rsidRPr="005A55CA" w:rsidRDefault="00C1579C" w:rsidP="00C1579C">
      <w:pPr>
        <w:spacing w:before="0"/>
        <w:rPr>
          <w:sz w:val="22"/>
          <w:szCs w:val="22"/>
        </w:rPr>
      </w:pPr>
    </w:p>
    <w:p w14:paraId="032169E0" w14:textId="77777777" w:rsidR="00C1579C" w:rsidRPr="005A55CA" w:rsidRDefault="00C1579C" w:rsidP="00C1579C">
      <w:pPr>
        <w:spacing w:before="0"/>
        <w:rPr>
          <w:sz w:val="22"/>
          <w:szCs w:val="22"/>
        </w:rPr>
      </w:pPr>
      <w:r w:rsidRPr="005A55CA">
        <w:rPr>
          <w:b/>
          <w:sz w:val="22"/>
          <w:szCs w:val="22"/>
        </w:rPr>
        <w:t xml:space="preserve">Lõike 3 </w:t>
      </w:r>
      <w:r w:rsidRPr="005A55CA">
        <w:rPr>
          <w:sz w:val="22"/>
          <w:szCs w:val="22"/>
        </w:rPr>
        <w:t>järgi avalikustab teenuseosutaja kaebuste lahendamise korra ja standardiseeritud kaebuse esitamise dokumendipõhja oma veebilehel. Kaebuste lahendamise korra avalikustamine peaks tagama kliendile ülevaate, kuidas, kelle poolt ja millise aja jooksul lahendatakse esitatud kaebus, ning kaebuse esitamise dokumendipõhja kättesaadavus peaks ühelt poolt lihtsustama kaebuse koostamist kliendi jaoks, ning teiselt poolt tagama parema ülevaate vaidluse esemest ning kliendi nõudest teenuseosutaja jaoks.</w:t>
      </w:r>
    </w:p>
    <w:p w14:paraId="33E776F7" w14:textId="77777777" w:rsidR="00C1579C" w:rsidRPr="005A55CA" w:rsidRDefault="00C1579C" w:rsidP="00C1579C">
      <w:pPr>
        <w:spacing w:before="0"/>
        <w:rPr>
          <w:sz w:val="22"/>
          <w:szCs w:val="22"/>
        </w:rPr>
      </w:pPr>
    </w:p>
    <w:p w14:paraId="51CBAB3D" w14:textId="77777777" w:rsidR="00C1579C" w:rsidRPr="005A55CA" w:rsidRDefault="00C1579C" w:rsidP="00C1579C">
      <w:pPr>
        <w:spacing w:before="0"/>
        <w:rPr>
          <w:sz w:val="22"/>
          <w:szCs w:val="22"/>
        </w:rPr>
      </w:pPr>
      <w:r w:rsidRPr="005A55CA">
        <w:rPr>
          <w:b/>
          <w:sz w:val="22"/>
          <w:szCs w:val="22"/>
        </w:rPr>
        <w:t xml:space="preserve">Lõige 4 </w:t>
      </w:r>
      <w:r w:rsidRPr="005A55CA">
        <w:rPr>
          <w:sz w:val="22"/>
          <w:szCs w:val="22"/>
        </w:rPr>
        <w:t>kohustab teenuseosutajat registreerima kõik saadud kaebused, säilitama asjaomast teavet esitatud kaebuste ja kaebustega tegelemiseks võetud meetmete ning kaebuste lahendamise tulemuste kohta.</w:t>
      </w:r>
    </w:p>
    <w:p w14:paraId="0D7514E9" w14:textId="77777777" w:rsidR="00C1579C" w:rsidRPr="005A55CA" w:rsidRDefault="00C1579C" w:rsidP="00C1579C">
      <w:pPr>
        <w:spacing w:before="0"/>
        <w:rPr>
          <w:sz w:val="22"/>
          <w:szCs w:val="22"/>
        </w:rPr>
      </w:pPr>
    </w:p>
    <w:p w14:paraId="5FAFE8A3" w14:textId="77777777" w:rsidR="00C1579C" w:rsidRPr="005A55CA" w:rsidRDefault="00C1579C" w:rsidP="00C1579C">
      <w:pPr>
        <w:spacing w:before="0"/>
        <w:rPr>
          <w:sz w:val="22"/>
          <w:szCs w:val="22"/>
        </w:rPr>
      </w:pPr>
      <w:r w:rsidRPr="005A55CA">
        <w:rPr>
          <w:b/>
          <w:sz w:val="22"/>
          <w:szCs w:val="22"/>
        </w:rPr>
        <w:t xml:space="preserve">Lõike </w:t>
      </w:r>
      <w:r>
        <w:rPr>
          <w:b/>
          <w:sz w:val="22"/>
          <w:szCs w:val="22"/>
        </w:rPr>
        <w:t>5</w:t>
      </w:r>
      <w:r w:rsidRPr="005A55CA">
        <w:rPr>
          <w:b/>
          <w:sz w:val="22"/>
          <w:szCs w:val="22"/>
        </w:rPr>
        <w:t xml:space="preserve"> </w:t>
      </w:r>
      <w:r w:rsidRPr="005A55CA">
        <w:rPr>
          <w:sz w:val="22"/>
          <w:szCs w:val="22"/>
        </w:rPr>
        <w:t>järgi on teenuseosutaja kohustatud vastama kliendi esitatud kaebusele kirjalikult või kirjalikku taasesitamist võimaldavas vormis ja teavitama klienti kaebuse võimalikust lahendusest mõistliku aja jooksul, kuid mitte hiljem kui 1</w:t>
      </w:r>
      <w:r>
        <w:rPr>
          <w:sz w:val="22"/>
          <w:szCs w:val="22"/>
        </w:rPr>
        <w:t>0</w:t>
      </w:r>
      <w:r w:rsidRPr="005A55CA">
        <w:rPr>
          <w:sz w:val="22"/>
          <w:szCs w:val="22"/>
        </w:rPr>
        <w:t> tööpäeva pärast kaebuse saamist. Kaebuse võimalik lahendus võib olla sealjuures pakutud kompromiss</w:t>
      </w:r>
      <w:r>
        <w:rPr>
          <w:sz w:val="22"/>
          <w:szCs w:val="22"/>
        </w:rPr>
        <w:t>, nõude rahuldamine</w:t>
      </w:r>
      <w:r w:rsidRPr="005A55CA">
        <w:rPr>
          <w:sz w:val="22"/>
          <w:szCs w:val="22"/>
        </w:rPr>
        <w:t xml:space="preserve"> või muu ettepanek vaidluse lõpetamiseks.</w:t>
      </w:r>
      <w:r>
        <w:rPr>
          <w:sz w:val="22"/>
          <w:szCs w:val="22"/>
        </w:rPr>
        <w:t xml:space="preserve"> Sättes toodud kümnepäevane tähtaeg tuleneb </w:t>
      </w:r>
      <w:proofErr w:type="spellStart"/>
      <w:r>
        <w:rPr>
          <w:sz w:val="22"/>
          <w:szCs w:val="22"/>
        </w:rPr>
        <w:t>ühisrahastusmääruse</w:t>
      </w:r>
      <w:proofErr w:type="spellEnd"/>
      <w:r>
        <w:rPr>
          <w:sz w:val="22"/>
          <w:szCs w:val="22"/>
        </w:rPr>
        <w:t xml:space="preserve"> regulatiivsest tehnilisest standardist.</w:t>
      </w:r>
    </w:p>
    <w:p w14:paraId="7A7CA5AE" w14:textId="77777777" w:rsidR="00C1579C" w:rsidRPr="005A55CA" w:rsidRDefault="00C1579C" w:rsidP="00C1579C">
      <w:pPr>
        <w:spacing w:before="0"/>
        <w:rPr>
          <w:sz w:val="22"/>
          <w:szCs w:val="22"/>
        </w:rPr>
      </w:pPr>
    </w:p>
    <w:p w14:paraId="1AECF6B4" w14:textId="77777777" w:rsidR="00C1579C" w:rsidRPr="005A55CA" w:rsidRDefault="00C1579C" w:rsidP="00C1579C">
      <w:pPr>
        <w:spacing w:before="0"/>
        <w:rPr>
          <w:sz w:val="22"/>
          <w:szCs w:val="22"/>
        </w:rPr>
      </w:pPr>
      <w:r w:rsidRPr="005A55CA">
        <w:rPr>
          <w:b/>
          <w:sz w:val="22"/>
          <w:szCs w:val="22"/>
        </w:rPr>
        <w:t xml:space="preserve">Lõige </w:t>
      </w:r>
      <w:r>
        <w:rPr>
          <w:b/>
          <w:sz w:val="22"/>
          <w:szCs w:val="22"/>
        </w:rPr>
        <w:t>6</w:t>
      </w:r>
      <w:r w:rsidRPr="005A55CA">
        <w:rPr>
          <w:b/>
          <w:sz w:val="22"/>
          <w:szCs w:val="22"/>
        </w:rPr>
        <w:t xml:space="preserve"> </w:t>
      </w:r>
      <w:r w:rsidRPr="005A55CA">
        <w:rPr>
          <w:sz w:val="22"/>
          <w:szCs w:val="22"/>
        </w:rPr>
        <w:t xml:space="preserve">kohustab teenuseosutajat kliendile viivitusest teatama, seda põhjendama ning määrama vajalike toimingute lõpetamise eeldatava tähtaja, mis ei või olla pikem kui 35 tööpäeva, kui sama paragrahvi lõikes </w:t>
      </w:r>
      <w:r>
        <w:rPr>
          <w:sz w:val="22"/>
          <w:szCs w:val="22"/>
        </w:rPr>
        <w:t>5</w:t>
      </w:r>
      <w:r w:rsidRPr="005A55CA">
        <w:rPr>
          <w:sz w:val="22"/>
          <w:szCs w:val="22"/>
        </w:rPr>
        <w:t xml:space="preserve"> nimetatud tähtaja jooksul ei ole teenuseosutajast mitteoleneval põhjusel võimalik kaebusele vastata või kaebuse lahendamiseks kõiki vajalikke toiminguid teha.</w:t>
      </w:r>
    </w:p>
    <w:p w14:paraId="0FC11FD9" w14:textId="77777777" w:rsidR="00C1579C" w:rsidRPr="005A55CA" w:rsidRDefault="00C1579C" w:rsidP="00C1579C">
      <w:pPr>
        <w:spacing w:before="0"/>
        <w:rPr>
          <w:sz w:val="22"/>
          <w:szCs w:val="22"/>
        </w:rPr>
      </w:pPr>
    </w:p>
    <w:p w14:paraId="7EEF941B" w14:textId="77777777" w:rsidR="00C1579C" w:rsidRDefault="00C1579C" w:rsidP="00C1579C">
      <w:pPr>
        <w:spacing w:before="0"/>
        <w:rPr>
          <w:sz w:val="22"/>
          <w:szCs w:val="22"/>
        </w:rPr>
      </w:pPr>
      <w:r w:rsidRPr="005A55CA">
        <w:rPr>
          <w:b/>
          <w:sz w:val="22"/>
          <w:szCs w:val="22"/>
        </w:rPr>
        <w:t xml:space="preserve">Lõikes </w:t>
      </w:r>
      <w:r>
        <w:rPr>
          <w:b/>
          <w:sz w:val="22"/>
          <w:szCs w:val="22"/>
        </w:rPr>
        <w:t>7</w:t>
      </w:r>
      <w:r w:rsidRPr="005A55CA">
        <w:rPr>
          <w:b/>
          <w:sz w:val="22"/>
          <w:szCs w:val="22"/>
        </w:rPr>
        <w:t xml:space="preserve"> </w:t>
      </w:r>
      <w:r w:rsidRPr="005A55CA">
        <w:rPr>
          <w:sz w:val="22"/>
          <w:szCs w:val="22"/>
        </w:rPr>
        <w:t>on sätestatud volitusnorm kehtestada määrusega täpsemad nõuded kaebuste käsitlemisele ja kaebuse esitamise dokumendipõhjale.</w:t>
      </w:r>
    </w:p>
    <w:p w14:paraId="066ADEF3" w14:textId="694338A7" w:rsidR="00C1579C" w:rsidRDefault="00C1579C" w:rsidP="00D375E5">
      <w:pPr>
        <w:shd w:val="clear" w:color="auto" w:fill="FFFFFF"/>
        <w:spacing w:before="0"/>
        <w:rPr>
          <w:sz w:val="22"/>
          <w:szCs w:val="22"/>
        </w:rPr>
      </w:pPr>
    </w:p>
    <w:p w14:paraId="2A4C4AD5" w14:textId="5843B04C" w:rsidR="00AB065E" w:rsidRPr="005A55CA" w:rsidRDefault="00AB065E" w:rsidP="00AB065E">
      <w:pPr>
        <w:pStyle w:val="Normal2"/>
        <w:rPr>
          <w:szCs w:val="22"/>
        </w:rPr>
      </w:pPr>
      <w:r w:rsidRPr="005A55CA">
        <w:rPr>
          <w:b/>
          <w:szCs w:val="22"/>
        </w:rPr>
        <w:t xml:space="preserve">Paragrahvi </w:t>
      </w:r>
      <w:r>
        <w:rPr>
          <w:b/>
          <w:szCs w:val="22"/>
        </w:rPr>
        <w:t>43</w:t>
      </w:r>
      <w:r w:rsidRPr="005A55CA">
        <w:rPr>
          <w:szCs w:val="22"/>
        </w:rPr>
        <w:t xml:space="preserve"> eesmärk on reguleerida mh seaduse tasandil, milliseid </w:t>
      </w:r>
      <w:proofErr w:type="spellStart"/>
      <w:r w:rsidRPr="005A55CA">
        <w:rPr>
          <w:szCs w:val="22"/>
        </w:rPr>
        <w:t>talitluspidavuse</w:t>
      </w:r>
      <w:proofErr w:type="spellEnd"/>
      <w:r w:rsidRPr="005A55CA">
        <w:rPr>
          <w:szCs w:val="22"/>
        </w:rPr>
        <w:t xml:space="preserve"> tagamise põhimõtteid peab teenuseosutaja rakendama.</w:t>
      </w:r>
    </w:p>
    <w:p w14:paraId="4BDF9DDA" w14:textId="77777777" w:rsidR="00AB065E" w:rsidRPr="005A55CA" w:rsidRDefault="00AB065E" w:rsidP="00AB065E">
      <w:pPr>
        <w:spacing w:before="0"/>
        <w:rPr>
          <w:sz w:val="22"/>
          <w:szCs w:val="22"/>
        </w:rPr>
      </w:pPr>
    </w:p>
    <w:p w14:paraId="5CB7912E" w14:textId="77777777" w:rsidR="00AB065E" w:rsidRPr="005A55CA" w:rsidRDefault="00AB065E" w:rsidP="00AB065E">
      <w:pPr>
        <w:spacing w:before="0"/>
        <w:rPr>
          <w:sz w:val="22"/>
          <w:szCs w:val="22"/>
        </w:rPr>
      </w:pPr>
      <w:r w:rsidRPr="005A55CA">
        <w:rPr>
          <w:sz w:val="22"/>
          <w:szCs w:val="22"/>
        </w:rPr>
        <w:t>Finantsinspektsiooni juhendi „Nõuded finantsjärelevalve subjektide talituspidevuse protsessi korraldamisele“</w:t>
      </w:r>
      <w:r w:rsidRPr="00491B07">
        <w:rPr>
          <w:sz w:val="22"/>
          <w:szCs w:val="22"/>
          <w:vertAlign w:val="superscript"/>
        </w:rPr>
        <w:footnoteReference w:id="51"/>
      </w:r>
      <w:r w:rsidRPr="005A55CA">
        <w:rPr>
          <w:sz w:val="22"/>
          <w:szCs w:val="22"/>
        </w:rPr>
        <w:t xml:space="preserve"> ja eelnõu kohaselt on talitluspidevuse planeerimine protsess, mille kaudu järelevalvesubjektid kindlustavad oma tegevuse jätkuvuse või taastamise, sealhulgas klientidele teenuste pakkumise (</w:t>
      </w:r>
      <w:r w:rsidRPr="005A55CA">
        <w:rPr>
          <w:b/>
          <w:sz w:val="22"/>
          <w:szCs w:val="22"/>
        </w:rPr>
        <w:t>lõige 1</w:t>
      </w:r>
      <w:r w:rsidRPr="005A55CA">
        <w:rPr>
          <w:sz w:val="22"/>
          <w:szCs w:val="22"/>
        </w:rPr>
        <w:t>). Toimiv talitluspidevuse planeerimise protsess tagab, et ettevõtja on valmistunud võimalikeks temast sõltumatutel põhjustel toimuda võivateks erakorralisteks katkestusteks äritegevuses</w:t>
      </w:r>
      <w:r>
        <w:rPr>
          <w:sz w:val="22"/>
          <w:szCs w:val="22"/>
        </w:rPr>
        <w:t xml:space="preserve"> või erakorralisteks sündmusteks</w:t>
      </w:r>
      <w:r w:rsidRPr="005A55CA">
        <w:rPr>
          <w:sz w:val="22"/>
          <w:szCs w:val="22"/>
        </w:rPr>
        <w:t xml:space="preserve"> </w:t>
      </w:r>
      <w:r>
        <w:rPr>
          <w:sz w:val="22"/>
          <w:szCs w:val="22"/>
        </w:rPr>
        <w:t>ning</w:t>
      </w:r>
      <w:r w:rsidRPr="005A55CA">
        <w:rPr>
          <w:sz w:val="22"/>
          <w:szCs w:val="22"/>
        </w:rPr>
        <w:t xml:space="preserve"> omab plaane oma tegevuse jätkamiseks </w:t>
      </w:r>
      <w:r>
        <w:rPr>
          <w:sz w:val="22"/>
          <w:szCs w:val="22"/>
        </w:rPr>
        <w:t xml:space="preserve">ja </w:t>
      </w:r>
      <w:r w:rsidRPr="005A55CA">
        <w:rPr>
          <w:sz w:val="22"/>
          <w:szCs w:val="22"/>
        </w:rPr>
        <w:lastRenderedPageBreak/>
        <w:t>potentsiaalsete kahjude vähendamiseks. Äritegevuse erakorralised katkestused võivad olla tingitud nt infosüsteemide mittetöötamisest, probleemidest järelevalvesubjekti füüsilise asukoha või infrastruktuuridega, personali kaotusest või erinevatest keskkonnaga seotud õnnetustest (nt tulekahju). Talitluspidevuse plaanide eesmärkideks on päästa inimelusid ning vähendada võimalikke vigastusi, minimeerida järelevalvesubjekti rahalist kahju, jätkata klientide ja finantsturul osalejate teenindamist, vähendada katkestuste negatiivset mõju järelevalvesubjekti strateegilistele plaanidele, reputatsioonile, põhitegevusele, likviidsusele, krediidi kvaliteedile, turupositsioonile ning võimele olla vastavuses õigusaktidest tulenevate nõuetega.</w:t>
      </w:r>
    </w:p>
    <w:p w14:paraId="09497B83" w14:textId="77777777" w:rsidR="00AB065E" w:rsidRPr="005A55CA" w:rsidRDefault="00AB065E" w:rsidP="00AB065E">
      <w:pPr>
        <w:spacing w:before="0"/>
        <w:rPr>
          <w:sz w:val="22"/>
          <w:szCs w:val="22"/>
        </w:rPr>
      </w:pPr>
    </w:p>
    <w:p w14:paraId="63141659" w14:textId="77777777" w:rsidR="00AB065E" w:rsidRPr="005A55CA" w:rsidRDefault="00AB065E" w:rsidP="00AB065E">
      <w:pPr>
        <w:spacing w:before="0"/>
        <w:rPr>
          <w:sz w:val="22"/>
          <w:szCs w:val="22"/>
        </w:rPr>
      </w:pPr>
      <w:r w:rsidRPr="005A55CA">
        <w:rPr>
          <w:sz w:val="22"/>
          <w:szCs w:val="22"/>
        </w:rPr>
        <w:t>Talitluspidevus on järelevalvesubjekti võimekus jätkata pärast olulist ärikatkestust teenuseid ettemääratud vastuvõetavatel tasemetel. Talitluspidevuse plaan on dokumenteeritud protseduurid, mis suunavad järelevalvesubjekte olulise ärikatkestuse järgselt reageerima, jätkama ning taastama oma tegevuse ettemääratud tasemel.</w:t>
      </w:r>
    </w:p>
    <w:p w14:paraId="14AA324C" w14:textId="77777777" w:rsidR="00AB065E" w:rsidRPr="005A55CA" w:rsidRDefault="00AB065E" w:rsidP="00AB065E">
      <w:pPr>
        <w:spacing w:before="0"/>
        <w:rPr>
          <w:sz w:val="22"/>
          <w:szCs w:val="22"/>
        </w:rPr>
      </w:pPr>
    </w:p>
    <w:p w14:paraId="6058388B" w14:textId="77777777" w:rsidR="00AB065E" w:rsidRPr="005A55CA" w:rsidRDefault="00AB065E" w:rsidP="00AB065E">
      <w:pPr>
        <w:spacing w:before="0"/>
        <w:rPr>
          <w:sz w:val="22"/>
          <w:szCs w:val="22"/>
        </w:rPr>
      </w:pPr>
      <w:r w:rsidRPr="005A55CA">
        <w:rPr>
          <w:b/>
          <w:sz w:val="22"/>
          <w:szCs w:val="22"/>
        </w:rPr>
        <w:t>Lõike 2</w:t>
      </w:r>
      <w:r w:rsidRPr="005A55CA">
        <w:rPr>
          <w:sz w:val="22"/>
          <w:szCs w:val="22"/>
        </w:rPr>
        <w:t xml:space="preserve"> kohaselt peab teenuseosutaja pidevalt hindama oluliste ärikatkestuste mõju äri- ja muudele protsessidele, võimalikke ohtusid ning selgitama välja olulisemad riskid. Finantsinspektsiooni juhendi</w:t>
      </w:r>
      <w:r>
        <w:rPr>
          <w:sz w:val="22"/>
          <w:szCs w:val="22"/>
        </w:rPr>
        <w:t>s</w:t>
      </w:r>
      <w:r w:rsidRPr="005A55CA">
        <w:rPr>
          <w:sz w:val="22"/>
          <w:szCs w:val="22"/>
        </w:rPr>
        <w:t xml:space="preserve"> on täpsustatud, et hindamist tuleb teostada perioodiliselt vähemalt kord aastas ning juhtudel, kui järelevalvesubjekti äritegevuses toimuvad olulised muudatused (suuremad organisatsioonilised muutused, uute toodetega turule tulemine, uute kliendisegmentide tekkimine, uue infotehnoloogilise lahenduse kasutuselevõtt vms). Ärimõju analüüsi ja riskihindamise käigus peaks käsitlema eelkõige järgmisi võimalikke sündmuste stsenaariume: probleemid infosüsteemidega; füüsilised rikked (hooned, seadmed jms); inimressursi kaotamine; eelpool mainitud stsenaariumite koosmõjud. Juhendis on ka selgitatud, et ärimõju analüüsi ja riskihindamise kaudu peaks järelevalvesubjekt näiteks tuvastama: kriitilised äriprotsessid ja nende osutamist toetavad tegevused; sobivad taaste-eesmärgid (nt ulatus, aeg), mis oleksid proportsioonis mõjuga, mida järelevalvesubjekt omab klientide tegevusele ja kogu finantssüsteemi tööle; </w:t>
      </w:r>
      <w:proofErr w:type="spellStart"/>
      <w:r w:rsidRPr="005A55CA">
        <w:rPr>
          <w:sz w:val="22"/>
          <w:szCs w:val="22"/>
        </w:rPr>
        <w:t>prioritiseeritud</w:t>
      </w:r>
      <w:proofErr w:type="spellEnd"/>
      <w:r w:rsidRPr="005A55CA">
        <w:rPr>
          <w:sz w:val="22"/>
          <w:szCs w:val="22"/>
        </w:rPr>
        <w:t xml:space="preserve"> kava eelnimetatud tegevuste jätkamiseks kindlaksmääratud minimaalsel aktsepteeritaval tasemel; teenuste osutamist toetavate tegevuste jaoks sõltuvuste ja toetavate </w:t>
      </w:r>
      <w:proofErr w:type="spellStart"/>
      <w:r w:rsidRPr="005A55CA">
        <w:rPr>
          <w:sz w:val="22"/>
          <w:szCs w:val="22"/>
        </w:rPr>
        <w:t>ressurssid</w:t>
      </w:r>
      <w:proofErr w:type="spellEnd"/>
      <w:r w:rsidRPr="005A55CA">
        <w:rPr>
          <w:sz w:val="22"/>
          <w:szCs w:val="22"/>
        </w:rPr>
        <w:t>, sealhulgas protsessid, süsteemid, teave, personal, vara, tarnijad, partnerid ja teised huvipooled. Järelevalvesubjekt peab omama täpset ülevaadet kriitiliste äriprotsesside toimimisega seotud ressurssidest, võimalikest ohtudest ning nende realiseerumise tõenäosustest. Lisaks peaks teenuseosutaja tuvastama, millised teenuste katkestustega seotud riskid vajavad käsitlemist ning milline käsitlusviis vastaks talitluspidevuse ja taaste-eesmärkidele.</w:t>
      </w:r>
    </w:p>
    <w:p w14:paraId="337E0969" w14:textId="77777777" w:rsidR="00AB065E" w:rsidRPr="005A55CA" w:rsidRDefault="00AB065E" w:rsidP="00AB065E">
      <w:pPr>
        <w:spacing w:before="0"/>
        <w:rPr>
          <w:sz w:val="22"/>
          <w:szCs w:val="22"/>
        </w:rPr>
      </w:pPr>
    </w:p>
    <w:p w14:paraId="053BBD9E" w14:textId="77777777" w:rsidR="00AB065E" w:rsidRPr="005A55CA" w:rsidRDefault="00AB065E" w:rsidP="00AB065E">
      <w:pPr>
        <w:spacing w:before="0"/>
        <w:rPr>
          <w:sz w:val="22"/>
          <w:szCs w:val="22"/>
        </w:rPr>
      </w:pPr>
      <w:r w:rsidRPr="005A55CA">
        <w:rPr>
          <w:b/>
          <w:sz w:val="22"/>
          <w:szCs w:val="22"/>
        </w:rPr>
        <w:t>Lõiked 3</w:t>
      </w:r>
      <w:r>
        <w:rPr>
          <w:b/>
          <w:sz w:val="22"/>
          <w:szCs w:val="22"/>
        </w:rPr>
        <w:t>–</w:t>
      </w:r>
      <w:r w:rsidRPr="005A55CA">
        <w:rPr>
          <w:b/>
          <w:sz w:val="22"/>
          <w:szCs w:val="22"/>
        </w:rPr>
        <w:t>5</w:t>
      </w:r>
      <w:r>
        <w:rPr>
          <w:b/>
          <w:sz w:val="22"/>
          <w:szCs w:val="22"/>
        </w:rPr>
        <w:t>.</w:t>
      </w:r>
      <w:r w:rsidRPr="005A55CA">
        <w:rPr>
          <w:b/>
          <w:sz w:val="22"/>
          <w:szCs w:val="22"/>
        </w:rPr>
        <w:t xml:space="preserve"> </w:t>
      </w:r>
      <w:r w:rsidRPr="005A55CA">
        <w:rPr>
          <w:sz w:val="22"/>
          <w:szCs w:val="22"/>
        </w:rPr>
        <w:t xml:space="preserve">Tulenevalt ärimõju analüüsist tulenevalt teenuseosutaja välja töötama </w:t>
      </w:r>
      <w:proofErr w:type="spellStart"/>
      <w:r w:rsidRPr="005A55CA">
        <w:rPr>
          <w:sz w:val="22"/>
          <w:szCs w:val="22"/>
        </w:rPr>
        <w:t>talitluspidavuse</w:t>
      </w:r>
      <w:proofErr w:type="spellEnd"/>
      <w:r w:rsidRPr="005A55CA">
        <w:rPr>
          <w:sz w:val="22"/>
          <w:szCs w:val="22"/>
        </w:rPr>
        <w:t xml:space="preserve"> plaanid. Talitluspidevuse planeerimise raames tuleb koostada mh süsteemide taasteplaanid, mis kirjeldaksid, kuidas oluliste ärikatkestuse korral erinevad süsteemid saavad taas tegevust alustada</w:t>
      </w:r>
      <w:r>
        <w:rPr>
          <w:sz w:val="22"/>
          <w:szCs w:val="22"/>
        </w:rPr>
        <w:t>.</w:t>
      </w:r>
      <w:r w:rsidRPr="005A55CA">
        <w:rPr>
          <w:b/>
          <w:sz w:val="22"/>
          <w:szCs w:val="22"/>
        </w:rPr>
        <w:t xml:space="preserve"> </w:t>
      </w:r>
    </w:p>
    <w:p w14:paraId="5FE5F9EA" w14:textId="77777777" w:rsidR="00AB065E" w:rsidRDefault="00AB065E" w:rsidP="00AB065E">
      <w:pPr>
        <w:spacing w:before="0"/>
        <w:rPr>
          <w:sz w:val="22"/>
          <w:szCs w:val="22"/>
        </w:rPr>
      </w:pPr>
    </w:p>
    <w:p w14:paraId="14B16399" w14:textId="37CF2C66" w:rsidR="00AB065E" w:rsidRPr="005A55CA" w:rsidRDefault="00AB065E" w:rsidP="00AB065E">
      <w:pPr>
        <w:pStyle w:val="Normal2"/>
        <w:rPr>
          <w:szCs w:val="22"/>
        </w:rPr>
      </w:pPr>
      <w:r w:rsidRPr="005A55CA">
        <w:rPr>
          <w:b/>
          <w:szCs w:val="22"/>
        </w:rPr>
        <w:t xml:space="preserve">Paragrahv </w:t>
      </w:r>
      <w:r w:rsidR="00AC5C74">
        <w:rPr>
          <w:b/>
          <w:szCs w:val="22"/>
        </w:rPr>
        <w:t>44</w:t>
      </w:r>
      <w:r w:rsidRPr="005A55CA">
        <w:rPr>
          <w:szCs w:val="22"/>
        </w:rPr>
        <w:t xml:space="preserve"> sätestab nõuded </w:t>
      </w:r>
      <w:proofErr w:type="spellStart"/>
      <w:r>
        <w:rPr>
          <w:szCs w:val="22"/>
        </w:rPr>
        <w:t>küber</w:t>
      </w:r>
      <w:r w:rsidRPr="005A55CA">
        <w:rPr>
          <w:szCs w:val="22"/>
        </w:rPr>
        <w:t>turvalisusega</w:t>
      </w:r>
      <w:proofErr w:type="spellEnd"/>
      <w:r w:rsidRPr="005A55CA">
        <w:rPr>
          <w:szCs w:val="22"/>
        </w:rPr>
        <w:t xml:space="preserve"> seotud intsidentide tuvastamisele ja lahendamisele.</w:t>
      </w:r>
    </w:p>
    <w:p w14:paraId="74469309" w14:textId="77777777" w:rsidR="00AB065E" w:rsidRPr="005A55CA" w:rsidRDefault="00AB065E" w:rsidP="00AB065E">
      <w:pPr>
        <w:shd w:val="clear" w:color="auto" w:fill="FFFFFF"/>
        <w:spacing w:before="0"/>
        <w:rPr>
          <w:sz w:val="22"/>
          <w:szCs w:val="22"/>
        </w:rPr>
      </w:pPr>
    </w:p>
    <w:p w14:paraId="5283B1C9" w14:textId="77777777" w:rsidR="00AB065E" w:rsidRPr="005A55CA" w:rsidRDefault="00AB065E" w:rsidP="00AB065E">
      <w:pPr>
        <w:shd w:val="clear" w:color="auto" w:fill="FFFFFF"/>
        <w:spacing w:before="0"/>
        <w:rPr>
          <w:sz w:val="22"/>
          <w:szCs w:val="22"/>
        </w:rPr>
      </w:pPr>
      <w:r w:rsidRPr="005A55CA">
        <w:rPr>
          <w:b/>
          <w:sz w:val="22"/>
          <w:szCs w:val="22"/>
        </w:rPr>
        <w:t>Lõiked 1</w:t>
      </w:r>
      <w:r>
        <w:rPr>
          <w:b/>
          <w:sz w:val="22"/>
          <w:szCs w:val="22"/>
        </w:rPr>
        <w:t>–</w:t>
      </w:r>
      <w:r w:rsidRPr="005A55CA">
        <w:rPr>
          <w:b/>
          <w:sz w:val="22"/>
          <w:szCs w:val="22"/>
        </w:rPr>
        <w:t>3</w:t>
      </w:r>
      <w:r>
        <w:rPr>
          <w:b/>
          <w:sz w:val="22"/>
          <w:szCs w:val="22"/>
        </w:rPr>
        <w:t>:</w:t>
      </w:r>
      <w:r w:rsidRPr="005A55CA">
        <w:rPr>
          <w:sz w:val="22"/>
          <w:szCs w:val="22"/>
        </w:rPr>
        <w:t xml:space="preserve"> Teenuseosutaja peab rakendama kõiki asjakohaseid meetmeid, et vähendada operatsiooni- ja turvaintsidentide mõju osutatava teenuse jätkusuutlikkusele. Selleks peab ta välja töötama korra, mida tuleb uuendada vähemalt kord aastas ning mis sisaldab vähemalt teenuseosutaja võrgu- ja infosüsteemide pidamise nõudeid ja intsidentidest teatamise korda. </w:t>
      </w:r>
    </w:p>
    <w:p w14:paraId="21484D0E" w14:textId="77777777" w:rsidR="00AB065E" w:rsidRPr="005A55CA" w:rsidRDefault="00AB065E" w:rsidP="00AB065E">
      <w:pPr>
        <w:shd w:val="clear" w:color="auto" w:fill="FFFFFF"/>
        <w:spacing w:before="0"/>
        <w:rPr>
          <w:sz w:val="22"/>
          <w:szCs w:val="22"/>
        </w:rPr>
      </w:pPr>
    </w:p>
    <w:p w14:paraId="6DC0CE2D" w14:textId="77777777" w:rsidR="00AB065E" w:rsidRPr="005A55CA" w:rsidRDefault="00AB065E" w:rsidP="00AB065E">
      <w:pPr>
        <w:spacing w:before="0"/>
        <w:rPr>
          <w:sz w:val="22"/>
          <w:szCs w:val="22"/>
          <w:shd w:val="clear" w:color="auto" w:fill="FFFFFF"/>
        </w:rPr>
      </w:pPr>
      <w:r w:rsidRPr="005A55CA">
        <w:rPr>
          <w:b/>
          <w:sz w:val="22"/>
          <w:szCs w:val="22"/>
          <w:shd w:val="clear" w:color="auto" w:fill="FFFFFF"/>
        </w:rPr>
        <w:t>Lõike 4</w:t>
      </w:r>
      <w:r w:rsidRPr="005A55CA">
        <w:rPr>
          <w:sz w:val="22"/>
          <w:szCs w:val="22"/>
          <w:shd w:val="clear" w:color="auto" w:fill="FFFFFF"/>
        </w:rPr>
        <w:t xml:space="preserve"> kohaselt on teenuseosutajal kohustuse teavitada Finantsinspektsiooni olulise</w:t>
      </w:r>
      <w:r>
        <w:rPr>
          <w:sz w:val="22"/>
          <w:szCs w:val="22"/>
          <w:shd w:val="clear" w:color="auto" w:fill="FFFFFF"/>
        </w:rPr>
        <w:t xml:space="preserve"> mõjuga</w:t>
      </w:r>
      <w:r w:rsidRPr="005A55CA">
        <w:rPr>
          <w:sz w:val="22"/>
          <w:szCs w:val="22"/>
          <w:shd w:val="clear" w:color="auto" w:fill="FFFFFF"/>
        </w:rPr>
        <w:t xml:space="preserve"> </w:t>
      </w:r>
      <w:r>
        <w:rPr>
          <w:sz w:val="22"/>
          <w:szCs w:val="22"/>
          <w:shd w:val="clear" w:color="auto" w:fill="FFFFFF"/>
        </w:rPr>
        <w:t xml:space="preserve">info- ja kommunikatsioonitehnoloogiaga seotud </w:t>
      </w:r>
      <w:r w:rsidRPr="005A55CA">
        <w:rPr>
          <w:sz w:val="22"/>
          <w:szCs w:val="22"/>
          <w:shd w:val="clear" w:color="auto" w:fill="FFFFFF"/>
        </w:rPr>
        <w:t>intsidendist. Nimetatud intsidentidena võib käsitleda sündmust või sündmuste ahelat, millel on või võib olla negatiivne mõju teenuseosutamise terviklikkusele, kättesaadavusele, konfidentsiaalsusele, autentsusele ja katkematusele. Intsidendi olulisus</w:t>
      </w:r>
      <w:r>
        <w:rPr>
          <w:sz w:val="22"/>
          <w:szCs w:val="22"/>
          <w:shd w:val="clear" w:color="auto" w:fill="FFFFFF"/>
        </w:rPr>
        <w:t xml:space="preserve">e hindamine toimub </w:t>
      </w:r>
      <w:proofErr w:type="spellStart"/>
      <w:r>
        <w:rPr>
          <w:sz w:val="22"/>
          <w:szCs w:val="22"/>
          <w:shd w:val="clear" w:color="auto" w:fill="FFFFFF"/>
        </w:rPr>
        <w:t>küberturvalisuse</w:t>
      </w:r>
      <w:proofErr w:type="spellEnd"/>
      <w:r>
        <w:rPr>
          <w:sz w:val="22"/>
          <w:szCs w:val="22"/>
          <w:shd w:val="clear" w:color="auto" w:fill="FFFFFF"/>
        </w:rPr>
        <w:t xml:space="preserve"> seaduse § 8 lõike 2 alusel.</w:t>
      </w:r>
    </w:p>
    <w:p w14:paraId="18B2881D" w14:textId="77777777" w:rsidR="00AB065E" w:rsidRPr="005A55CA" w:rsidRDefault="00AB065E" w:rsidP="00AB065E">
      <w:pPr>
        <w:spacing w:before="0"/>
        <w:rPr>
          <w:sz w:val="22"/>
          <w:szCs w:val="22"/>
          <w:shd w:val="clear" w:color="auto" w:fill="FFFFFF"/>
        </w:rPr>
      </w:pPr>
    </w:p>
    <w:p w14:paraId="141C8C71" w14:textId="77777777" w:rsidR="00AB065E" w:rsidRPr="005A55CA" w:rsidRDefault="00AB065E" w:rsidP="00AB065E">
      <w:pPr>
        <w:spacing w:before="0"/>
        <w:rPr>
          <w:sz w:val="22"/>
          <w:szCs w:val="22"/>
          <w:shd w:val="clear" w:color="auto" w:fill="FFFFFF"/>
        </w:rPr>
      </w:pPr>
      <w:r w:rsidRPr="005A55CA">
        <w:rPr>
          <w:sz w:val="22"/>
          <w:szCs w:val="22"/>
          <w:shd w:val="clear" w:color="auto" w:fill="FFFFFF"/>
        </w:rPr>
        <w:t>Finantsinspektsiooni juhendis on täpsustatud, et järelevalvesubjektil tuleb teavitada Finantsinspektsiooni esimesel võimalusel olulise ärikatkestusega seotud intsidendi tuvastamisest, lisades kogu teavituse ajaks teadaoleva informatsiooni intsidendi kohta. Hiljemalt kolm tööpäeva pärast intsidendi lahendamist tuleb Finantsinspektsioonile esitada toimunu kirjeldus, kasutades üldiseid kontaktandmeid. Edastatav informatsioon peab sisaldama katkestuse aega, ulatust ja mõju, likvideerimise kirjeldust, põhjuseid ning kirjeldust meetmetest, mida planeeritakse rakendada tulevikus sarnaste juhtumite vältimiseks ja/või juhtumite mõju minimeerimiseks.</w:t>
      </w:r>
    </w:p>
    <w:p w14:paraId="26447E9A" w14:textId="77777777" w:rsidR="00AB065E" w:rsidRPr="005A55CA" w:rsidRDefault="00AB065E" w:rsidP="00AB065E">
      <w:pPr>
        <w:spacing w:before="0"/>
        <w:rPr>
          <w:sz w:val="22"/>
          <w:szCs w:val="22"/>
          <w:shd w:val="clear" w:color="auto" w:fill="FFFFFF"/>
        </w:rPr>
      </w:pPr>
    </w:p>
    <w:p w14:paraId="2CB9B296" w14:textId="77777777" w:rsidR="00AB065E" w:rsidRPr="005A55CA" w:rsidRDefault="00AB065E" w:rsidP="00AB065E">
      <w:pPr>
        <w:spacing w:before="0"/>
        <w:rPr>
          <w:sz w:val="22"/>
          <w:szCs w:val="22"/>
          <w:shd w:val="clear" w:color="auto" w:fill="FFFFFF"/>
        </w:rPr>
      </w:pPr>
      <w:r w:rsidRPr="005A55CA">
        <w:rPr>
          <w:b/>
          <w:sz w:val="22"/>
          <w:szCs w:val="22"/>
          <w:shd w:val="clear" w:color="auto" w:fill="FFFFFF"/>
        </w:rPr>
        <w:t>Lõige 5.</w:t>
      </w:r>
      <w:r w:rsidRPr="005A55CA">
        <w:rPr>
          <w:sz w:val="22"/>
          <w:szCs w:val="22"/>
          <w:shd w:val="clear" w:color="auto" w:fill="FFFFFF"/>
        </w:rPr>
        <w:t xml:space="preserve"> Lisaks tuleb teavitada kliente, kui intsidendil on või võib olla mõju klientide finantshuvidele, teavitades klienti mh kõigist abinõudest, mida saab võtta kasutusele intsidendi negatiivse mõju leevendamiseks.</w:t>
      </w:r>
    </w:p>
    <w:p w14:paraId="6B04F9C2" w14:textId="77777777" w:rsidR="00AB065E" w:rsidRPr="005A55CA" w:rsidRDefault="00AB065E" w:rsidP="00AB065E">
      <w:pPr>
        <w:spacing w:before="0"/>
        <w:rPr>
          <w:sz w:val="22"/>
          <w:szCs w:val="22"/>
          <w:shd w:val="clear" w:color="auto" w:fill="FFFFFF"/>
        </w:rPr>
      </w:pPr>
    </w:p>
    <w:p w14:paraId="38EE7C71" w14:textId="43DB70A9" w:rsidR="00AB065E" w:rsidRDefault="00AB065E" w:rsidP="00AB065E">
      <w:pPr>
        <w:spacing w:before="0"/>
        <w:rPr>
          <w:b/>
          <w:sz w:val="22"/>
          <w:szCs w:val="22"/>
          <w:shd w:val="clear" w:color="auto" w:fill="FFFFFF"/>
        </w:rPr>
      </w:pPr>
      <w:r w:rsidRPr="005A55CA">
        <w:rPr>
          <w:b/>
          <w:sz w:val="22"/>
          <w:szCs w:val="22"/>
          <w:shd w:val="clear" w:color="auto" w:fill="FFFFFF"/>
        </w:rPr>
        <w:t>Lõige 6</w:t>
      </w:r>
      <w:r>
        <w:rPr>
          <w:b/>
          <w:sz w:val="22"/>
          <w:szCs w:val="22"/>
          <w:shd w:val="clear" w:color="auto" w:fill="FFFFFF"/>
        </w:rPr>
        <w:t xml:space="preserve"> </w:t>
      </w:r>
      <w:r>
        <w:rPr>
          <w:sz w:val="22"/>
          <w:szCs w:val="22"/>
          <w:shd w:val="clear" w:color="auto" w:fill="FFFFFF"/>
        </w:rPr>
        <w:t xml:space="preserve">sätestab volitusnormi valdkonna ministrile kehtestada </w:t>
      </w:r>
      <w:r w:rsidR="00AC5C74">
        <w:rPr>
          <w:sz w:val="22"/>
          <w:szCs w:val="22"/>
          <w:shd w:val="clear" w:color="auto" w:fill="FFFFFF"/>
        </w:rPr>
        <w:t xml:space="preserve">määrusega </w:t>
      </w:r>
      <w:proofErr w:type="spellStart"/>
      <w:r>
        <w:rPr>
          <w:sz w:val="22"/>
          <w:szCs w:val="22"/>
          <w:shd w:val="clear" w:color="auto" w:fill="FFFFFF"/>
        </w:rPr>
        <w:t>küberturvalisusega</w:t>
      </w:r>
      <w:proofErr w:type="spellEnd"/>
      <w:r>
        <w:rPr>
          <w:sz w:val="22"/>
          <w:szCs w:val="22"/>
          <w:shd w:val="clear" w:color="auto" w:fill="FFFFFF"/>
        </w:rPr>
        <w:t xml:space="preserve"> seotud riskide juhtimisele täpsemad nõuded. M</w:t>
      </w:r>
      <w:r w:rsidRPr="005A55CA">
        <w:rPr>
          <w:sz w:val="22"/>
          <w:szCs w:val="22"/>
        </w:rPr>
        <w:t>ääruse kehtestamise vajalikkus võib tõusetuda seaduse jõustumise järgselt, kuivõrd tegemist on uudse ning väga spetsiifilise finantsvaldkonnaga, milles võivad tekkida seni ettenägematud riskid.</w:t>
      </w:r>
    </w:p>
    <w:p w14:paraId="3028C35C" w14:textId="77777777" w:rsidR="00AB065E" w:rsidRDefault="00AB065E" w:rsidP="00AB065E">
      <w:pPr>
        <w:spacing w:before="0"/>
        <w:rPr>
          <w:b/>
          <w:sz w:val="22"/>
          <w:szCs w:val="22"/>
          <w:shd w:val="clear" w:color="auto" w:fill="FFFFFF"/>
        </w:rPr>
      </w:pPr>
    </w:p>
    <w:p w14:paraId="26DB5EC4" w14:textId="77777777" w:rsidR="00AB065E" w:rsidRPr="005A55CA" w:rsidRDefault="00AB065E" w:rsidP="00AB065E">
      <w:pPr>
        <w:spacing w:before="0"/>
        <w:rPr>
          <w:sz w:val="22"/>
          <w:szCs w:val="22"/>
          <w:shd w:val="clear" w:color="auto" w:fill="FFFFFF"/>
        </w:rPr>
      </w:pPr>
      <w:proofErr w:type="spellStart"/>
      <w:r w:rsidRPr="005A55CA">
        <w:rPr>
          <w:sz w:val="22"/>
          <w:szCs w:val="22"/>
          <w:shd w:val="clear" w:color="auto" w:fill="FFFFFF"/>
        </w:rPr>
        <w:t>Küberturvalisuse</w:t>
      </w:r>
      <w:proofErr w:type="spellEnd"/>
      <w:r w:rsidRPr="005A55CA">
        <w:rPr>
          <w:sz w:val="22"/>
          <w:szCs w:val="22"/>
          <w:shd w:val="clear" w:color="auto" w:fill="FFFFFF"/>
        </w:rPr>
        <w:t xml:space="preserve"> seaduses on defineeritud, et digitaalse teenuse osutaja on infoühiskonna teenuse seaduses sätestatud infoühiskonna teenuse osutaja, kes pakub internetipõhist kauplemiskohta,</w:t>
      </w:r>
      <w:r w:rsidRPr="005A55CA">
        <w:rPr>
          <w:sz w:val="22"/>
          <w:szCs w:val="22"/>
        </w:rPr>
        <w:t> </w:t>
      </w:r>
      <w:r w:rsidRPr="005A55CA">
        <w:rPr>
          <w:sz w:val="22"/>
          <w:szCs w:val="22"/>
          <w:shd w:val="clear" w:color="auto" w:fill="FFFFFF"/>
        </w:rPr>
        <w:t xml:space="preserve">internetipõhist </w:t>
      </w:r>
      <w:proofErr w:type="spellStart"/>
      <w:r w:rsidRPr="005A55CA">
        <w:rPr>
          <w:sz w:val="22"/>
          <w:szCs w:val="22"/>
          <w:shd w:val="clear" w:color="auto" w:fill="FFFFFF"/>
        </w:rPr>
        <w:t>otsimootorit</w:t>
      </w:r>
      <w:proofErr w:type="spellEnd"/>
      <w:r w:rsidRPr="005A55CA">
        <w:rPr>
          <w:sz w:val="22"/>
          <w:szCs w:val="22"/>
          <w:shd w:val="clear" w:color="auto" w:fill="FFFFFF"/>
        </w:rPr>
        <w:t xml:space="preserve"> või osutab </w:t>
      </w:r>
      <w:proofErr w:type="spellStart"/>
      <w:r w:rsidRPr="005A55CA">
        <w:rPr>
          <w:sz w:val="22"/>
          <w:szCs w:val="22"/>
          <w:shd w:val="clear" w:color="auto" w:fill="FFFFFF"/>
        </w:rPr>
        <w:t>pilvandmetöötlusteenust</w:t>
      </w:r>
      <w:proofErr w:type="spellEnd"/>
      <w:r w:rsidRPr="005A55CA">
        <w:rPr>
          <w:sz w:val="22"/>
          <w:szCs w:val="22"/>
          <w:shd w:val="clear" w:color="auto" w:fill="FFFFFF"/>
        </w:rPr>
        <w:t>. Infoühiskonna teenuse seadusese kohaselt on infoühiskonna teenus </w:t>
      </w:r>
      <w:r>
        <w:rPr>
          <w:sz w:val="22"/>
          <w:szCs w:val="22"/>
          <w:shd w:val="clear" w:color="auto" w:fill="FFFFFF"/>
        </w:rPr>
        <w:t xml:space="preserve">selline </w:t>
      </w:r>
      <w:r w:rsidRPr="005A55CA">
        <w:rPr>
          <w:sz w:val="22"/>
          <w:szCs w:val="22"/>
          <w:shd w:val="clear" w:color="auto" w:fill="FFFFFF"/>
        </w:rPr>
        <w:t>teenus, mida osutatakse majandus- või kutsetegevuse raames teenuse kasutaja otsesel taotlusel ja mille puhul andmeid töödeldakse, säilitatakse ja edastatakse digitaalkujul andmete töötlemiseks ja säilitamiseks mõeldud elektrooniliste vahendite abil, kusjuures osapooled ei viibi üheaegselt samas kohas. Infoühiskonna teenus peab olema täielikult üle kantud, edastatud ja vastu võetud elektrooniliste sidevahendite abil.</w:t>
      </w:r>
    </w:p>
    <w:p w14:paraId="48CF3D79" w14:textId="77777777" w:rsidR="00AB065E" w:rsidRPr="005A55CA" w:rsidRDefault="00AB065E" w:rsidP="00AB065E">
      <w:pPr>
        <w:spacing w:before="0"/>
        <w:rPr>
          <w:sz w:val="22"/>
          <w:szCs w:val="22"/>
          <w:shd w:val="clear" w:color="auto" w:fill="FFFFFF"/>
        </w:rPr>
      </w:pPr>
    </w:p>
    <w:p w14:paraId="5176349B" w14:textId="77777777" w:rsidR="00AB065E" w:rsidRPr="005A55CA" w:rsidRDefault="00AB065E" w:rsidP="00AB065E">
      <w:pPr>
        <w:spacing w:before="0"/>
        <w:rPr>
          <w:b/>
          <w:sz w:val="22"/>
          <w:szCs w:val="22"/>
          <w:shd w:val="clear" w:color="auto" w:fill="FFFFFF"/>
        </w:rPr>
      </w:pPr>
      <w:r w:rsidRPr="005A55CA">
        <w:rPr>
          <w:sz w:val="22"/>
          <w:szCs w:val="22"/>
          <w:shd w:val="clear" w:color="auto" w:fill="FFFFFF"/>
        </w:rPr>
        <w:t xml:space="preserve">Käesoleva </w:t>
      </w:r>
      <w:r>
        <w:rPr>
          <w:sz w:val="22"/>
          <w:szCs w:val="22"/>
          <w:shd w:val="clear" w:color="auto" w:fill="FFFFFF"/>
        </w:rPr>
        <w:t>paragrahvi</w:t>
      </w:r>
      <w:r w:rsidRPr="005A55CA">
        <w:rPr>
          <w:sz w:val="22"/>
          <w:szCs w:val="22"/>
          <w:shd w:val="clear" w:color="auto" w:fill="FFFFFF"/>
        </w:rPr>
        <w:t xml:space="preserve"> eesmärk on ette näha, et teenuseosutajatele kohaldatakse </w:t>
      </w:r>
      <w:proofErr w:type="spellStart"/>
      <w:r w:rsidRPr="005A55CA">
        <w:rPr>
          <w:sz w:val="22"/>
          <w:szCs w:val="22"/>
          <w:shd w:val="clear" w:color="auto" w:fill="FFFFFF"/>
        </w:rPr>
        <w:t>küberturvalisuse</w:t>
      </w:r>
      <w:proofErr w:type="spellEnd"/>
      <w:r w:rsidRPr="005A55CA">
        <w:rPr>
          <w:sz w:val="22"/>
          <w:szCs w:val="22"/>
          <w:shd w:val="clear" w:color="auto" w:fill="FFFFFF"/>
        </w:rPr>
        <w:t xml:space="preserve"> seaduses digitaalse teenuse osutaja kohta sätestatut. Näiteks peab teenuseosutaja tegema kindlaks riskid, mis ohustavad süsteemi turvalisust, ja neid analüüsima ning rakendama riskide juhtimiseks kohaseid korralduslikke ja tehnilisi meetmeid. Samuti peab digitaalse teenuse osutaja teavitama pädevat asutust või </w:t>
      </w:r>
      <w:proofErr w:type="spellStart"/>
      <w:r w:rsidRPr="005A55CA">
        <w:rPr>
          <w:sz w:val="22"/>
          <w:szCs w:val="22"/>
          <w:shd w:val="clear" w:color="auto" w:fill="FFFFFF"/>
        </w:rPr>
        <w:t>küberturbe</w:t>
      </w:r>
      <w:proofErr w:type="spellEnd"/>
      <w:r w:rsidRPr="005A55CA">
        <w:rPr>
          <w:sz w:val="22"/>
          <w:szCs w:val="22"/>
          <w:shd w:val="clear" w:color="auto" w:fill="FFFFFF"/>
        </w:rPr>
        <w:t xml:space="preserve"> intsidentide lahendamise üksust </w:t>
      </w:r>
      <w:proofErr w:type="spellStart"/>
      <w:r w:rsidRPr="005A55CA">
        <w:rPr>
          <w:sz w:val="22"/>
          <w:szCs w:val="22"/>
          <w:shd w:val="clear" w:color="auto" w:fill="FFFFFF"/>
        </w:rPr>
        <w:t>küberintsidendist</w:t>
      </w:r>
      <w:proofErr w:type="spellEnd"/>
      <w:r w:rsidRPr="005A55CA">
        <w:rPr>
          <w:sz w:val="22"/>
          <w:szCs w:val="22"/>
          <w:shd w:val="clear" w:color="auto" w:fill="FFFFFF"/>
        </w:rPr>
        <w:t xml:space="preserve">, millel on oluline mõju osutatavale digitaalsele teenusele, viivitamata pärast </w:t>
      </w:r>
      <w:proofErr w:type="spellStart"/>
      <w:r w:rsidRPr="005A55CA">
        <w:rPr>
          <w:sz w:val="22"/>
          <w:szCs w:val="22"/>
          <w:shd w:val="clear" w:color="auto" w:fill="FFFFFF"/>
        </w:rPr>
        <w:t>küberintsidendist</w:t>
      </w:r>
      <w:proofErr w:type="spellEnd"/>
      <w:r w:rsidRPr="005A55CA">
        <w:rPr>
          <w:sz w:val="22"/>
          <w:szCs w:val="22"/>
          <w:shd w:val="clear" w:color="auto" w:fill="FFFFFF"/>
        </w:rPr>
        <w:t xml:space="preserve"> teada saamist. Siiski ei kohaldata seadust teenuseosutajatele, kellel on majandusaasta jooksul keskmiselt alla 50 töötaja ja kelle aasta bilansimaht või aastakäive ei ületa 10 miljonit eurot, arvestades mikro- ja väikeste ettevõtjate määratlusi Euroopa Komisjoni soovituses 2003/361/EÜ mikro-, väikeste ja keskmise suurusega ettevõtjate määratlemise kohta (ELT L 124, 20.05.2003, lk 36–41).</w:t>
      </w:r>
    </w:p>
    <w:p w14:paraId="52E15A26" w14:textId="77777777" w:rsidR="00AB065E" w:rsidRDefault="00AB065E" w:rsidP="00D375E5">
      <w:pPr>
        <w:shd w:val="clear" w:color="auto" w:fill="FFFFFF"/>
        <w:spacing w:before="0"/>
        <w:rPr>
          <w:sz w:val="22"/>
          <w:szCs w:val="22"/>
        </w:rPr>
      </w:pPr>
    </w:p>
    <w:p w14:paraId="56B924D2" w14:textId="77777777" w:rsidR="00C1579C" w:rsidRDefault="00C1579C" w:rsidP="00D375E5">
      <w:pPr>
        <w:shd w:val="clear" w:color="auto" w:fill="FFFFFF"/>
        <w:spacing w:before="0"/>
        <w:rPr>
          <w:sz w:val="22"/>
          <w:szCs w:val="22"/>
        </w:rPr>
      </w:pPr>
    </w:p>
    <w:p w14:paraId="4B8D3A73" w14:textId="74579401" w:rsidR="00311F49" w:rsidRPr="00311F49" w:rsidRDefault="00311F49" w:rsidP="00D375E5">
      <w:pPr>
        <w:shd w:val="clear" w:color="auto" w:fill="FFFFFF"/>
        <w:spacing w:before="0"/>
        <w:rPr>
          <w:sz w:val="22"/>
          <w:szCs w:val="22"/>
        </w:rPr>
      </w:pPr>
      <w:r w:rsidRPr="00311F49">
        <w:rPr>
          <w:b/>
          <w:sz w:val="22"/>
          <w:szCs w:val="22"/>
        </w:rPr>
        <w:t xml:space="preserve">Seaduse </w:t>
      </w:r>
      <w:r w:rsidR="00AC5C74">
        <w:rPr>
          <w:b/>
          <w:sz w:val="22"/>
          <w:szCs w:val="22"/>
        </w:rPr>
        <w:t>6</w:t>
      </w:r>
      <w:r w:rsidRPr="00311F49">
        <w:rPr>
          <w:b/>
          <w:sz w:val="22"/>
          <w:szCs w:val="22"/>
        </w:rPr>
        <w:t>. peatükk</w:t>
      </w:r>
      <w:r>
        <w:rPr>
          <w:sz w:val="22"/>
          <w:szCs w:val="22"/>
        </w:rPr>
        <w:t xml:space="preserve"> kehtestab nõuded </w:t>
      </w:r>
      <w:proofErr w:type="spellStart"/>
      <w:r w:rsidR="00AC5C74">
        <w:rPr>
          <w:sz w:val="22"/>
          <w:szCs w:val="22"/>
        </w:rPr>
        <w:t>krüptovarateenuse</w:t>
      </w:r>
      <w:proofErr w:type="spellEnd"/>
      <w:r w:rsidR="00AC5C74">
        <w:rPr>
          <w:sz w:val="22"/>
          <w:szCs w:val="22"/>
        </w:rPr>
        <w:t xml:space="preserve"> ja </w:t>
      </w:r>
      <w:proofErr w:type="spellStart"/>
      <w:r w:rsidR="00AC5C74">
        <w:rPr>
          <w:sz w:val="22"/>
          <w:szCs w:val="22"/>
        </w:rPr>
        <w:t>ühisrahastusteenuse</w:t>
      </w:r>
      <w:proofErr w:type="spellEnd"/>
      <w:r>
        <w:rPr>
          <w:sz w:val="22"/>
          <w:szCs w:val="22"/>
        </w:rPr>
        <w:t xml:space="preserve"> osutamisele</w:t>
      </w:r>
      <w:r w:rsidR="00AC5C74">
        <w:rPr>
          <w:sz w:val="22"/>
          <w:szCs w:val="22"/>
        </w:rPr>
        <w:t>.</w:t>
      </w:r>
      <w:r>
        <w:rPr>
          <w:sz w:val="22"/>
          <w:szCs w:val="22"/>
        </w:rPr>
        <w:t xml:space="preserve"> </w:t>
      </w:r>
    </w:p>
    <w:p w14:paraId="5B4E76C0" w14:textId="77777777" w:rsidR="00D44B2C" w:rsidRPr="005A55CA" w:rsidRDefault="00D44B2C" w:rsidP="00D375E5">
      <w:pPr>
        <w:spacing w:before="0"/>
        <w:rPr>
          <w:color w:val="000000" w:themeColor="text1"/>
          <w:sz w:val="22"/>
          <w:szCs w:val="22"/>
        </w:rPr>
      </w:pPr>
    </w:p>
    <w:bookmarkEnd w:id="3"/>
    <w:p w14:paraId="18E416A6" w14:textId="5ED5E76B" w:rsidR="00036F83" w:rsidRPr="005A55CA" w:rsidRDefault="00646E06" w:rsidP="00D375E5">
      <w:pPr>
        <w:spacing w:before="0"/>
        <w:rPr>
          <w:b/>
          <w:sz w:val="22"/>
          <w:szCs w:val="22"/>
        </w:rPr>
      </w:pPr>
      <w:r w:rsidRPr="005A55CA">
        <w:rPr>
          <w:b/>
          <w:sz w:val="22"/>
          <w:szCs w:val="22"/>
        </w:rPr>
        <w:t xml:space="preserve">Paragrahv </w:t>
      </w:r>
      <w:r w:rsidR="00EF7982" w:rsidRPr="005A55CA">
        <w:rPr>
          <w:b/>
          <w:sz w:val="22"/>
          <w:szCs w:val="22"/>
        </w:rPr>
        <w:t>4</w:t>
      </w:r>
      <w:r w:rsidR="00AC5C74">
        <w:rPr>
          <w:b/>
          <w:sz w:val="22"/>
          <w:szCs w:val="22"/>
        </w:rPr>
        <w:t>5</w:t>
      </w:r>
      <w:r w:rsidRPr="005A55CA">
        <w:rPr>
          <w:b/>
          <w:sz w:val="22"/>
          <w:szCs w:val="22"/>
        </w:rPr>
        <w:t xml:space="preserve"> </w:t>
      </w:r>
      <w:r w:rsidRPr="005A55CA">
        <w:rPr>
          <w:sz w:val="22"/>
          <w:szCs w:val="22"/>
        </w:rPr>
        <w:t>kehtestab üldnõuded teenuse osutamisele.</w:t>
      </w:r>
    </w:p>
    <w:p w14:paraId="50411594" w14:textId="77777777" w:rsidR="00F71BCB" w:rsidRPr="005A55CA" w:rsidRDefault="00F71BCB" w:rsidP="00D375E5">
      <w:pPr>
        <w:spacing w:before="0"/>
        <w:rPr>
          <w:b/>
          <w:sz w:val="22"/>
          <w:szCs w:val="22"/>
        </w:rPr>
      </w:pPr>
    </w:p>
    <w:p w14:paraId="655B5A20" w14:textId="77777777" w:rsidR="00EA173B" w:rsidRDefault="00036F83" w:rsidP="00D375E5">
      <w:pPr>
        <w:spacing w:before="0"/>
        <w:rPr>
          <w:sz w:val="22"/>
          <w:szCs w:val="22"/>
        </w:rPr>
      </w:pPr>
      <w:r w:rsidRPr="005A55CA">
        <w:rPr>
          <w:b/>
          <w:sz w:val="22"/>
          <w:szCs w:val="22"/>
        </w:rPr>
        <w:t>Lõikes 1</w:t>
      </w:r>
      <w:r w:rsidRPr="005A55CA">
        <w:rPr>
          <w:sz w:val="22"/>
          <w:szCs w:val="22"/>
        </w:rPr>
        <w:t xml:space="preserve"> täpsustatakse teenuse osutamise nõuded, mis kohalduvad standardsena kõikidele teenuseosutajatele. </w:t>
      </w:r>
    </w:p>
    <w:p w14:paraId="4170BF86" w14:textId="77777777" w:rsidR="00EA173B" w:rsidRDefault="00EA173B" w:rsidP="00D375E5">
      <w:pPr>
        <w:spacing w:before="0"/>
        <w:rPr>
          <w:sz w:val="22"/>
          <w:szCs w:val="22"/>
        </w:rPr>
      </w:pPr>
    </w:p>
    <w:p w14:paraId="2742CD12" w14:textId="2BE6E6B8" w:rsidR="00646E06" w:rsidRPr="005A55CA" w:rsidRDefault="00036F83" w:rsidP="00D375E5">
      <w:pPr>
        <w:spacing w:before="0"/>
        <w:rPr>
          <w:sz w:val="22"/>
          <w:szCs w:val="22"/>
        </w:rPr>
      </w:pPr>
      <w:r w:rsidRPr="005A55CA">
        <w:rPr>
          <w:b/>
          <w:sz w:val="22"/>
          <w:szCs w:val="22"/>
        </w:rPr>
        <w:t>Punktiga 1</w:t>
      </w:r>
      <w:r w:rsidRPr="005A55CA">
        <w:rPr>
          <w:sz w:val="22"/>
          <w:szCs w:val="22"/>
        </w:rPr>
        <w:t xml:space="preserve"> kehtestatakse kohustus, et </w:t>
      </w:r>
      <w:r w:rsidR="00791877">
        <w:rPr>
          <w:sz w:val="22"/>
          <w:szCs w:val="22"/>
        </w:rPr>
        <w:t>teenuseosutaja</w:t>
      </w:r>
      <w:r w:rsidRPr="005A55CA">
        <w:rPr>
          <w:sz w:val="22"/>
          <w:szCs w:val="22"/>
        </w:rPr>
        <w:t xml:space="preserve"> peab teenuse osutamisel tegutsema</w:t>
      </w:r>
      <w:r w:rsidR="00527EFB">
        <w:rPr>
          <w:sz w:val="22"/>
          <w:szCs w:val="22"/>
        </w:rPr>
        <w:t xml:space="preserve"> </w:t>
      </w:r>
      <w:r w:rsidRPr="005A55CA">
        <w:rPr>
          <w:sz w:val="22"/>
          <w:szCs w:val="22"/>
        </w:rPr>
        <w:t xml:space="preserve">lähtuvalt kliendi huvist ja õigusaktides esitatud nõuetest, teenuse keerukusastmele vastava hoolsuse ning teenuseosutajalt eeldatava ettenägelikkuse ja pädevusega ning järgima </w:t>
      </w:r>
      <w:r w:rsidR="006179EE">
        <w:rPr>
          <w:sz w:val="22"/>
          <w:szCs w:val="22"/>
        </w:rPr>
        <w:t>sellekohaseid</w:t>
      </w:r>
      <w:r w:rsidRPr="005A55CA">
        <w:rPr>
          <w:sz w:val="22"/>
          <w:szCs w:val="22"/>
        </w:rPr>
        <w:t xml:space="preserve"> </w:t>
      </w:r>
      <w:proofErr w:type="spellStart"/>
      <w:r w:rsidRPr="005A55CA">
        <w:rPr>
          <w:sz w:val="22"/>
          <w:szCs w:val="22"/>
        </w:rPr>
        <w:t>sise</w:t>
      </w:r>
      <w:proofErr w:type="spellEnd"/>
      <w:r w:rsidRPr="005A55CA">
        <w:rPr>
          <w:sz w:val="22"/>
          <w:szCs w:val="22"/>
        </w:rPr>
        <w:t xml:space="preserve">-eeskirju. </w:t>
      </w:r>
      <w:r w:rsidRPr="005A55CA">
        <w:rPr>
          <w:b/>
          <w:sz w:val="22"/>
          <w:szCs w:val="22"/>
        </w:rPr>
        <w:t>Punkti 2</w:t>
      </w:r>
      <w:r w:rsidRPr="005A55CA">
        <w:rPr>
          <w:sz w:val="22"/>
          <w:szCs w:val="22"/>
        </w:rPr>
        <w:t xml:space="preserve"> kohaselt peab teenuseosutaja tagama teenuse osutamisega seotud asjaolude, sealhulgas investeerimis</w:t>
      </w:r>
      <w:r w:rsidR="006179EE">
        <w:rPr>
          <w:sz w:val="22"/>
          <w:szCs w:val="22"/>
        </w:rPr>
        <w:t>projekti</w:t>
      </w:r>
      <w:r w:rsidRPr="005A55CA">
        <w:rPr>
          <w:sz w:val="22"/>
          <w:szCs w:val="22"/>
        </w:rPr>
        <w:t xml:space="preserve"> pakkumise kohta ajakohase, selge, tõese, täpse ja täieliku teabe avalikustamise ning tegema selle ühetaoliselt kättesaadavaks kõikidele klientidele. Täieliku teabe all mõeldakse mh ka sellist teavet, mis seondub investeerimis</w:t>
      </w:r>
      <w:r w:rsidR="00DA04DA">
        <w:rPr>
          <w:sz w:val="22"/>
          <w:szCs w:val="22"/>
        </w:rPr>
        <w:t>projektiga</w:t>
      </w:r>
      <w:r w:rsidRPr="005A55CA">
        <w:rPr>
          <w:sz w:val="22"/>
          <w:szCs w:val="22"/>
        </w:rPr>
        <w:t xml:space="preserve"> ka kaudselt, nt on käimas sama investeerimisprojektiga seotud </w:t>
      </w:r>
      <w:proofErr w:type="spellStart"/>
      <w:r w:rsidRPr="005A55CA">
        <w:rPr>
          <w:sz w:val="22"/>
          <w:szCs w:val="22"/>
        </w:rPr>
        <w:t>ühisrahastuskampaaniad</w:t>
      </w:r>
      <w:proofErr w:type="spellEnd"/>
      <w:r w:rsidRPr="005A55CA">
        <w:rPr>
          <w:sz w:val="22"/>
          <w:szCs w:val="22"/>
        </w:rPr>
        <w:t xml:space="preserve"> korraga või järgemööda mitmel erineval platvormil ehk raha kaasatakse ühe või mitme seotud projekti osas erinevatest kohtadest. Eelnev info võib mõjutada investeerimisotsust, mistõttu on oluline, et selline teave oleks </w:t>
      </w:r>
      <w:r w:rsidR="00BD5E7F">
        <w:rPr>
          <w:sz w:val="22"/>
          <w:szCs w:val="22"/>
        </w:rPr>
        <w:t>klientidele</w:t>
      </w:r>
      <w:r w:rsidRPr="005A55CA">
        <w:rPr>
          <w:sz w:val="22"/>
          <w:szCs w:val="22"/>
        </w:rPr>
        <w:t xml:space="preserve"> kättesaadav.</w:t>
      </w:r>
    </w:p>
    <w:p w14:paraId="6C293E6A" w14:textId="542DDBE3" w:rsidR="0047055A" w:rsidRPr="005A55CA" w:rsidRDefault="00F71BCB" w:rsidP="00D375E5">
      <w:pPr>
        <w:spacing w:before="0"/>
        <w:rPr>
          <w:sz w:val="22"/>
          <w:szCs w:val="22"/>
        </w:rPr>
      </w:pPr>
      <w:r w:rsidRPr="005A55CA">
        <w:rPr>
          <w:b/>
          <w:sz w:val="22"/>
          <w:szCs w:val="22"/>
        </w:rPr>
        <w:t>Punkti 3</w:t>
      </w:r>
      <w:r w:rsidRPr="005A55CA">
        <w:rPr>
          <w:sz w:val="22"/>
          <w:szCs w:val="22"/>
        </w:rPr>
        <w:t xml:space="preserve"> kohaselt peab teenuseosutaja teavitama klienti piisavalt teenuse olemusest ja sellega seonduvatest riskidest. </w:t>
      </w:r>
      <w:r w:rsidRPr="005A55CA">
        <w:rPr>
          <w:b/>
          <w:sz w:val="22"/>
          <w:szCs w:val="22"/>
        </w:rPr>
        <w:t>Punkt 4</w:t>
      </w:r>
      <w:r w:rsidRPr="005A55CA">
        <w:rPr>
          <w:sz w:val="22"/>
          <w:szCs w:val="22"/>
        </w:rPr>
        <w:t xml:space="preserve"> kohustab teenuseosutajat hoidma ja kaitsma kliendi raha ja </w:t>
      </w:r>
      <w:r w:rsidR="006179EE">
        <w:rPr>
          <w:sz w:val="22"/>
          <w:szCs w:val="22"/>
        </w:rPr>
        <w:t>muid</w:t>
      </w:r>
      <w:r w:rsidRPr="005A55CA">
        <w:rPr>
          <w:sz w:val="22"/>
          <w:szCs w:val="22"/>
        </w:rPr>
        <w:t xml:space="preserve"> vahendeid, mis on antud teenuseosutajale hoiule või tema käsutusse. </w:t>
      </w:r>
      <w:r w:rsidRPr="005A55CA">
        <w:rPr>
          <w:b/>
          <w:sz w:val="22"/>
          <w:szCs w:val="22"/>
        </w:rPr>
        <w:t>Punkti 5</w:t>
      </w:r>
      <w:r w:rsidRPr="005A55CA">
        <w:rPr>
          <w:sz w:val="22"/>
          <w:szCs w:val="22"/>
        </w:rPr>
        <w:t xml:space="preserve"> kohaselt peab teenuseosutaja andma kliendile regulaarselt teavet teenuse osutamisest. </w:t>
      </w:r>
      <w:r w:rsidR="0047055A" w:rsidRPr="005A55CA">
        <w:rPr>
          <w:b/>
          <w:sz w:val="22"/>
          <w:szCs w:val="22"/>
        </w:rPr>
        <w:t>Punktides 6-9</w:t>
      </w:r>
      <w:r w:rsidR="0047055A" w:rsidRPr="005A55CA">
        <w:rPr>
          <w:sz w:val="22"/>
          <w:szCs w:val="22"/>
        </w:rPr>
        <w:t xml:space="preserve"> on sätestatud üldised teabe avalikustamise ja klientide teavitamise põhimõtted; sealhulgas tuleb teenuseosutajal kliente teavitada teenuste eest võetavatest tasudest, potentsiaalsetest või tegelikest huvide konflikti situatsioonidest ning asjakohasel juhul ka juhtorgani liikmete ja töötajate kui ka olulist osalust omavate isikute osalusest investeerimisprojektides.</w:t>
      </w:r>
    </w:p>
    <w:p w14:paraId="5E6D2B2A" w14:textId="6609A625" w:rsidR="00406C19" w:rsidRDefault="00F71BCB" w:rsidP="00406C19">
      <w:pPr>
        <w:spacing w:before="0"/>
        <w:rPr>
          <w:sz w:val="22"/>
          <w:szCs w:val="22"/>
        </w:rPr>
      </w:pPr>
      <w:r w:rsidRPr="005A55CA">
        <w:rPr>
          <w:b/>
          <w:sz w:val="22"/>
          <w:szCs w:val="22"/>
        </w:rPr>
        <w:lastRenderedPageBreak/>
        <w:t xml:space="preserve">Punkti </w:t>
      </w:r>
      <w:r w:rsidR="0047055A" w:rsidRPr="005A55CA">
        <w:rPr>
          <w:b/>
          <w:sz w:val="22"/>
          <w:szCs w:val="22"/>
        </w:rPr>
        <w:t>9</w:t>
      </w:r>
      <w:r w:rsidRPr="005A55CA">
        <w:rPr>
          <w:sz w:val="22"/>
          <w:szCs w:val="22"/>
        </w:rPr>
        <w:t xml:space="preserve"> kohaselt peab teenuseosutaja registreerima ja säilitama teenuse osutamisel kogutud ja käesoleva seadusega ning selle alusel kehtestatud õigusaktidega registreerimiseks ning säilitamiseks nõutud andmeid. </w:t>
      </w:r>
      <w:r w:rsidR="0047055A" w:rsidRPr="005A55CA">
        <w:rPr>
          <w:sz w:val="22"/>
          <w:szCs w:val="22"/>
        </w:rPr>
        <w:t xml:space="preserve">Andmete kogumise kohta vt täpsemalt käesoleva seaduse 9. peatükis sätestatut. </w:t>
      </w:r>
      <w:r w:rsidRPr="005A55CA">
        <w:rPr>
          <w:b/>
          <w:sz w:val="22"/>
          <w:szCs w:val="22"/>
        </w:rPr>
        <w:t xml:space="preserve">Punkt </w:t>
      </w:r>
      <w:r w:rsidR="0047055A" w:rsidRPr="005A55CA">
        <w:rPr>
          <w:b/>
          <w:sz w:val="22"/>
          <w:szCs w:val="22"/>
        </w:rPr>
        <w:t>10</w:t>
      </w:r>
      <w:r w:rsidRPr="005A55CA">
        <w:rPr>
          <w:sz w:val="22"/>
          <w:szCs w:val="22"/>
        </w:rPr>
        <w:t xml:space="preserve"> paneb teenuseosutajale kohustuse lahendada kliendi kaebus seoses teenuse osutamisega võimalikult kiiresti ja läbipaistvalt. </w:t>
      </w:r>
      <w:r w:rsidRPr="005A55CA">
        <w:rPr>
          <w:b/>
          <w:sz w:val="22"/>
          <w:szCs w:val="22"/>
        </w:rPr>
        <w:t xml:space="preserve">Punkti </w:t>
      </w:r>
      <w:r w:rsidR="0047055A" w:rsidRPr="005A55CA">
        <w:rPr>
          <w:b/>
          <w:sz w:val="22"/>
          <w:szCs w:val="22"/>
        </w:rPr>
        <w:t>11</w:t>
      </w:r>
      <w:r w:rsidRPr="005A55CA">
        <w:rPr>
          <w:sz w:val="22"/>
          <w:szCs w:val="22"/>
        </w:rPr>
        <w:t xml:space="preserve"> </w:t>
      </w:r>
      <w:r w:rsidR="0047055A" w:rsidRPr="005A55CA">
        <w:rPr>
          <w:sz w:val="22"/>
          <w:szCs w:val="22"/>
        </w:rPr>
        <w:t xml:space="preserve">järgi tuleb teenuseosutajal rakendada teenuse osutamisel </w:t>
      </w:r>
      <w:proofErr w:type="spellStart"/>
      <w:r w:rsidR="0047055A" w:rsidRPr="005A55CA">
        <w:rPr>
          <w:sz w:val="22"/>
          <w:szCs w:val="22"/>
        </w:rPr>
        <w:t>ühetaoliseid</w:t>
      </w:r>
      <w:proofErr w:type="spellEnd"/>
      <w:r w:rsidR="0047055A" w:rsidRPr="005A55CA">
        <w:rPr>
          <w:sz w:val="22"/>
          <w:szCs w:val="22"/>
        </w:rPr>
        <w:t xml:space="preserve"> reegleid ning mitte diskrimineerima kliente või klientide gruppe, kellele teenust osutatakse või kellele teenuse osutamisest keeldutakse.</w:t>
      </w:r>
      <w:r w:rsidR="00791877">
        <w:rPr>
          <w:sz w:val="22"/>
          <w:szCs w:val="22"/>
        </w:rPr>
        <w:t xml:space="preserve"> </w:t>
      </w:r>
      <w:r w:rsidR="006179EE" w:rsidRPr="006179EE">
        <w:rPr>
          <w:b/>
          <w:bCs/>
          <w:sz w:val="22"/>
          <w:szCs w:val="22"/>
        </w:rPr>
        <w:t>P</w:t>
      </w:r>
      <w:r w:rsidR="00791877">
        <w:rPr>
          <w:b/>
          <w:sz w:val="22"/>
          <w:szCs w:val="22"/>
        </w:rPr>
        <w:t>unkti 1</w:t>
      </w:r>
      <w:r w:rsidR="00406C19">
        <w:rPr>
          <w:b/>
          <w:sz w:val="22"/>
          <w:szCs w:val="22"/>
        </w:rPr>
        <w:t>2</w:t>
      </w:r>
      <w:r w:rsidR="00791877">
        <w:rPr>
          <w:b/>
          <w:sz w:val="22"/>
          <w:szCs w:val="22"/>
        </w:rPr>
        <w:t xml:space="preserve"> </w:t>
      </w:r>
      <w:r w:rsidR="00791877">
        <w:rPr>
          <w:sz w:val="22"/>
          <w:szCs w:val="22"/>
        </w:rPr>
        <w:t xml:space="preserve">järgi tuleb teenuseosutajatel </w:t>
      </w:r>
      <w:r w:rsidR="00406C19">
        <w:rPr>
          <w:sz w:val="22"/>
          <w:szCs w:val="22"/>
        </w:rPr>
        <w:t xml:space="preserve">täita kliendi korraldus parimal </w:t>
      </w:r>
      <w:proofErr w:type="spellStart"/>
      <w:r w:rsidR="00406C19">
        <w:rPr>
          <w:sz w:val="22"/>
          <w:szCs w:val="22"/>
        </w:rPr>
        <w:t>viivil</w:t>
      </w:r>
      <w:proofErr w:type="spellEnd"/>
      <w:r w:rsidR="00406C19">
        <w:rPr>
          <w:sz w:val="22"/>
          <w:szCs w:val="22"/>
        </w:rPr>
        <w:t xml:space="preserve"> ning vastavalt käesolevas seaduses ja selle alusel kehtestatud õigusaktides sätestatule. </w:t>
      </w:r>
      <w:r w:rsidR="00406C19">
        <w:rPr>
          <w:b/>
          <w:bCs/>
          <w:sz w:val="22"/>
          <w:szCs w:val="22"/>
        </w:rPr>
        <w:t xml:space="preserve">Punkti 13 </w:t>
      </w:r>
      <w:r w:rsidR="00406C19">
        <w:rPr>
          <w:sz w:val="22"/>
          <w:szCs w:val="22"/>
        </w:rPr>
        <w:t xml:space="preserve">järgi tuleb teenuseosutajal </w:t>
      </w:r>
      <w:r w:rsidR="00791877">
        <w:rPr>
          <w:sz w:val="22"/>
          <w:szCs w:val="22"/>
        </w:rPr>
        <w:t>avaldada oma veebilehel viited teenuseosutaja üle järelevalvet teostavatele asutustele ja vaidluste kohtuvälise lahendamise asutusele, kelle poole kliendil oleks võimalik pöörduda</w:t>
      </w:r>
      <w:r w:rsidR="00406C19">
        <w:rPr>
          <w:sz w:val="22"/>
          <w:szCs w:val="22"/>
        </w:rPr>
        <w:t xml:space="preserve"> teenuse sisu puudutava vaidluse lahendamiseks</w:t>
      </w:r>
      <w:r w:rsidR="00791877">
        <w:rPr>
          <w:sz w:val="22"/>
          <w:szCs w:val="22"/>
        </w:rPr>
        <w:t>.</w:t>
      </w:r>
    </w:p>
    <w:p w14:paraId="1B37D527" w14:textId="77777777" w:rsidR="00491B07" w:rsidRDefault="00491B07" w:rsidP="00406C19">
      <w:pPr>
        <w:spacing w:before="0"/>
        <w:rPr>
          <w:b/>
          <w:sz w:val="22"/>
          <w:szCs w:val="22"/>
        </w:rPr>
      </w:pPr>
    </w:p>
    <w:p w14:paraId="293C023D" w14:textId="6AF95017" w:rsidR="00406C19" w:rsidRDefault="00406C19" w:rsidP="00406C19">
      <w:pPr>
        <w:spacing w:before="0"/>
        <w:rPr>
          <w:sz w:val="22"/>
          <w:szCs w:val="22"/>
        </w:rPr>
      </w:pPr>
      <w:r w:rsidRPr="005A55CA">
        <w:rPr>
          <w:b/>
          <w:sz w:val="22"/>
          <w:szCs w:val="22"/>
        </w:rPr>
        <w:t xml:space="preserve">Lõige </w:t>
      </w:r>
      <w:r>
        <w:rPr>
          <w:b/>
          <w:sz w:val="22"/>
          <w:szCs w:val="22"/>
        </w:rPr>
        <w:t xml:space="preserve">2 </w:t>
      </w:r>
      <w:r>
        <w:rPr>
          <w:bCs/>
          <w:sz w:val="22"/>
          <w:szCs w:val="22"/>
        </w:rPr>
        <w:t>täpsustab</w:t>
      </w:r>
      <w:r w:rsidRPr="005A55CA">
        <w:rPr>
          <w:sz w:val="22"/>
          <w:szCs w:val="22"/>
        </w:rPr>
        <w:t xml:space="preserve">, millist teavet peab </w:t>
      </w:r>
      <w:r w:rsidRPr="005C7572">
        <w:rPr>
          <w:sz w:val="22"/>
          <w:szCs w:val="22"/>
        </w:rPr>
        <w:t>teenuseosutaja</w:t>
      </w:r>
      <w:r w:rsidRPr="005A55CA">
        <w:rPr>
          <w:sz w:val="22"/>
          <w:szCs w:val="22"/>
        </w:rPr>
        <w:t xml:space="preserve"> andma </w:t>
      </w:r>
      <w:r>
        <w:rPr>
          <w:sz w:val="22"/>
          <w:szCs w:val="22"/>
        </w:rPr>
        <w:t xml:space="preserve">kliendile </w:t>
      </w:r>
      <w:r w:rsidRPr="005A55CA">
        <w:rPr>
          <w:sz w:val="22"/>
          <w:szCs w:val="22"/>
        </w:rPr>
        <w:t xml:space="preserve">kliendi nõudmisel. Selliseks infoks on </w:t>
      </w:r>
      <w:r>
        <w:rPr>
          <w:sz w:val="22"/>
          <w:szCs w:val="22"/>
        </w:rPr>
        <w:t xml:space="preserve">vastavas </w:t>
      </w:r>
      <w:r w:rsidRPr="005A55CA">
        <w:rPr>
          <w:sz w:val="22"/>
          <w:szCs w:val="22"/>
        </w:rPr>
        <w:t xml:space="preserve">teenuseosutajas olulist osalust omavate isikute ja nende osaluse suuruse kohta </w:t>
      </w:r>
      <w:r>
        <w:rPr>
          <w:sz w:val="22"/>
          <w:szCs w:val="22"/>
        </w:rPr>
        <w:t xml:space="preserve">vastava </w:t>
      </w:r>
      <w:r w:rsidRPr="005A55CA">
        <w:rPr>
          <w:sz w:val="22"/>
          <w:szCs w:val="22"/>
        </w:rPr>
        <w:t>teenuseosutaja aktsia- või osakapitalis (</w:t>
      </w:r>
      <w:r w:rsidRPr="005A55CA">
        <w:rPr>
          <w:b/>
          <w:sz w:val="22"/>
          <w:szCs w:val="22"/>
        </w:rPr>
        <w:t>punkt 1</w:t>
      </w:r>
      <w:r w:rsidRPr="005A55CA">
        <w:rPr>
          <w:sz w:val="22"/>
          <w:szCs w:val="22"/>
        </w:rPr>
        <w:t>); teenuseosutaja juriidilise vormi</w:t>
      </w:r>
      <w:r>
        <w:rPr>
          <w:sz w:val="22"/>
          <w:szCs w:val="22"/>
        </w:rPr>
        <w:t xml:space="preserve"> ning</w:t>
      </w:r>
      <w:r w:rsidRPr="005A55CA">
        <w:rPr>
          <w:sz w:val="22"/>
          <w:szCs w:val="22"/>
        </w:rPr>
        <w:t xml:space="preserve"> organisatsioonilise ülesehituse kohta (</w:t>
      </w:r>
      <w:r w:rsidRPr="005A55CA">
        <w:rPr>
          <w:b/>
          <w:sz w:val="22"/>
          <w:szCs w:val="22"/>
        </w:rPr>
        <w:t>punkt 2</w:t>
      </w:r>
      <w:r w:rsidRPr="005A55CA">
        <w:rPr>
          <w:sz w:val="22"/>
          <w:szCs w:val="22"/>
        </w:rPr>
        <w:t>); teenuseosutaja juhtide ees- ja perekonnanimi</w:t>
      </w:r>
      <w:r>
        <w:rPr>
          <w:sz w:val="22"/>
          <w:szCs w:val="22"/>
        </w:rPr>
        <w:t xml:space="preserve"> ning nende ülesanded teenuseosutajas</w:t>
      </w:r>
      <w:r w:rsidRPr="005A55CA">
        <w:rPr>
          <w:sz w:val="22"/>
          <w:szCs w:val="22"/>
        </w:rPr>
        <w:t>, osutatavate teenuste kohta (</w:t>
      </w:r>
      <w:r w:rsidRPr="005A55CA">
        <w:rPr>
          <w:b/>
          <w:sz w:val="22"/>
          <w:szCs w:val="22"/>
        </w:rPr>
        <w:t xml:space="preserve">punkt </w:t>
      </w:r>
      <w:r>
        <w:rPr>
          <w:b/>
          <w:sz w:val="22"/>
          <w:szCs w:val="22"/>
        </w:rPr>
        <w:t>4</w:t>
      </w:r>
      <w:r w:rsidRPr="005A55CA">
        <w:rPr>
          <w:sz w:val="22"/>
          <w:szCs w:val="22"/>
        </w:rPr>
        <w:t xml:space="preserve">). Lõikes </w:t>
      </w:r>
      <w:r>
        <w:rPr>
          <w:sz w:val="22"/>
          <w:szCs w:val="22"/>
        </w:rPr>
        <w:t>2</w:t>
      </w:r>
      <w:r w:rsidRPr="005A55CA">
        <w:rPr>
          <w:sz w:val="22"/>
          <w:szCs w:val="22"/>
        </w:rPr>
        <w:t xml:space="preserve"> märgitud teabe avaldamise vormi täpsustatakse sama paragrahvi </w:t>
      </w:r>
      <w:r w:rsidRPr="005A55CA">
        <w:rPr>
          <w:b/>
          <w:sz w:val="22"/>
          <w:szCs w:val="22"/>
        </w:rPr>
        <w:t xml:space="preserve">lõikes </w:t>
      </w:r>
      <w:r>
        <w:rPr>
          <w:b/>
          <w:sz w:val="22"/>
          <w:szCs w:val="22"/>
        </w:rPr>
        <w:t>3</w:t>
      </w:r>
      <w:r w:rsidRPr="005A55CA">
        <w:rPr>
          <w:sz w:val="22"/>
          <w:szCs w:val="22"/>
        </w:rPr>
        <w:t xml:space="preserve">, mille kohaselt tuleb kliendile tema nõudmisel esitada lõikes </w:t>
      </w:r>
      <w:r>
        <w:rPr>
          <w:sz w:val="22"/>
          <w:szCs w:val="22"/>
        </w:rPr>
        <w:t>4</w:t>
      </w:r>
      <w:r w:rsidRPr="005A55CA">
        <w:rPr>
          <w:sz w:val="22"/>
          <w:szCs w:val="22"/>
        </w:rPr>
        <w:t xml:space="preserve"> toodud teave püsival andmekandjal.</w:t>
      </w:r>
    </w:p>
    <w:p w14:paraId="6CE82AC3" w14:textId="21BD6F95" w:rsidR="000573C2" w:rsidRDefault="000573C2" w:rsidP="00406C19">
      <w:pPr>
        <w:spacing w:before="0"/>
        <w:rPr>
          <w:sz w:val="22"/>
          <w:szCs w:val="22"/>
        </w:rPr>
      </w:pPr>
    </w:p>
    <w:p w14:paraId="7B6E5A9A" w14:textId="02C7F380" w:rsidR="000573C2" w:rsidRDefault="00020700" w:rsidP="00406C19">
      <w:pPr>
        <w:spacing w:before="0"/>
        <w:rPr>
          <w:sz w:val="22"/>
          <w:szCs w:val="22"/>
        </w:rPr>
      </w:pPr>
      <w:r>
        <w:rPr>
          <w:b/>
          <w:bCs/>
          <w:sz w:val="22"/>
          <w:szCs w:val="22"/>
        </w:rPr>
        <w:t xml:space="preserve">Paragrahv 46 </w:t>
      </w:r>
      <w:r>
        <w:rPr>
          <w:sz w:val="22"/>
          <w:szCs w:val="22"/>
        </w:rPr>
        <w:t xml:space="preserve">sätestab spetsiifilisemad nõuded teenuseosutajale seoses rahastuse taotlejaga. </w:t>
      </w:r>
    </w:p>
    <w:p w14:paraId="4BD51BDD" w14:textId="499AC720" w:rsidR="00020700" w:rsidRDefault="00020700" w:rsidP="00406C19">
      <w:pPr>
        <w:spacing w:before="0"/>
        <w:rPr>
          <w:sz w:val="22"/>
          <w:szCs w:val="22"/>
        </w:rPr>
      </w:pPr>
    </w:p>
    <w:p w14:paraId="51D5FF4D" w14:textId="777D440A" w:rsidR="00020700" w:rsidRDefault="00020700" w:rsidP="00406C19">
      <w:pPr>
        <w:spacing w:before="0"/>
        <w:rPr>
          <w:sz w:val="22"/>
          <w:szCs w:val="22"/>
        </w:rPr>
      </w:pPr>
      <w:r>
        <w:rPr>
          <w:b/>
          <w:bCs/>
          <w:sz w:val="22"/>
          <w:szCs w:val="22"/>
        </w:rPr>
        <w:t xml:space="preserve">Lõike 1 </w:t>
      </w:r>
      <w:r>
        <w:rPr>
          <w:sz w:val="22"/>
          <w:szCs w:val="22"/>
        </w:rPr>
        <w:t>punkti 1 kohaselt on teenuseosutaja kohustatud mitte jätma avalikustamata olulist infot rahastuse taotleja tegevuse kohta, mis on teenuseosutajale teada ja mis võib potentsiaalselt mõjutada klienti investeerimisotsuse tegemisel. Punkti 2 järgi kohustub teenuseosutaja kontrollima rahastuse taotleja makse- või krediidivõimelisust, välja arvatud juhul, kui teine teenuseosutaja, krediidiasutus või krediidiandja on rahastuse taotleja makse- või krediidivõimelisust eelnevalt mõistliku aja jooksul kontrollinud. Punkti 3 järgi kohustub teenuseosutaja kontrollima, et juriidilisest isikust rahastuse taotleja juhtorgani liikmed on laitmatu ärialase mainega ning et nende tegevus rahastuse taotleja juhtidena vastab usaldusväärse juhtimise põhimõtetele.</w:t>
      </w:r>
    </w:p>
    <w:p w14:paraId="1BA83496" w14:textId="1EF62933" w:rsidR="00020700" w:rsidRDefault="00020700" w:rsidP="00406C19">
      <w:pPr>
        <w:spacing w:before="0"/>
        <w:rPr>
          <w:sz w:val="22"/>
          <w:szCs w:val="22"/>
        </w:rPr>
      </w:pPr>
    </w:p>
    <w:p w14:paraId="0C45B671" w14:textId="014A6AD7" w:rsidR="00020700" w:rsidRPr="005D2F67" w:rsidRDefault="00020700" w:rsidP="00020700">
      <w:pPr>
        <w:spacing w:before="0"/>
        <w:rPr>
          <w:color w:val="000000" w:themeColor="text1"/>
          <w:sz w:val="22"/>
          <w:szCs w:val="22"/>
        </w:rPr>
      </w:pPr>
      <w:r>
        <w:rPr>
          <w:b/>
          <w:bCs/>
          <w:sz w:val="22"/>
          <w:szCs w:val="22"/>
        </w:rPr>
        <w:t>Lõig</w:t>
      </w:r>
      <w:r w:rsidR="00F47832">
        <w:rPr>
          <w:b/>
          <w:bCs/>
          <w:sz w:val="22"/>
          <w:szCs w:val="22"/>
        </w:rPr>
        <w:t>e</w:t>
      </w:r>
      <w:r>
        <w:rPr>
          <w:b/>
          <w:bCs/>
          <w:sz w:val="22"/>
          <w:szCs w:val="22"/>
        </w:rPr>
        <w:t xml:space="preserve"> 2 </w:t>
      </w:r>
      <w:r w:rsidRPr="005C7572">
        <w:rPr>
          <w:sz w:val="22"/>
          <w:szCs w:val="22"/>
        </w:rPr>
        <w:t xml:space="preserve">kohustab </w:t>
      </w:r>
      <w:r>
        <w:rPr>
          <w:sz w:val="22"/>
          <w:szCs w:val="22"/>
        </w:rPr>
        <w:t xml:space="preserve">teenuseosutajat </w:t>
      </w:r>
      <w:r w:rsidRPr="005C7572">
        <w:rPr>
          <w:sz w:val="22"/>
          <w:szCs w:val="22"/>
        </w:rPr>
        <w:t>võtma meetmeid</w:t>
      </w:r>
      <w:r w:rsidRPr="005D2F67">
        <w:rPr>
          <w:sz w:val="22"/>
          <w:szCs w:val="22"/>
        </w:rPr>
        <w:t xml:space="preserve">, kui rahastuse taotleja ei tee vajalikku koostööd või ei anna investeerimispakkumise koostamiseks vajaminevat teavet. Selle kohaselt </w:t>
      </w:r>
      <w:r w:rsidRPr="005D2F67">
        <w:rPr>
          <w:color w:val="000000" w:themeColor="text1"/>
          <w:sz w:val="22"/>
          <w:szCs w:val="22"/>
        </w:rPr>
        <w:t>keeldub teenuseosutaja lepingu sõlmimisest või peab lõpetama sõlmitud lepingu mõistliku aja jooksul, kui rahastuse taotleja ei avalda käesoleva seaduse § 4</w:t>
      </w:r>
      <w:r>
        <w:rPr>
          <w:color w:val="000000" w:themeColor="text1"/>
          <w:sz w:val="22"/>
          <w:szCs w:val="22"/>
        </w:rPr>
        <w:t>8</w:t>
      </w:r>
      <w:r w:rsidRPr="005D2F67">
        <w:rPr>
          <w:color w:val="000000" w:themeColor="text1"/>
          <w:sz w:val="22"/>
          <w:szCs w:val="22"/>
        </w:rPr>
        <w:t xml:space="preserve"> kohaselt teenuseosutajale investeerimisprojekti kohta nõutud andmeid või </w:t>
      </w:r>
      <w:r>
        <w:rPr>
          <w:color w:val="000000" w:themeColor="text1"/>
          <w:sz w:val="22"/>
          <w:szCs w:val="22"/>
        </w:rPr>
        <w:t xml:space="preserve">kui juriidilisest isikust rahastuse taotleja </w:t>
      </w:r>
      <w:r w:rsidRPr="005D2F67">
        <w:rPr>
          <w:color w:val="000000" w:themeColor="text1"/>
          <w:sz w:val="22"/>
          <w:szCs w:val="22"/>
        </w:rPr>
        <w:t xml:space="preserve">ei täida </w:t>
      </w:r>
      <w:r w:rsidR="00F47832">
        <w:rPr>
          <w:color w:val="000000" w:themeColor="text1"/>
          <w:sz w:val="22"/>
          <w:szCs w:val="22"/>
        </w:rPr>
        <w:t>temale</w:t>
      </w:r>
      <w:r w:rsidRPr="005D2F67">
        <w:rPr>
          <w:color w:val="000000" w:themeColor="text1"/>
          <w:sz w:val="22"/>
          <w:szCs w:val="22"/>
        </w:rPr>
        <w:t xml:space="preserve"> pandud kohustusi vastavalt käesoleva</w:t>
      </w:r>
      <w:r w:rsidR="00F47832">
        <w:rPr>
          <w:color w:val="000000" w:themeColor="text1"/>
          <w:sz w:val="22"/>
          <w:szCs w:val="22"/>
        </w:rPr>
        <w:t xml:space="preserve">le </w:t>
      </w:r>
      <w:r w:rsidR="00A240D8">
        <w:rPr>
          <w:color w:val="000000" w:themeColor="text1"/>
          <w:sz w:val="22"/>
          <w:szCs w:val="22"/>
        </w:rPr>
        <w:t>seaduse §-le 65</w:t>
      </w:r>
      <w:r w:rsidRPr="005D2F67">
        <w:rPr>
          <w:color w:val="000000" w:themeColor="text1"/>
          <w:sz w:val="22"/>
          <w:szCs w:val="22"/>
        </w:rPr>
        <w:t>.</w:t>
      </w:r>
    </w:p>
    <w:p w14:paraId="649740AC" w14:textId="49FE80DF" w:rsidR="00020700" w:rsidRDefault="00020700" w:rsidP="00406C19">
      <w:pPr>
        <w:spacing w:before="0"/>
        <w:rPr>
          <w:b/>
          <w:bCs/>
          <w:sz w:val="22"/>
          <w:szCs w:val="22"/>
        </w:rPr>
      </w:pPr>
    </w:p>
    <w:p w14:paraId="43A2C6B9" w14:textId="58CD6EF7" w:rsidR="00F47832" w:rsidRDefault="00F47832" w:rsidP="00406C19">
      <w:pPr>
        <w:spacing w:before="0"/>
        <w:rPr>
          <w:sz w:val="22"/>
          <w:szCs w:val="22"/>
        </w:rPr>
      </w:pPr>
      <w:r w:rsidRPr="00F47832">
        <w:rPr>
          <w:b/>
          <w:bCs/>
          <w:sz w:val="22"/>
          <w:szCs w:val="22"/>
        </w:rPr>
        <w:t xml:space="preserve">Lõike 3 </w:t>
      </w:r>
      <w:r w:rsidRPr="00F47832">
        <w:rPr>
          <w:sz w:val="22"/>
          <w:szCs w:val="22"/>
        </w:rPr>
        <w:t>kohaselt kui rahastuse taotleja on füüsiline isik, kellele teenuseosutaja väljastab tarbimiskrediiti, siis</w:t>
      </w:r>
      <w:r>
        <w:rPr>
          <w:sz w:val="22"/>
          <w:szCs w:val="22"/>
        </w:rPr>
        <w:t xml:space="preserve"> </w:t>
      </w:r>
      <w:r w:rsidRPr="00F47832">
        <w:rPr>
          <w:sz w:val="22"/>
          <w:szCs w:val="22"/>
        </w:rPr>
        <w:t>kohaldatakse krediidivõimelisuse hindamise korral krediidiandjate ja -vahendajate seaduse 6. peatükis ja võlaõigusseaduse §-s 403</w:t>
      </w:r>
      <w:r w:rsidRPr="00F47832">
        <w:rPr>
          <w:sz w:val="22"/>
          <w:szCs w:val="22"/>
          <w:vertAlign w:val="superscript"/>
        </w:rPr>
        <w:t>4</w:t>
      </w:r>
      <w:r w:rsidRPr="00F47832">
        <w:rPr>
          <w:sz w:val="22"/>
          <w:szCs w:val="22"/>
        </w:rPr>
        <w:t xml:space="preserve"> sätestatut, kui käesolevas seaduses ei ole sätestatud teisti.</w:t>
      </w:r>
      <w:r w:rsidR="006E7AB3">
        <w:rPr>
          <w:sz w:val="22"/>
          <w:szCs w:val="22"/>
        </w:rPr>
        <w:t xml:space="preserve"> Viidatud </w:t>
      </w:r>
      <w:proofErr w:type="spellStart"/>
      <w:r w:rsidR="006E7AB3">
        <w:rPr>
          <w:sz w:val="22"/>
          <w:szCs w:val="22"/>
        </w:rPr>
        <w:t>KAVSi</w:t>
      </w:r>
      <w:proofErr w:type="spellEnd"/>
      <w:r w:rsidR="006E7AB3">
        <w:rPr>
          <w:sz w:val="22"/>
          <w:szCs w:val="22"/>
        </w:rPr>
        <w:t xml:space="preserve"> peatükk kehtestab nõuded muuhulgas krediidi vahendamisele, krediiditoimiku pidamisele, tarbija krediidivõimelisuse hindamisele ja tarbija poolt esitatud teabe kontrollimisele. Lisaks tuleb lähtuda ka krediidivaldkonnas vastutustundliku laenamisele kehtestatud üldnõuetega, sh järgida VÕS §-</w:t>
      </w:r>
      <w:proofErr w:type="spellStart"/>
      <w:r w:rsidR="006E7AB3">
        <w:rPr>
          <w:sz w:val="22"/>
          <w:szCs w:val="22"/>
        </w:rPr>
        <w:t>is</w:t>
      </w:r>
      <w:proofErr w:type="spellEnd"/>
      <w:r w:rsidR="006E7AB3">
        <w:rPr>
          <w:sz w:val="22"/>
          <w:szCs w:val="22"/>
        </w:rPr>
        <w:t xml:space="preserve"> </w:t>
      </w:r>
      <w:r w:rsidR="006E7AB3" w:rsidRPr="0005039F">
        <w:rPr>
          <w:sz w:val="22"/>
          <w:szCs w:val="22"/>
        </w:rPr>
        <w:t>403</w:t>
      </w:r>
      <w:r w:rsidR="006E7AB3" w:rsidRPr="0005039F">
        <w:rPr>
          <w:sz w:val="22"/>
          <w:szCs w:val="22"/>
          <w:vertAlign w:val="superscript"/>
        </w:rPr>
        <w:t>4</w:t>
      </w:r>
      <w:r w:rsidR="006E7AB3" w:rsidRPr="0005039F">
        <w:rPr>
          <w:sz w:val="22"/>
          <w:szCs w:val="22"/>
        </w:rPr>
        <w:t xml:space="preserve"> </w:t>
      </w:r>
      <w:r w:rsidR="006E7AB3">
        <w:rPr>
          <w:sz w:val="22"/>
          <w:szCs w:val="22"/>
        </w:rPr>
        <w:t>sätestatud nõudeid vastutustundliku laenamise põhimõtte rakendamise kohta.</w:t>
      </w:r>
    </w:p>
    <w:p w14:paraId="0F708864" w14:textId="6B2D1ED8" w:rsidR="00F47832" w:rsidRDefault="00F47832" w:rsidP="00406C19">
      <w:pPr>
        <w:spacing w:before="0"/>
        <w:rPr>
          <w:sz w:val="22"/>
          <w:szCs w:val="22"/>
        </w:rPr>
      </w:pPr>
    </w:p>
    <w:p w14:paraId="5059EE84" w14:textId="059CC619" w:rsidR="00B261B3" w:rsidRPr="005A55CA" w:rsidRDefault="00F47832" w:rsidP="00B261B3">
      <w:pPr>
        <w:spacing w:before="0"/>
        <w:rPr>
          <w:sz w:val="22"/>
          <w:szCs w:val="22"/>
        </w:rPr>
      </w:pPr>
      <w:r>
        <w:rPr>
          <w:b/>
          <w:bCs/>
          <w:sz w:val="22"/>
          <w:szCs w:val="22"/>
        </w:rPr>
        <w:t>Paragrahv 47</w:t>
      </w:r>
      <w:r w:rsidR="00B261B3" w:rsidRPr="005A55CA">
        <w:rPr>
          <w:b/>
          <w:sz w:val="22"/>
          <w:szCs w:val="22"/>
        </w:rPr>
        <w:t xml:space="preserve"> </w:t>
      </w:r>
      <w:r w:rsidR="00B261B3" w:rsidRPr="005A55CA">
        <w:rPr>
          <w:sz w:val="22"/>
          <w:szCs w:val="22"/>
        </w:rPr>
        <w:t>kehtestab teabe avalikustamise nõuded kõikidele teenuseosutajatele</w:t>
      </w:r>
      <w:r w:rsidR="00B261B3">
        <w:rPr>
          <w:sz w:val="22"/>
          <w:szCs w:val="22"/>
        </w:rPr>
        <w:t>.</w:t>
      </w:r>
      <w:r w:rsidR="00B261B3" w:rsidRPr="005A55CA">
        <w:rPr>
          <w:sz w:val="22"/>
          <w:szCs w:val="22"/>
        </w:rPr>
        <w:t xml:space="preserve"> </w:t>
      </w:r>
    </w:p>
    <w:p w14:paraId="25201CBD" w14:textId="77777777" w:rsidR="00B261B3" w:rsidRPr="005A55CA" w:rsidRDefault="00B261B3" w:rsidP="00B261B3">
      <w:pPr>
        <w:spacing w:before="0"/>
        <w:rPr>
          <w:sz w:val="22"/>
          <w:szCs w:val="22"/>
        </w:rPr>
      </w:pPr>
    </w:p>
    <w:p w14:paraId="5BFB4FE2" w14:textId="21EB70B5" w:rsidR="00B261B3" w:rsidRPr="005A55CA" w:rsidRDefault="00B261B3" w:rsidP="00B261B3">
      <w:pPr>
        <w:spacing w:before="0"/>
        <w:rPr>
          <w:sz w:val="22"/>
          <w:szCs w:val="22"/>
        </w:rPr>
      </w:pPr>
      <w:r w:rsidRPr="005A55CA">
        <w:rPr>
          <w:b/>
          <w:sz w:val="22"/>
          <w:szCs w:val="22"/>
        </w:rPr>
        <w:t xml:space="preserve">Lõike 1 </w:t>
      </w:r>
      <w:r w:rsidRPr="000918EA">
        <w:rPr>
          <w:sz w:val="22"/>
          <w:szCs w:val="22"/>
        </w:rPr>
        <w:t>kohaselt peab</w:t>
      </w:r>
      <w:r>
        <w:rPr>
          <w:b/>
          <w:sz w:val="22"/>
          <w:szCs w:val="22"/>
        </w:rPr>
        <w:t xml:space="preserve"> </w:t>
      </w:r>
      <w:r w:rsidRPr="005A55CA">
        <w:rPr>
          <w:sz w:val="22"/>
          <w:szCs w:val="22"/>
        </w:rPr>
        <w:t xml:space="preserve">teenuseosutaja avalikustama oma veebilehel </w:t>
      </w:r>
      <w:r>
        <w:rPr>
          <w:sz w:val="22"/>
          <w:szCs w:val="22"/>
        </w:rPr>
        <w:t xml:space="preserve">majandusaasta aruande </w:t>
      </w:r>
      <w:r w:rsidRPr="005A55CA">
        <w:rPr>
          <w:sz w:val="22"/>
          <w:szCs w:val="22"/>
        </w:rPr>
        <w:t xml:space="preserve">nelja kuu jooksul majandusaasta lõppemisest arvates. </w:t>
      </w:r>
      <w:r>
        <w:rPr>
          <w:sz w:val="22"/>
          <w:szCs w:val="22"/>
        </w:rPr>
        <w:t xml:space="preserve">Majandusaasta aruande avalikuks tegemine peaks aitama eeskätt teenuseosutaja potentsiaalsetel ja tegelikel klientidel saada ülevaadet ning hinnata teenuseosutaja majandustegevust. </w:t>
      </w:r>
      <w:r w:rsidR="00303FE5">
        <w:rPr>
          <w:sz w:val="22"/>
          <w:szCs w:val="22"/>
        </w:rPr>
        <w:t xml:space="preserve">Neljakuuline tähtaeg on </w:t>
      </w:r>
      <w:r w:rsidR="003351FB">
        <w:rPr>
          <w:sz w:val="22"/>
          <w:szCs w:val="22"/>
        </w:rPr>
        <w:t xml:space="preserve">kasutusel ka mujal </w:t>
      </w:r>
      <w:r w:rsidR="00303FE5">
        <w:rPr>
          <w:sz w:val="22"/>
          <w:szCs w:val="22"/>
        </w:rPr>
        <w:t>finantssektori</w:t>
      </w:r>
      <w:r w:rsidR="003351FB">
        <w:rPr>
          <w:sz w:val="22"/>
          <w:szCs w:val="22"/>
        </w:rPr>
        <w:t xml:space="preserve"> eriseaduste</w:t>
      </w:r>
      <w:r w:rsidR="00303FE5">
        <w:rPr>
          <w:sz w:val="22"/>
          <w:szCs w:val="22"/>
        </w:rPr>
        <w:t>s</w:t>
      </w:r>
      <w:r w:rsidR="003351FB">
        <w:rPr>
          <w:sz w:val="22"/>
          <w:szCs w:val="22"/>
        </w:rPr>
        <w:t xml:space="preserve"> </w:t>
      </w:r>
      <w:r w:rsidR="00303FE5">
        <w:rPr>
          <w:sz w:val="22"/>
          <w:szCs w:val="22"/>
        </w:rPr>
        <w:t>(KAS § 92 lg 1, VPTS § 110 lg 1, IFS § 81 lg 4)</w:t>
      </w:r>
      <w:r w:rsidR="0051612D">
        <w:rPr>
          <w:sz w:val="22"/>
          <w:szCs w:val="22"/>
        </w:rPr>
        <w:t>, st tegemist on finantsasutustega, kelle puhul on äriseadustikus sätestatuga (6 kuud) võrreldes lühem periood õigustatud</w:t>
      </w:r>
      <w:r w:rsidR="00303FE5">
        <w:rPr>
          <w:sz w:val="22"/>
          <w:szCs w:val="22"/>
        </w:rPr>
        <w:t xml:space="preserve">. </w:t>
      </w:r>
      <w:r w:rsidR="0051612D">
        <w:rPr>
          <w:sz w:val="22"/>
          <w:szCs w:val="22"/>
        </w:rPr>
        <w:t xml:space="preserve">Sama lõike teise lause kohaselt peavad teenuseosutaja veebilehel olema kättesaadavad vähemalt viimase kolme aasta majandusaasta aruanded, kui teenuseosutajal on olemas vastavas ulatuses tegevusajalugu. </w:t>
      </w:r>
    </w:p>
    <w:p w14:paraId="5334670B" w14:textId="77777777" w:rsidR="00B261B3" w:rsidRDefault="00B261B3" w:rsidP="00B261B3">
      <w:pPr>
        <w:spacing w:before="0"/>
        <w:rPr>
          <w:sz w:val="22"/>
          <w:szCs w:val="22"/>
        </w:rPr>
      </w:pPr>
    </w:p>
    <w:p w14:paraId="3B1AD544" w14:textId="3DB730FB" w:rsidR="00B261B3" w:rsidRDefault="00955B41" w:rsidP="00B261B3">
      <w:pPr>
        <w:spacing w:before="0"/>
        <w:rPr>
          <w:sz w:val="22"/>
          <w:szCs w:val="22"/>
        </w:rPr>
      </w:pPr>
      <w:r>
        <w:rPr>
          <w:b/>
          <w:bCs/>
          <w:sz w:val="22"/>
          <w:szCs w:val="22"/>
        </w:rPr>
        <w:lastRenderedPageBreak/>
        <w:t xml:space="preserve">Lõike 2 punktides 1-3 </w:t>
      </w:r>
      <w:r>
        <w:rPr>
          <w:sz w:val="22"/>
          <w:szCs w:val="22"/>
        </w:rPr>
        <w:t xml:space="preserve">on sätestatud teenuseosutaja kohustus avalikustada oma veebilehel nelja kuu </w:t>
      </w:r>
      <w:proofErr w:type="spellStart"/>
      <w:r>
        <w:rPr>
          <w:sz w:val="22"/>
          <w:szCs w:val="22"/>
        </w:rPr>
        <w:t>jookul</w:t>
      </w:r>
      <w:proofErr w:type="spellEnd"/>
      <w:r>
        <w:rPr>
          <w:sz w:val="22"/>
          <w:szCs w:val="22"/>
        </w:rPr>
        <w:t xml:space="preserve"> majandusaasta lõpust arvates ülevaate lõppenud majandusaasta majandustegevuse tulemuste kohta, ning majandustegevuse need aspektid, mis peavad olema ülevaates kajastatud. </w:t>
      </w:r>
    </w:p>
    <w:p w14:paraId="37DED3D8" w14:textId="77777777" w:rsidR="00A240D8" w:rsidRPr="005A55CA" w:rsidRDefault="00A240D8" w:rsidP="00B261B3">
      <w:pPr>
        <w:spacing w:before="0"/>
        <w:rPr>
          <w:sz w:val="22"/>
          <w:szCs w:val="22"/>
        </w:rPr>
      </w:pPr>
    </w:p>
    <w:p w14:paraId="0F745AFC" w14:textId="77A63AE2" w:rsidR="00B261B3" w:rsidRPr="005A55CA" w:rsidRDefault="00B261B3" w:rsidP="00B261B3">
      <w:pPr>
        <w:spacing w:before="0"/>
        <w:rPr>
          <w:color w:val="000000" w:themeColor="text1"/>
          <w:sz w:val="22"/>
          <w:szCs w:val="22"/>
        </w:rPr>
      </w:pPr>
      <w:r w:rsidRPr="005A55CA">
        <w:rPr>
          <w:b/>
          <w:sz w:val="22"/>
          <w:szCs w:val="22"/>
        </w:rPr>
        <w:t xml:space="preserve">Lõige </w:t>
      </w:r>
      <w:r w:rsidR="006B3DCE">
        <w:rPr>
          <w:b/>
          <w:sz w:val="22"/>
          <w:szCs w:val="22"/>
        </w:rPr>
        <w:t>3</w:t>
      </w:r>
      <w:r w:rsidRPr="005A55CA">
        <w:rPr>
          <w:b/>
          <w:sz w:val="22"/>
          <w:szCs w:val="22"/>
        </w:rPr>
        <w:t xml:space="preserve"> </w:t>
      </w:r>
      <w:r w:rsidRPr="005A55CA">
        <w:rPr>
          <w:sz w:val="22"/>
          <w:szCs w:val="22"/>
        </w:rPr>
        <w:t xml:space="preserve">täpsustab sama paragrahvi </w:t>
      </w:r>
      <w:r w:rsidR="006B3DCE">
        <w:rPr>
          <w:sz w:val="22"/>
          <w:szCs w:val="22"/>
        </w:rPr>
        <w:t>teist</w:t>
      </w:r>
      <w:r w:rsidRPr="005A55CA">
        <w:rPr>
          <w:sz w:val="22"/>
          <w:szCs w:val="22"/>
        </w:rPr>
        <w:t xml:space="preserve"> lõiget selles osas, et </w:t>
      </w:r>
      <w:r>
        <w:rPr>
          <w:sz w:val="22"/>
          <w:szCs w:val="22"/>
        </w:rPr>
        <w:t>nendes</w:t>
      </w:r>
      <w:r w:rsidRPr="005A55CA">
        <w:rPr>
          <w:sz w:val="22"/>
          <w:szCs w:val="22"/>
        </w:rPr>
        <w:t xml:space="preserve"> nimetatud teave tuleb esitada iga </w:t>
      </w:r>
      <w:proofErr w:type="spellStart"/>
      <w:r w:rsidR="006B3DCE">
        <w:rPr>
          <w:sz w:val="22"/>
          <w:szCs w:val="22"/>
        </w:rPr>
        <w:t>krüptovara</w:t>
      </w:r>
      <w:proofErr w:type="spellEnd"/>
      <w:r w:rsidR="006B3DCE">
        <w:rPr>
          <w:sz w:val="22"/>
          <w:szCs w:val="22"/>
        </w:rPr>
        <w:t xml:space="preserve"> või </w:t>
      </w:r>
      <w:proofErr w:type="spellStart"/>
      <w:r w:rsidR="006B3DCE">
        <w:rPr>
          <w:sz w:val="22"/>
          <w:szCs w:val="22"/>
        </w:rPr>
        <w:t>ühisrahastusprojekti</w:t>
      </w:r>
      <w:proofErr w:type="spellEnd"/>
      <w:r w:rsidRPr="005A55CA">
        <w:rPr>
          <w:sz w:val="22"/>
          <w:szCs w:val="22"/>
        </w:rPr>
        <w:t xml:space="preserve"> liigi või käesolevas seaduses nimetatud teenuse lõikes eraldi</w:t>
      </w:r>
      <w:r>
        <w:rPr>
          <w:sz w:val="22"/>
          <w:szCs w:val="22"/>
        </w:rPr>
        <w:t>, ning teha veebilehel kättesaadavaks vähemalt kolme aasta jooksul vastava aruandlusperioodi lõppemisest arvates</w:t>
      </w:r>
      <w:r w:rsidRPr="005A55CA">
        <w:rPr>
          <w:sz w:val="22"/>
          <w:szCs w:val="22"/>
        </w:rPr>
        <w:t xml:space="preserve">. </w:t>
      </w:r>
    </w:p>
    <w:p w14:paraId="7DD341BF" w14:textId="77777777" w:rsidR="00B261B3" w:rsidRPr="005A55CA" w:rsidRDefault="00B261B3" w:rsidP="00B261B3">
      <w:pPr>
        <w:spacing w:before="0"/>
        <w:rPr>
          <w:sz w:val="22"/>
          <w:szCs w:val="22"/>
        </w:rPr>
      </w:pPr>
    </w:p>
    <w:p w14:paraId="2C8E322D" w14:textId="5C7A9F58" w:rsidR="00B261B3" w:rsidRPr="005A55CA" w:rsidRDefault="00B261B3" w:rsidP="00B261B3">
      <w:pPr>
        <w:spacing w:before="0"/>
        <w:rPr>
          <w:sz w:val="22"/>
          <w:szCs w:val="22"/>
        </w:rPr>
      </w:pPr>
      <w:r w:rsidRPr="005A55CA">
        <w:rPr>
          <w:b/>
          <w:sz w:val="22"/>
          <w:szCs w:val="22"/>
        </w:rPr>
        <w:t xml:space="preserve">Lõikes </w:t>
      </w:r>
      <w:r w:rsidR="00893D42">
        <w:rPr>
          <w:b/>
          <w:sz w:val="22"/>
          <w:szCs w:val="22"/>
        </w:rPr>
        <w:t>4</w:t>
      </w:r>
      <w:r w:rsidRPr="005A55CA">
        <w:rPr>
          <w:b/>
          <w:sz w:val="22"/>
          <w:szCs w:val="22"/>
        </w:rPr>
        <w:t xml:space="preserve"> </w:t>
      </w:r>
      <w:r w:rsidRPr="005A55CA">
        <w:rPr>
          <w:sz w:val="22"/>
          <w:szCs w:val="22"/>
        </w:rPr>
        <w:t xml:space="preserve">on sätestatud valdkonna eest vastutava ministri õigus kehtestada määrusega </w:t>
      </w:r>
      <w:r w:rsidR="006B3DCE">
        <w:rPr>
          <w:sz w:val="22"/>
          <w:szCs w:val="22"/>
        </w:rPr>
        <w:t xml:space="preserve">täpsema </w:t>
      </w:r>
      <w:r w:rsidRPr="005A55CA">
        <w:rPr>
          <w:sz w:val="22"/>
          <w:szCs w:val="22"/>
        </w:rPr>
        <w:t xml:space="preserve">avalikustamisele kuuluvate andmete </w:t>
      </w:r>
      <w:r w:rsidR="006B3DCE">
        <w:rPr>
          <w:sz w:val="22"/>
          <w:szCs w:val="22"/>
        </w:rPr>
        <w:t xml:space="preserve">korra, sealhulgas nende </w:t>
      </w:r>
      <w:r w:rsidRPr="005A55CA">
        <w:rPr>
          <w:sz w:val="22"/>
          <w:szCs w:val="22"/>
        </w:rPr>
        <w:t xml:space="preserve">loetelu, aruannete vormid ja </w:t>
      </w:r>
      <w:r w:rsidR="006B3DCE">
        <w:rPr>
          <w:sz w:val="22"/>
          <w:szCs w:val="22"/>
        </w:rPr>
        <w:t>tähtajad</w:t>
      </w:r>
      <w:r w:rsidRPr="005A55CA">
        <w:rPr>
          <w:sz w:val="22"/>
          <w:szCs w:val="22"/>
        </w:rPr>
        <w:t>.</w:t>
      </w:r>
    </w:p>
    <w:p w14:paraId="3D053F5A" w14:textId="25A388A1" w:rsidR="00F47832" w:rsidRDefault="00F47832" w:rsidP="00406C19">
      <w:pPr>
        <w:spacing w:before="0"/>
        <w:rPr>
          <w:sz w:val="22"/>
          <w:szCs w:val="22"/>
        </w:rPr>
      </w:pPr>
    </w:p>
    <w:p w14:paraId="1C0C84AF" w14:textId="39A15109" w:rsidR="00B82E7B" w:rsidRDefault="0069538E" w:rsidP="00B82E7B">
      <w:pPr>
        <w:spacing w:before="0"/>
        <w:rPr>
          <w:sz w:val="22"/>
          <w:szCs w:val="22"/>
        </w:rPr>
      </w:pPr>
      <w:r>
        <w:rPr>
          <w:b/>
          <w:bCs/>
          <w:sz w:val="22"/>
          <w:szCs w:val="22"/>
        </w:rPr>
        <w:t xml:space="preserve">Paragrahv 48 </w:t>
      </w:r>
      <w:r>
        <w:rPr>
          <w:sz w:val="22"/>
          <w:szCs w:val="22"/>
        </w:rPr>
        <w:t>sätestab üldised teabe avalikustamise nõuded teenuseosutajale ja rahastuse taotlejale.</w:t>
      </w:r>
    </w:p>
    <w:p w14:paraId="7CAEA799" w14:textId="77777777" w:rsidR="00A240D8" w:rsidRPr="005A55CA" w:rsidRDefault="00A240D8" w:rsidP="00B82E7B">
      <w:pPr>
        <w:spacing w:before="0"/>
        <w:rPr>
          <w:sz w:val="22"/>
          <w:szCs w:val="22"/>
        </w:rPr>
      </w:pPr>
    </w:p>
    <w:p w14:paraId="274B00D2" w14:textId="462D81FA" w:rsidR="00B82E7B" w:rsidRPr="005A55CA" w:rsidRDefault="00B82E7B" w:rsidP="00B82E7B">
      <w:pPr>
        <w:spacing w:before="0"/>
        <w:rPr>
          <w:sz w:val="22"/>
          <w:szCs w:val="22"/>
        </w:rPr>
      </w:pPr>
      <w:r w:rsidRPr="005A55CA">
        <w:rPr>
          <w:b/>
          <w:sz w:val="22"/>
          <w:szCs w:val="22"/>
        </w:rPr>
        <w:t xml:space="preserve">Lõike 1 </w:t>
      </w:r>
      <w:r w:rsidRPr="005A55CA">
        <w:rPr>
          <w:sz w:val="22"/>
          <w:szCs w:val="22"/>
        </w:rPr>
        <w:t xml:space="preserve">kohaselt tuleb </w:t>
      </w:r>
      <w:r w:rsidR="00EA2B0A">
        <w:rPr>
          <w:sz w:val="22"/>
          <w:szCs w:val="22"/>
        </w:rPr>
        <w:t xml:space="preserve">teenuseosutajal, kes pakub investeerimisprojekti, </w:t>
      </w:r>
      <w:r w:rsidRPr="005A55CA">
        <w:rPr>
          <w:sz w:val="22"/>
          <w:szCs w:val="22"/>
        </w:rPr>
        <w:t>avalikustada oma veebilehel vähemalt sama lõike punktides 1-9 nimetatud teave. Selle alla kuulu</w:t>
      </w:r>
      <w:r>
        <w:rPr>
          <w:sz w:val="22"/>
          <w:szCs w:val="22"/>
        </w:rPr>
        <w:t>vad</w:t>
      </w:r>
      <w:r w:rsidRPr="005A55CA">
        <w:rPr>
          <w:sz w:val="22"/>
          <w:szCs w:val="22"/>
        </w:rPr>
        <w:t xml:space="preserve"> investeerimisega seotud üldiste riskide kirjeldus ja hoiatus investeerimisega kaasnevate riskide kohta (</w:t>
      </w:r>
      <w:r w:rsidRPr="002D481D">
        <w:rPr>
          <w:b/>
          <w:sz w:val="22"/>
          <w:szCs w:val="22"/>
        </w:rPr>
        <w:t>punkt 1</w:t>
      </w:r>
      <w:r w:rsidRPr="005A55CA">
        <w:rPr>
          <w:sz w:val="22"/>
          <w:szCs w:val="22"/>
        </w:rPr>
        <w:t xml:space="preserve">), üleskutse hinnata konkreetse investeerimisprojektiga seotud riske </w:t>
      </w:r>
      <w:r w:rsidR="00EA2B0A">
        <w:rPr>
          <w:sz w:val="22"/>
          <w:szCs w:val="22"/>
        </w:rPr>
        <w:t>kliendi</w:t>
      </w:r>
      <w:r w:rsidRPr="005A55CA">
        <w:rPr>
          <w:sz w:val="22"/>
          <w:szCs w:val="22"/>
        </w:rPr>
        <w:t xml:space="preserve"> jaoks sõltuvalt tema majanduslikust olukorrast ja pidada enne investeerimisotsuse tegemist vajadusel nõu vastava ala spetsialistiga (</w:t>
      </w:r>
      <w:r w:rsidRPr="002D481D">
        <w:rPr>
          <w:b/>
          <w:sz w:val="22"/>
          <w:szCs w:val="22"/>
        </w:rPr>
        <w:t>punkt 2</w:t>
      </w:r>
      <w:r w:rsidRPr="005A55CA">
        <w:rPr>
          <w:sz w:val="22"/>
          <w:szCs w:val="22"/>
        </w:rPr>
        <w:t>), tehingute tegemise protsessi ja tasude kirjeldus (</w:t>
      </w:r>
      <w:r w:rsidRPr="002D481D">
        <w:rPr>
          <w:b/>
          <w:sz w:val="22"/>
          <w:szCs w:val="22"/>
        </w:rPr>
        <w:t>punkt 3</w:t>
      </w:r>
      <w:r w:rsidRPr="005A55CA">
        <w:rPr>
          <w:sz w:val="22"/>
          <w:szCs w:val="22"/>
        </w:rPr>
        <w:t xml:space="preserve">), teavet </w:t>
      </w:r>
      <w:r w:rsidR="001D6094">
        <w:rPr>
          <w:sz w:val="22"/>
          <w:szCs w:val="22"/>
        </w:rPr>
        <w:t>finantsvahendus</w:t>
      </w:r>
      <w:r w:rsidRPr="005A55CA">
        <w:rPr>
          <w:sz w:val="22"/>
          <w:szCs w:val="22"/>
        </w:rPr>
        <w:t>platvormil tehtud tehingute</w:t>
      </w:r>
      <w:r>
        <w:rPr>
          <w:sz w:val="22"/>
          <w:szCs w:val="22"/>
        </w:rPr>
        <w:t xml:space="preserve"> hindade</w:t>
      </w:r>
      <w:r w:rsidRPr="005A55CA">
        <w:rPr>
          <w:sz w:val="22"/>
          <w:szCs w:val="22"/>
        </w:rPr>
        <w:t xml:space="preserve"> kohta</w:t>
      </w:r>
      <w:r>
        <w:rPr>
          <w:sz w:val="22"/>
          <w:szCs w:val="22"/>
        </w:rPr>
        <w:t xml:space="preserve"> vastavalt käesoleva seaduse §-</w:t>
      </w:r>
      <w:proofErr w:type="spellStart"/>
      <w:r>
        <w:rPr>
          <w:sz w:val="22"/>
          <w:szCs w:val="22"/>
        </w:rPr>
        <w:t>is</w:t>
      </w:r>
      <w:proofErr w:type="spellEnd"/>
      <w:r>
        <w:rPr>
          <w:sz w:val="22"/>
          <w:szCs w:val="22"/>
        </w:rPr>
        <w:t xml:space="preserve"> </w:t>
      </w:r>
      <w:r w:rsidR="001D6094">
        <w:rPr>
          <w:sz w:val="22"/>
          <w:szCs w:val="22"/>
        </w:rPr>
        <w:t>51</w:t>
      </w:r>
      <w:r>
        <w:rPr>
          <w:sz w:val="22"/>
          <w:szCs w:val="22"/>
        </w:rPr>
        <w:t xml:space="preserve"> sätestatule</w:t>
      </w:r>
      <w:r w:rsidRPr="005A55CA">
        <w:rPr>
          <w:sz w:val="22"/>
          <w:szCs w:val="22"/>
        </w:rPr>
        <w:t xml:space="preserve"> (</w:t>
      </w:r>
      <w:r w:rsidRPr="002D481D">
        <w:rPr>
          <w:b/>
          <w:sz w:val="22"/>
          <w:szCs w:val="22"/>
        </w:rPr>
        <w:t>punkt 4</w:t>
      </w:r>
      <w:r w:rsidRPr="005A55CA">
        <w:rPr>
          <w:sz w:val="22"/>
          <w:szCs w:val="22"/>
        </w:rPr>
        <w:t xml:space="preserve">), </w:t>
      </w:r>
      <w:r w:rsidR="001D6094">
        <w:rPr>
          <w:sz w:val="22"/>
          <w:szCs w:val="22"/>
        </w:rPr>
        <w:t>klientide</w:t>
      </w:r>
      <w:r w:rsidRPr="005A55CA">
        <w:rPr>
          <w:sz w:val="22"/>
          <w:szCs w:val="22"/>
        </w:rPr>
        <w:t xml:space="preserve"> vahendite hoidmise ja investeeringute üle arvestuse pidamise kirjeldus (</w:t>
      </w:r>
      <w:r w:rsidRPr="002D481D">
        <w:rPr>
          <w:b/>
          <w:sz w:val="22"/>
          <w:szCs w:val="22"/>
        </w:rPr>
        <w:t>punkt 5</w:t>
      </w:r>
      <w:r w:rsidRPr="005A55CA">
        <w:rPr>
          <w:sz w:val="22"/>
          <w:szCs w:val="22"/>
        </w:rPr>
        <w:t>), informatsiooni selle kohta, millised on teenuseosutaja põhilised tehingupartnerid (</w:t>
      </w:r>
      <w:r w:rsidRPr="002D481D">
        <w:rPr>
          <w:b/>
          <w:sz w:val="22"/>
          <w:szCs w:val="22"/>
        </w:rPr>
        <w:t>punkt 6</w:t>
      </w:r>
      <w:r w:rsidRPr="005A55CA">
        <w:rPr>
          <w:sz w:val="22"/>
          <w:szCs w:val="22"/>
        </w:rPr>
        <w:t xml:space="preserve">), hoiatus selle kohta, et teenuseosutaja käsutusse antud vahendeid ei tagata Tagatisfondi poolt </w:t>
      </w:r>
      <w:r>
        <w:rPr>
          <w:sz w:val="22"/>
          <w:szCs w:val="22"/>
        </w:rPr>
        <w:t>ja</w:t>
      </w:r>
      <w:r w:rsidRPr="005A55CA">
        <w:rPr>
          <w:sz w:val="22"/>
          <w:szCs w:val="22"/>
        </w:rPr>
        <w:t xml:space="preserve"> nimetatud vahendite suhtes ei kohaldata väärtpaberituru seaduses sätestatud investorikaitse nõudeid (</w:t>
      </w:r>
      <w:r w:rsidRPr="002D481D">
        <w:rPr>
          <w:b/>
          <w:sz w:val="22"/>
          <w:szCs w:val="22"/>
        </w:rPr>
        <w:t>punkt 7</w:t>
      </w:r>
      <w:r w:rsidRPr="005A55CA">
        <w:rPr>
          <w:sz w:val="22"/>
          <w:szCs w:val="22"/>
        </w:rPr>
        <w:t xml:space="preserve">), ning kirjelduse </w:t>
      </w:r>
      <w:r w:rsidR="00EA2B0A">
        <w:rPr>
          <w:sz w:val="22"/>
          <w:szCs w:val="22"/>
        </w:rPr>
        <w:t>klientidele</w:t>
      </w:r>
      <w:r w:rsidRPr="005A55CA">
        <w:rPr>
          <w:sz w:val="22"/>
          <w:szCs w:val="22"/>
        </w:rPr>
        <w:t xml:space="preserve"> k</w:t>
      </w:r>
      <w:r>
        <w:rPr>
          <w:sz w:val="22"/>
          <w:szCs w:val="22"/>
        </w:rPr>
        <w:t>aasnevatest</w:t>
      </w:r>
      <w:r w:rsidRPr="005A55CA">
        <w:rPr>
          <w:sz w:val="22"/>
          <w:szCs w:val="22"/>
        </w:rPr>
        <w:t xml:space="preserve"> õigustest ja kohustustest koos teenuse kasutus- ja muude tingimustega (</w:t>
      </w:r>
      <w:r w:rsidRPr="002D481D">
        <w:rPr>
          <w:b/>
          <w:sz w:val="22"/>
          <w:szCs w:val="22"/>
        </w:rPr>
        <w:t>punkt 8</w:t>
      </w:r>
      <w:r w:rsidRPr="005A55CA">
        <w:rPr>
          <w:sz w:val="22"/>
          <w:szCs w:val="22"/>
        </w:rPr>
        <w:t>) ning asjakohasel juhul ka teave makseteenuste pakkumise tingimuste kohta, sealhulgas ka juhul kui makseteenuseid ei paku teenuseosutaja ise (</w:t>
      </w:r>
      <w:r w:rsidRPr="002D481D">
        <w:rPr>
          <w:b/>
          <w:sz w:val="22"/>
          <w:szCs w:val="22"/>
        </w:rPr>
        <w:t>punkt 9</w:t>
      </w:r>
      <w:r w:rsidRPr="005A55CA">
        <w:rPr>
          <w:sz w:val="22"/>
          <w:szCs w:val="22"/>
        </w:rPr>
        <w:t>).</w:t>
      </w:r>
    </w:p>
    <w:p w14:paraId="036B4A90" w14:textId="77777777" w:rsidR="00B82E7B" w:rsidRPr="005A55CA" w:rsidRDefault="00B82E7B" w:rsidP="00B82E7B">
      <w:pPr>
        <w:spacing w:before="0"/>
        <w:ind w:left="720"/>
        <w:rPr>
          <w:sz w:val="22"/>
          <w:szCs w:val="22"/>
        </w:rPr>
      </w:pPr>
    </w:p>
    <w:p w14:paraId="46183AB9" w14:textId="37245A20" w:rsidR="00B82E7B" w:rsidRPr="005D2F67" w:rsidRDefault="00B82E7B" w:rsidP="00B82E7B">
      <w:pPr>
        <w:spacing w:before="0"/>
        <w:rPr>
          <w:color w:val="000000" w:themeColor="text1"/>
          <w:sz w:val="22"/>
          <w:szCs w:val="22"/>
        </w:rPr>
      </w:pPr>
      <w:r w:rsidRPr="005A55CA">
        <w:rPr>
          <w:b/>
          <w:color w:val="000000" w:themeColor="text1"/>
          <w:sz w:val="22"/>
          <w:szCs w:val="22"/>
        </w:rPr>
        <w:t xml:space="preserve">Lõike 2 </w:t>
      </w:r>
      <w:r w:rsidRPr="005A55CA">
        <w:rPr>
          <w:color w:val="000000" w:themeColor="text1"/>
          <w:sz w:val="22"/>
          <w:szCs w:val="22"/>
        </w:rPr>
        <w:t xml:space="preserve">kohaselt ei või teenuseosutaja </w:t>
      </w:r>
      <w:r w:rsidR="001D6094">
        <w:rPr>
          <w:color w:val="000000" w:themeColor="text1"/>
          <w:sz w:val="22"/>
          <w:szCs w:val="22"/>
        </w:rPr>
        <w:t>välja tuua</w:t>
      </w:r>
      <w:r w:rsidRPr="005A55CA">
        <w:rPr>
          <w:color w:val="000000" w:themeColor="text1"/>
          <w:sz w:val="22"/>
          <w:szCs w:val="22"/>
        </w:rPr>
        <w:t xml:space="preserve"> </w:t>
      </w:r>
      <w:r w:rsidR="001D6094">
        <w:rPr>
          <w:color w:val="000000" w:themeColor="text1"/>
          <w:sz w:val="22"/>
          <w:szCs w:val="22"/>
        </w:rPr>
        <w:t>investeerimisest</w:t>
      </w:r>
      <w:r w:rsidRPr="005A55CA">
        <w:rPr>
          <w:color w:val="000000" w:themeColor="text1"/>
          <w:sz w:val="22"/>
          <w:szCs w:val="22"/>
        </w:rPr>
        <w:t xml:space="preserve"> saadavat võimalikku tulu, kui samaaegselt ja samas kohas ei viidata selgelt sell</w:t>
      </w:r>
      <w:r>
        <w:rPr>
          <w:color w:val="000000" w:themeColor="text1"/>
          <w:sz w:val="22"/>
          <w:szCs w:val="22"/>
        </w:rPr>
        <w:t>i</w:t>
      </w:r>
      <w:r w:rsidRPr="005A55CA">
        <w:rPr>
          <w:color w:val="000000" w:themeColor="text1"/>
          <w:sz w:val="22"/>
          <w:szCs w:val="22"/>
        </w:rPr>
        <w:t xml:space="preserve">se vahendite paigutamisega seotud riskidele, sealhulgas investeeritud vahendite kaotamise riskile. Sama lõike teine lause täpsustab eeltoodut ning märgib, et eelnimetatud riskid tuleb esitada võrdväärselt ja samal kujul muu infoga, st investeeringust saadavat võimalikku tulu. Sätte eesmärk on tagada, et </w:t>
      </w:r>
      <w:r w:rsidR="0051188D">
        <w:rPr>
          <w:color w:val="000000" w:themeColor="text1"/>
          <w:sz w:val="22"/>
          <w:szCs w:val="22"/>
        </w:rPr>
        <w:t>kliendil</w:t>
      </w:r>
      <w:r w:rsidRPr="005A55CA">
        <w:rPr>
          <w:color w:val="000000" w:themeColor="text1"/>
          <w:sz w:val="22"/>
          <w:szCs w:val="22"/>
        </w:rPr>
        <w:t xml:space="preserve"> oleks investeerimisotsuse tegemisel võimalik arvesse võtta kõiki investeeringu tegemisel asjakohaseid faktoreid, sealhulgas olla teadlik ka riskidest, mis </w:t>
      </w:r>
      <w:r w:rsidRPr="005D2F67">
        <w:rPr>
          <w:color w:val="000000" w:themeColor="text1"/>
          <w:sz w:val="22"/>
          <w:szCs w:val="22"/>
        </w:rPr>
        <w:t>vastava rahapaigutusega kaasnevad.</w:t>
      </w:r>
    </w:p>
    <w:p w14:paraId="2A919ED4" w14:textId="77777777" w:rsidR="00B82E7B" w:rsidRPr="004466B0" w:rsidRDefault="00B82E7B" w:rsidP="00B82E7B">
      <w:pPr>
        <w:spacing w:before="0"/>
        <w:rPr>
          <w:color w:val="000000" w:themeColor="text1"/>
          <w:sz w:val="22"/>
          <w:szCs w:val="22"/>
        </w:rPr>
      </w:pPr>
    </w:p>
    <w:p w14:paraId="2F86F9C4" w14:textId="17300BAC" w:rsidR="00B82E7B" w:rsidRPr="005D2F67" w:rsidRDefault="00B82E7B" w:rsidP="00B82E7B">
      <w:pPr>
        <w:spacing w:before="0"/>
        <w:rPr>
          <w:color w:val="000000" w:themeColor="text1"/>
          <w:sz w:val="22"/>
          <w:szCs w:val="22"/>
        </w:rPr>
      </w:pPr>
      <w:r w:rsidRPr="00F4370F">
        <w:rPr>
          <w:b/>
          <w:color w:val="000000" w:themeColor="text1"/>
          <w:sz w:val="22"/>
          <w:szCs w:val="22"/>
        </w:rPr>
        <w:t xml:space="preserve">Lõike 3 </w:t>
      </w:r>
      <w:r w:rsidRPr="00F4370F">
        <w:rPr>
          <w:color w:val="000000" w:themeColor="text1"/>
          <w:sz w:val="22"/>
          <w:szCs w:val="22"/>
        </w:rPr>
        <w:t xml:space="preserve">järgi ei </w:t>
      </w:r>
      <w:r w:rsidR="0051188D">
        <w:rPr>
          <w:color w:val="000000" w:themeColor="text1"/>
          <w:sz w:val="22"/>
          <w:szCs w:val="22"/>
        </w:rPr>
        <w:t>või</w:t>
      </w:r>
      <w:r w:rsidRPr="00F4370F">
        <w:rPr>
          <w:color w:val="000000" w:themeColor="text1"/>
          <w:sz w:val="22"/>
          <w:szCs w:val="22"/>
        </w:rPr>
        <w:t xml:space="preserve"> investeerimisprojekti kohta avalikustatav teave anda näilist tagatist investeeringu tulususe või väljamaksete kohta ega sisaldada ennustusi või prognoose finantstulemuste kohta, võttes arvesse käesolevas seaduse</w:t>
      </w:r>
      <w:r w:rsidR="0051188D">
        <w:rPr>
          <w:color w:val="000000" w:themeColor="text1"/>
          <w:sz w:val="22"/>
          <w:szCs w:val="22"/>
        </w:rPr>
        <w:t xml:space="preserve"> §-</w:t>
      </w:r>
      <w:r w:rsidRPr="00F4370F">
        <w:rPr>
          <w:color w:val="000000" w:themeColor="text1"/>
          <w:sz w:val="22"/>
          <w:szCs w:val="22"/>
        </w:rPr>
        <w:t>s</w:t>
      </w:r>
      <w:r w:rsidR="0051188D">
        <w:rPr>
          <w:color w:val="000000" w:themeColor="text1"/>
          <w:sz w:val="22"/>
          <w:szCs w:val="22"/>
        </w:rPr>
        <w:t xml:space="preserve"> 63</w:t>
      </w:r>
      <w:r w:rsidRPr="00F4370F">
        <w:rPr>
          <w:color w:val="000000" w:themeColor="text1"/>
          <w:sz w:val="22"/>
          <w:szCs w:val="22"/>
        </w:rPr>
        <w:t xml:space="preserve"> investeerimisprojekti tootluse garanteerimise kohta sätestatut. Sätte eesmärk on tagada, et </w:t>
      </w:r>
      <w:r w:rsidR="0051188D">
        <w:rPr>
          <w:color w:val="000000" w:themeColor="text1"/>
          <w:sz w:val="22"/>
          <w:szCs w:val="22"/>
        </w:rPr>
        <w:t>klientidele</w:t>
      </w:r>
      <w:r w:rsidRPr="00F4370F">
        <w:rPr>
          <w:color w:val="000000" w:themeColor="text1"/>
          <w:sz w:val="22"/>
          <w:szCs w:val="22"/>
        </w:rPr>
        <w:t xml:space="preserve"> (</w:t>
      </w:r>
      <w:r w:rsidR="0051188D">
        <w:rPr>
          <w:color w:val="000000" w:themeColor="text1"/>
          <w:sz w:val="22"/>
          <w:szCs w:val="22"/>
        </w:rPr>
        <w:t>kuid ka isikutega, kellega ei ole veel kliendisuhtesse astutud</w:t>
      </w:r>
      <w:r w:rsidRPr="00F4370F">
        <w:rPr>
          <w:color w:val="000000" w:themeColor="text1"/>
          <w:sz w:val="22"/>
          <w:szCs w:val="22"/>
        </w:rPr>
        <w:t xml:space="preserve">) ei antaks garantiid investeeringu tootlikkuse kohta, kui see ei ole garanteeritud – sama kehtib ka </w:t>
      </w:r>
      <w:r w:rsidR="0051188D">
        <w:rPr>
          <w:color w:val="000000" w:themeColor="text1"/>
          <w:sz w:val="22"/>
          <w:szCs w:val="22"/>
        </w:rPr>
        <w:t>kliendile</w:t>
      </w:r>
      <w:r w:rsidRPr="00F4370F">
        <w:rPr>
          <w:color w:val="000000" w:themeColor="text1"/>
          <w:sz w:val="22"/>
          <w:szCs w:val="22"/>
        </w:rPr>
        <w:t xml:space="preserve"> edastatavas teabes, mis puudutab ennustusi ja prognoose finantstulemuste kohta. Nimetatud piirangud on samasisulised investeerimisfondide </w:t>
      </w:r>
      <w:r w:rsidRPr="005D2F67">
        <w:rPr>
          <w:color w:val="000000" w:themeColor="text1"/>
          <w:sz w:val="22"/>
          <w:szCs w:val="22"/>
        </w:rPr>
        <w:t xml:space="preserve">seaduse § 80 lõikes 3 sätestatuga, mille kohaselt ei tohi anda tagatist fondi tulususe kohta, kui see ei ole garanteeritud. </w:t>
      </w:r>
    </w:p>
    <w:p w14:paraId="6828AA5E" w14:textId="47368990" w:rsidR="00B82E7B" w:rsidRPr="005D2F67" w:rsidRDefault="00B82E7B" w:rsidP="00B82E7B">
      <w:pPr>
        <w:spacing w:before="0"/>
        <w:rPr>
          <w:color w:val="000000" w:themeColor="text1"/>
          <w:sz w:val="22"/>
          <w:szCs w:val="22"/>
        </w:rPr>
      </w:pPr>
    </w:p>
    <w:p w14:paraId="11A7999A" w14:textId="3A55F0FF" w:rsidR="00B82E7B" w:rsidRPr="005D2F67" w:rsidRDefault="00B82E7B" w:rsidP="00B82E7B">
      <w:pPr>
        <w:spacing w:before="0"/>
        <w:rPr>
          <w:sz w:val="22"/>
          <w:szCs w:val="22"/>
        </w:rPr>
      </w:pPr>
      <w:r w:rsidRPr="005D2F67">
        <w:rPr>
          <w:b/>
          <w:sz w:val="22"/>
          <w:szCs w:val="22"/>
        </w:rPr>
        <w:t>Paragrahv 4</w:t>
      </w:r>
      <w:r w:rsidR="0051188D">
        <w:rPr>
          <w:b/>
          <w:sz w:val="22"/>
          <w:szCs w:val="22"/>
        </w:rPr>
        <w:t>9</w:t>
      </w:r>
      <w:r w:rsidRPr="005D2F67">
        <w:rPr>
          <w:b/>
          <w:sz w:val="22"/>
          <w:szCs w:val="22"/>
        </w:rPr>
        <w:t xml:space="preserve"> </w:t>
      </w:r>
      <w:r w:rsidRPr="005D2F67">
        <w:rPr>
          <w:sz w:val="22"/>
          <w:szCs w:val="22"/>
        </w:rPr>
        <w:t xml:space="preserve">käsitleb investeerimisprojekti kohta avalikustatavat teavet. Tegemist on keskse teabe avalikustamise paragrahviga, millest tuleb </w:t>
      </w:r>
      <w:r w:rsidR="00262F54">
        <w:rPr>
          <w:sz w:val="22"/>
          <w:szCs w:val="22"/>
        </w:rPr>
        <w:t xml:space="preserve">teenuseosutajal </w:t>
      </w:r>
      <w:r w:rsidRPr="005D2F67">
        <w:rPr>
          <w:sz w:val="22"/>
          <w:szCs w:val="22"/>
        </w:rPr>
        <w:t>juhinduda igal juhul, kui investeerimisprojekti pakutakse.</w:t>
      </w:r>
    </w:p>
    <w:p w14:paraId="65BC5AEC" w14:textId="77777777" w:rsidR="00B82E7B" w:rsidRPr="005D2F67" w:rsidRDefault="00B82E7B" w:rsidP="00B82E7B">
      <w:pPr>
        <w:spacing w:before="0"/>
        <w:rPr>
          <w:sz w:val="22"/>
          <w:szCs w:val="22"/>
        </w:rPr>
      </w:pPr>
    </w:p>
    <w:p w14:paraId="05F8EF7F" w14:textId="2788687D" w:rsidR="00B82E7B" w:rsidRPr="005D2F67" w:rsidRDefault="00B82E7B" w:rsidP="00B82E7B">
      <w:pPr>
        <w:spacing w:before="0"/>
        <w:rPr>
          <w:sz w:val="22"/>
          <w:szCs w:val="22"/>
        </w:rPr>
      </w:pPr>
      <w:r w:rsidRPr="005D2F67">
        <w:rPr>
          <w:b/>
          <w:sz w:val="22"/>
          <w:szCs w:val="22"/>
        </w:rPr>
        <w:t xml:space="preserve">Lõike 1 </w:t>
      </w:r>
      <w:r w:rsidRPr="005D2F67">
        <w:rPr>
          <w:sz w:val="22"/>
          <w:szCs w:val="22"/>
        </w:rPr>
        <w:t xml:space="preserve">kohaselt tuleb </w:t>
      </w:r>
      <w:r>
        <w:rPr>
          <w:sz w:val="22"/>
          <w:szCs w:val="22"/>
        </w:rPr>
        <w:t>teenuseosutaja</w:t>
      </w:r>
      <w:r w:rsidRPr="005D2F67">
        <w:rPr>
          <w:sz w:val="22"/>
          <w:szCs w:val="22"/>
        </w:rPr>
        <w:t xml:space="preserve">l avalikustada vähemalt sama lõike punktides 1-3 nimetatud investeerimisprojektiga seotud teave. </w:t>
      </w:r>
    </w:p>
    <w:p w14:paraId="3A0893DC" w14:textId="77777777" w:rsidR="00B82E7B" w:rsidRPr="005D2F67" w:rsidRDefault="00B82E7B" w:rsidP="00B82E7B">
      <w:pPr>
        <w:spacing w:before="0"/>
        <w:rPr>
          <w:sz w:val="22"/>
          <w:szCs w:val="22"/>
        </w:rPr>
      </w:pPr>
    </w:p>
    <w:p w14:paraId="761D25A7" w14:textId="4B8F979F" w:rsidR="00B82E7B" w:rsidRDefault="00B82E7B" w:rsidP="00B82E7B">
      <w:pPr>
        <w:spacing w:before="0"/>
        <w:rPr>
          <w:sz w:val="22"/>
          <w:szCs w:val="22"/>
        </w:rPr>
      </w:pPr>
      <w:r w:rsidRPr="005D2F67">
        <w:rPr>
          <w:b/>
          <w:sz w:val="22"/>
          <w:szCs w:val="22"/>
        </w:rPr>
        <w:t>Punkti 1</w:t>
      </w:r>
      <w:r w:rsidRPr="005D2F67">
        <w:rPr>
          <w:sz w:val="22"/>
          <w:szCs w:val="22"/>
        </w:rPr>
        <w:t xml:space="preserve"> kohaselt tuleb </w:t>
      </w:r>
      <w:r>
        <w:rPr>
          <w:sz w:val="22"/>
          <w:szCs w:val="22"/>
        </w:rPr>
        <w:t>avalikustada</w:t>
      </w:r>
      <w:r w:rsidRPr="005D2F67">
        <w:rPr>
          <w:sz w:val="22"/>
          <w:szCs w:val="22"/>
        </w:rPr>
        <w:t xml:space="preserve"> investeerimisprojekti põhiteabedokument vastavalt käesoleva seaduse </w:t>
      </w:r>
      <w:r w:rsidRPr="004514BE">
        <w:rPr>
          <w:sz w:val="22"/>
          <w:szCs w:val="22"/>
        </w:rPr>
        <w:t xml:space="preserve">§-s </w:t>
      </w:r>
      <w:r w:rsidR="00262F54">
        <w:rPr>
          <w:sz w:val="22"/>
          <w:szCs w:val="22"/>
        </w:rPr>
        <w:t>66</w:t>
      </w:r>
      <w:r w:rsidRPr="004514BE">
        <w:rPr>
          <w:sz w:val="22"/>
          <w:szCs w:val="22"/>
        </w:rPr>
        <w:t xml:space="preserve"> sätestatule. Põhiteabedokumendi kohta vt lähemalt § </w:t>
      </w:r>
      <w:r w:rsidR="00262F54">
        <w:rPr>
          <w:sz w:val="22"/>
          <w:szCs w:val="22"/>
        </w:rPr>
        <w:t>66</w:t>
      </w:r>
      <w:r w:rsidRPr="004514BE">
        <w:rPr>
          <w:sz w:val="22"/>
          <w:szCs w:val="22"/>
        </w:rPr>
        <w:t xml:space="preserve"> selgitusi</w:t>
      </w:r>
      <w:r w:rsidRPr="005D2F67">
        <w:rPr>
          <w:sz w:val="22"/>
          <w:szCs w:val="22"/>
        </w:rPr>
        <w:t>.</w:t>
      </w:r>
    </w:p>
    <w:p w14:paraId="573A637D" w14:textId="39E1EFC6" w:rsidR="00B82E7B" w:rsidRPr="005D2F67" w:rsidRDefault="00262F54" w:rsidP="00B82E7B">
      <w:pPr>
        <w:spacing w:before="0"/>
        <w:rPr>
          <w:sz w:val="22"/>
          <w:szCs w:val="22"/>
        </w:rPr>
      </w:pPr>
      <w:r>
        <w:rPr>
          <w:b/>
          <w:bCs/>
          <w:sz w:val="22"/>
          <w:szCs w:val="22"/>
        </w:rPr>
        <w:t xml:space="preserve">Punkti 2 </w:t>
      </w:r>
      <w:r>
        <w:rPr>
          <w:sz w:val="22"/>
          <w:szCs w:val="22"/>
        </w:rPr>
        <w:t xml:space="preserve">kohaselt tuleb avalikustada investeerimisprojektide kirjeldused ühetaolisel viisil, et tagada klientidele nende võrreldavus. </w:t>
      </w:r>
    </w:p>
    <w:p w14:paraId="76079AEF" w14:textId="15041D7D" w:rsidR="00B82E7B" w:rsidRDefault="00B82E7B" w:rsidP="00B82E7B">
      <w:pPr>
        <w:spacing w:before="0"/>
        <w:rPr>
          <w:sz w:val="22"/>
          <w:szCs w:val="22"/>
        </w:rPr>
      </w:pPr>
      <w:r w:rsidRPr="005D2F67">
        <w:rPr>
          <w:b/>
          <w:sz w:val="22"/>
          <w:szCs w:val="22"/>
        </w:rPr>
        <w:lastRenderedPageBreak/>
        <w:t xml:space="preserve">Punkti </w:t>
      </w:r>
      <w:r w:rsidR="00262F54">
        <w:rPr>
          <w:b/>
          <w:sz w:val="22"/>
          <w:szCs w:val="22"/>
        </w:rPr>
        <w:t>3</w:t>
      </w:r>
      <w:r w:rsidRPr="005D2F67">
        <w:rPr>
          <w:sz w:val="22"/>
          <w:szCs w:val="22"/>
        </w:rPr>
        <w:t xml:space="preserve"> järgi tuleb lisaks eeltoodule esitada asjakohasel juhul teave selle kohta, et investeerimis</w:t>
      </w:r>
      <w:r w:rsidR="00DA04DA">
        <w:rPr>
          <w:sz w:val="22"/>
          <w:szCs w:val="22"/>
        </w:rPr>
        <w:t>projekti</w:t>
      </w:r>
      <w:r w:rsidRPr="005D2F67">
        <w:rPr>
          <w:sz w:val="22"/>
          <w:szCs w:val="22"/>
        </w:rPr>
        <w:t xml:space="preserve"> pakkumine ei ole registreeritud Finantsinspektsioonis või muu finantsjärelevalve asutuse juures. Pakkumise registreerimiskohustuse kohta vt lähemalt § </w:t>
      </w:r>
      <w:r w:rsidR="00277813">
        <w:rPr>
          <w:sz w:val="22"/>
          <w:szCs w:val="22"/>
        </w:rPr>
        <w:t>68</w:t>
      </w:r>
      <w:r>
        <w:rPr>
          <w:sz w:val="22"/>
          <w:szCs w:val="22"/>
        </w:rPr>
        <w:t xml:space="preserve"> selgitusi</w:t>
      </w:r>
      <w:r w:rsidRPr="005D2F67">
        <w:rPr>
          <w:sz w:val="22"/>
          <w:szCs w:val="22"/>
        </w:rPr>
        <w:t>.</w:t>
      </w:r>
    </w:p>
    <w:p w14:paraId="6A8B5211" w14:textId="7DD83E79" w:rsidR="00277813" w:rsidRDefault="00277813" w:rsidP="00B82E7B">
      <w:pPr>
        <w:spacing w:before="0"/>
        <w:rPr>
          <w:sz w:val="22"/>
          <w:szCs w:val="22"/>
        </w:rPr>
      </w:pPr>
    </w:p>
    <w:p w14:paraId="620D1D6C" w14:textId="6960BAFE" w:rsidR="007D2AF8" w:rsidRDefault="00277813" w:rsidP="00B82E7B">
      <w:pPr>
        <w:spacing w:before="0"/>
        <w:rPr>
          <w:sz w:val="22"/>
          <w:szCs w:val="22"/>
        </w:rPr>
      </w:pPr>
      <w:r>
        <w:rPr>
          <w:b/>
          <w:bCs/>
          <w:sz w:val="22"/>
          <w:szCs w:val="22"/>
        </w:rPr>
        <w:t xml:space="preserve">Lõike 2 </w:t>
      </w:r>
      <w:r>
        <w:rPr>
          <w:sz w:val="22"/>
          <w:szCs w:val="22"/>
        </w:rPr>
        <w:t>kohaselt võib valdkonna eest vastutav minister määrusega kehtestada täpsemad nõuded investeerimisprojekti pakkumise kohta avalikustatavale teabele.</w:t>
      </w:r>
    </w:p>
    <w:p w14:paraId="3EF295E3" w14:textId="7B6D09B7" w:rsidR="00277813" w:rsidRDefault="00277813" w:rsidP="00B82E7B">
      <w:pPr>
        <w:spacing w:before="0"/>
        <w:rPr>
          <w:sz w:val="22"/>
          <w:szCs w:val="22"/>
        </w:rPr>
      </w:pPr>
    </w:p>
    <w:p w14:paraId="211AB309" w14:textId="25E651E4" w:rsidR="00277813" w:rsidRDefault="00277813" w:rsidP="00B82E7B">
      <w:pPr>
        <w:spacing w:before="0"/>
        <w:rPr>
          <w:sz w:val="22"/>
          <w:szCs w:val="22"/>
        </w:rPr>
      </w:pPr>
      <w:r>
        <w:rPr>
          <w:b/>
          <w:bCs/>
          <w:sz w:val="22"/>
          <w:szCs w:val="22"/>
        </w:rPr>
        <w:t>Paragrahv 50</w:t>
      </w:r>
      <w:r w:rsidR="000C1206">
        <w:rPr>
          <w:b/>
          <w:bCs/>
          <w:sz w:val="22"/>
          <w:szCs w:val="22"/>
        </w:rPr>
        <w:t xml:space="preserve"> </w:t>
      </w:r>
      <w:r w:rsidR="000C1206">
        <w:rPr>
          <w:sz w:val="22"/>
          <w:szCs w:val="22"/>
        </w:rPr>
        <w:t>sätestab teabe avalikustamise nõuded riskide suurenemise või realiseerumise korral.</w:t>
      </w:r>
    </w:p>
    <w:p w14:paraId="0FE063A9" w14:textId="2E5BF6FA" w:rsidR="000C1206" w:rsidRDefault="000C1206" w:rsidP="00B82E7B">
      <w:pPr>
        <w:spacing w:before="0"/>
        <w:rPr>
          <w:sz w:val="22"/>
          <w:szCs w:val="22"/>
        </w:rPr>
      </w:pPr>
    </w:p>
    <w:p w14:paraId="23968BF0" w14:textId="77777777" w:rsidR="000C1206" w:rsidRDefault="000C1206" w:rsidP="00B82E7B">
      <w:pPr>
        <w:spacing w:before="0"/>
        <w:rPr>
          <w:sz w:val="22"/>
          <w:szCs w:val="22"/>
        </w:rPr>
      </w:pPr>
      <w:r>
        <w:rPr>
          <w:b/>
          <w:bCs/>
          <w:sz w:val="22"/>
          <w:szCs w:val="22"/>
        </w:rPr>
        <w:t xml:space="preserve">Lõike 1 </w:t>
      </w:r>
      <w:r>
        <w:rPr>
          <w:sz w:val="22"/>
          <w:szCs w:val="22"/>
        </w:rPr>
        <w:t xml:space="preserve">punkti 1 kohaselt on teenuseosutaja kohustatud avalikustama teavet, kui lubatud investeeringu tulusus ei vasta tegelikkusele või on tõenäoline, et teenuseosutajal, rahastuse taotlejal või muul kohustatud isikul ei ole võimalik kokkulepitud tähtajaks kliendile tasuda lubatud investeeringu tulusust. </w:t>
      </w:r>
    </w:p>
    <w:p w14:paraId="03F2C19E" w14:textId="77777777" w:rsidR="000C1206" w:rsidRDefault="000C1206" w:rsidP="00B82E7B">
      <w:pPr>
        <w:spacing w:before="0"/>
        <w:rPr>
          <w:sz w:val="22"/>
          <w:szCs w:val="22"/>
        </w:rPr>
      </w:pPr>
    </w:p>
    <w:p w14:paraId="6C24E669" w14:textId="59EBEEE5" w:rsidR="004E3B31" w:rsidRDefault="000C1206" w:rsidP="00B82E7B">
      <w:pPr>
        <w:spacing w:before="0"/>
        <w:rPr>
          <w:sz w:val="22"/>
          <w:szCs w:val="22"/>
        </w:rPr>
      </w:pPr>
      <w:r>
        <w:rPr>
          <w:sz w:val="22"/>
          <w:szCs w:val="22"/>
        </w:rPr>
        <w:t xml:space="preserve">Punkt 2 </w:t>
      </w:r>
      <w:r w:rsidRPr="005D2F67">
        <w:rPr>
          <w:sz w:val="22"/>
          <w:szCs w:val="22"/>
        </w:rPr>
        <w:t>sätestab teenuseosutaja</w:t>
      </w:r>
      <w:r>
        <w:rPr>
          <w:sz w:val="22"/>
          <w:szCs w:val="22"/>
        </w:rPr>
        <w:t xml:space="preserve"> </w:t>
      </w:r>
      <w:r w:rsidRPr="005D2F67">
        <w:rPr>
          <w:sz w:val="22"/>
          <w:szCs w:val="22"/>
        </w:rPr>
        <w:t>teavitamiskohustuse oma klientidele või avalikult veebilehe vahendusel sellisel juhul, kui teenuseosutaja suhtes on algatatud saneerimis- või pankrotimenetlus või muu sarnane menetlus. Viimase osa puhul on mõeldud maksejõuetusega seotud menetlusi, mis võivad teistes riikides kanda teistsuguseid nimetusi, kuid on sisult sarnased samas lõikes toodud eestikeelsete vastetega.</w:t>
      </w:r>
      <w:r w:rsidR="000D29B7">
        <w:rPr>
          <w:sz w:val="22"/>
          <w:szCs w:val="22"/>
        </w:rPr>
        <w:t xml:space="preserve"> Samasisuline teavitamiskohustus on ette nähtud ka punktiga 3, aga sellisel juhul, kui rahastuse taotleja suhtes on algatatud saneerimis- või pankrotimenetlus või muu sarnane menetlus. </w:t>
      </w:r>
    </w:p>
    <w:p w14:paraId="74E93BBD" w14:textId="53846B12" w:rsidR="004E3B31" w:rsidRDefault="004E3B31" w:rsidP="00B82E7B">
      <w:pPr>
        <w:spacing w:before="0"/>
        <w:rPr>
          <w:sz w:val="22"/>
          <w:szCs w:val="22"/>
        </w:rPr>
      </w:pPr>
      <w:r>
        <w:rPr>
          <w:b/>
          <w:bCs/>
          <w:sz w:val="22"/>
          <w:szCs w:val="22"/>
        </w:rPr>
        <w:t xml:space="preserve">Lõike 2 </w:t>
      </w:r>
      <w:r>
        <w:rPr>
          <w:sz w:val="22"/>
          <w:szCs w:val="22"/>
        </w:rPr>
        <w:t xml:space="preserve">järgi tuleb eelmises lõikes nimetatud teavitused avalikustada esimesel võimalusel, kuid hiljemalt esimesel tööpäeval pärast samas lõikes nimetatud asjaolude ilmnemist, ja see peab sisaldama täpsemat asjaolude kirjeldust ja infot riskide kõrvaldamise või vähendamise võimaluste kohta. </w:t>
      </w:r>
    </w:p>
    <w:p w14:paraId="1A0C6CE1" w14:textId="69B9B752" w:rsidR="004E3B31" w:rsidRDefault="004E3B31" w:rsidP="00B82E7B">
      <w:pPr>
        <w:spacing w:before="0"/>
        <w:rPr>
          <w:sz w:val="22"/>
          <w:szCs w:val="22"/>
        </w:rPr>
      </w:pPr>
    </w:p>
    <w:p w14:paraId="5B38608C" w14:textId="59C5D2B3" w:rsidR="004E3B31" w:rsidRPr="005A55CA" w:rsidRDefault="004E3B31" w:rsidP="004E3B31">
      <w:pPr>
        <w:pStyle w:val="Normal2"/>
        <w:rPr>
          <w:szCs w:val="22"/>
        </w:rPr>
      </w:pPr>
      <w:r w:rsidRPr="005A55CA">
        <w:rPr>
          <w:b/>
          <w:szCs w:val="22"/>
        </w:rPr>
        <w:t xml:space="preserve">Paragrahv </w:t>
      </w:r>
      <w:r>
        <w:rPr>
          <w:b/>
          <w:szCs w:val="22"/>
        </w:rPr>
        <w:t>51</w:t>
      </w:r>
      <w:r w:rsidRPr="005A55CA">
        <w:rPr>
          <w:szCs w:val="22"/>
        </w:rPr>
        <w:t xml:space="preserve"> käsitleb </w:t>
      </w:r>
      <w:r>
        <w:rPr>
          <w:szCs w:val="22"/>
        </w:rPr>
        <w:t>finantsvahendusplatvormil</w:t>
      </w:r>
      <w:r w:rsidRPr="005A55CA">
        <w:rPr>
          <w:szCs w:val="22"/>
        </w:rPr>
        <w:t xml:space="preserve"> tehtavate tehingute kohta teabe avalikustamise nõudeid. </w:t>
      </w:r>
    </w:p>
    <w:p w14:paraId="1CDCD346" w14:textId="77777777" w:rsidR="004E3B31" w:rsidRDefault="004E3B31" w:rsidP="004E3B31">
      <w:pPr>
        <w:spacing w:before="0"/>
        <w:rPr>
          <w:b/>
          <w:sz w:val="22"/>
          <w:szCs w:val="22"/>
          <w:lang w:eastAsia="en-US"/>
        </w:rPr>
      </w:pPr>
    </w:p>
    <w:p w14:paraId="014C57D0" w14:textId="5FCC3ACA" w:rsidR="004E3B31" w:rsidRPr="00D3321B" w:rsidRDefault="004E3B31" w:rsidP="004E3B31">
      <w:pPr>
        <w:spacing w:before="0"/>
        <w:rPr>
          <w:sz w:val="22"/>
          <w:szCs w:val="22"/>
          <w:lang w:eastAsia="en-US"/>
        </w:rPr>
      </w:pPr>
      <w:r w:rsidRPr="005A55CA">
        <w:rPr>
          <w:b/>
          <w:sz w:val="22"/>
          <w:szCs w:val="22"/>
          <w:lang w:eastAsia="en-US"/>
        </w:rPr>
        <w:t xml:space="preserve">Lõike 1 </w:t>
      </w:r>
      <w:r w:rsidRPr="005A55CA">
        <w:rPr>
          <w:sz w:val="22"/>
          <w:szCs w:val="22"/>
          <w:lang w:eastAsia="en-US"/>
        </w:rPr>
        <w:t xml:space="preserve">kohaselt tuleb kõikide </w:t>
      </w:r>
      <w:r>
        <w:rPr>
          <w:sz w:val="22"/>
          <w:szCs w:val="22"/>
          <w:lang w:eastAsia="en-US"/>
        </w:rPr>
        <w:t>finantsvahendusplatvormil</w:t>
      </w:r>
      <w:r w:rsidRPr="005A55CA">
        <w:rPr>
          <w:sz w:val="22"/>
          <w:szCs w:val="22"/>
          <w:lang w:eastAsia="en-US"/>
        </w:rPr>
        <w:t xml:space="preserve"> tehtud tehingute kohta aval</w:t>
      </w:r>
      <w:r>
        <w:rPr>
          <w:sz w:val="22"/>
          <w:szCs w:val="22"/>
          <w:lang w:eastAsia="en-US"/>
        </w:rPr>
        <w:t>ikustada</w:t>
      </w:r>
      <w:r w:rsidRPr="005A55CA">
        <w:rPr>
          <w:sz w:val="22"/>
          <w:szCs w:val="22"/>
          <w:lang w:eastAsia="en-US"/>
        </w:rPr>
        <w:t xml:space="preserve"> vähemalt sama lõike punktides 1-5 nimetatud andmed, st aval</w:t>
      </w:r>
      <w:r>
        <w:rPr>
          <w:sz w:val="22"/>
          <w:szCs w:val="22"/>
          <w:lang w:eastAsia="en-US"/>
        </w:rPr>
        <w:t>ikustada</w:t>
      </w:r>
      <w:r w:rsidRPr="005A55CA">
        <w:rPr>
          <w:sz w:val="22"/>
          <w:szCs w:val="22"/>
          <w:lang w:eastAsia="en-US"/>
        </w:rPr>
        <w:t xml:space="preserve"> tuleb </w:t>
      </w:r>
      <w:r>
        <w:rPr>
          <w:sz w:val="22"/>
          <w:szCs w:val="22"/>
          <w:lang w:eastAsia="en-US"/>
        </w:rPr>
        <w:t>vastava vara</w:t>
      </w:r>
      <w:r w:rsidRPr="005A55CA">
        <w:rPr>
          <w:sz w:val="22"/>
          <w:szCs w:val="22"/>
          <w:lang w:eastAsia="en-US"/>
        </w:rPr>
        <w:t xml:space="preserve"> identifitseerimistunnus, tehingu hind, tehingu maht, tehingu aeg ning tehingus kasutatud vääring.</w:t>
      </w:r>
      <w:r>
        <w:rPr>
          <w:sz w:val="22"/>
          <w:szCs w:val="22"/>
          <w:lang w:eastAsia="en-US"/>
        </w:rPr>
        <w:t xml:space="preserve"> Vastav teave tuleks avalikustada vähemalt finantsvahendusplatvormil, st kliendil peaks olema võimalik tehingu tegemise kohas ehk finantsvahendusplatvormil tutvuda finantsvahendusplatvormil kaubeldavate instrumentidega seotud peamiste andmetega. </w:t>
      </w:r>
    </w:p>
    <w:p w14:paraId="525F2849" w14:textId="77777777" w:rsidR="004362BE" w:rsidRDefault="004362BE" w:rsidP="004E3B31">
      <w:pPr>
        <w:spacing w:before="0"/>
        <w:rPr>
          <w:b/>
          <w:sz w:val="22"/>
          <w:szCs w:val="22"/>
          <w:lang w:eastAsia="en-US"/>
        </w:rPr>
      </w:pPr>
    </w:p>
    <w:p w14:paraId="68D16DD3" w14:textId="77777777" w:rsidR="004E3B31" w:rsidRPr="005A55CA" w:rsidRDefault="004E3B31" w:rsidP="004E3B31">
      <w:pPr>
        <w:spacing w:before="0"/>
        <w:rPr>
          <w:sz w:val="22"/>
          <w:szCs w:val="22"/>
          <w:lang w:eastAsia="en-US"/>
        </w:rPr>
      </w:pPr>
      <w:r w:rsidRPr="005A55CA">
        <w:rPr>
          <w:b/>
          <w:sz w:val="22"/>
          <w:szCs w:val="22"/>
          <w:lang w:eastAsia="en-US"/>
        </w:rPr>
        <w:t xml:space="preserve">Lõike 2 </w:t>
      </w:r>
      <w:r w:rsidRPr="005A55CA">
        <w:rPr>
          <w:sz w:val="22"/>
          <w:szCs w:val="22"/>
          <w:lang w:eastAsia="en-US"/>
        </w:rPr>
        <w:t>järgi tuleb aval</w:t>
      </w:r>
      <w:r>
        <w:rPr>
          <w:sz w:val="22"/>
          <w:szCs w:val="22"/>
          <w:lang w:eastAsia="en-US"/>
        </w:rPr>
        <w:t>ikusta</w:t>
      </w:r>
      <w:r w:rsidRPr="005A55CA">
        <w:rPr>
          <w:sz w:val="22"/>
          <w:szCs w:val="22"/>
          <w:lang w:eastAsia="en-US"/>
        </w:rPr>
        <w:t>da lõikes 1 nimetatud teavet piisava regulaarsusega. Antud sätte mõistes tuleb mõelda „piisavat regulaarsust“ nii kiiresti kui see on võimalik, arvestades kasutatavat tehnilist lahendust</w:t>
      </w:r>
      <w:r>
        <w:rPr>
          <w:sz w:val="22"/>
          <w:szCs w:val="22"/>
          <w:lang w:eastAsia="en-US"/>
        </w:rPr>
        <w:t xml:space="preserve"> ja lõike 3 alusel kehtestatud määrust</w:t>
      </w:r>
      <w:r w:rsidRPr="005A55CA">
        <w:rPr>
          <w:sz w:val="22"/>
          <w:szCs w:val="22"/>
          <w:lang w:eastAsia="en-US"/>
        </w:rPr>
        <w:t xml:space="preserve">. </w:t>
      </w:r>
    </w:p>
    <w:p w14:paraId="456F1863" w14:textId="77777777" w:rsidR="004E3B31" w:rsidRPr="005A55CA" w:rsidRDefault="004E3B31" w:rsidP="004E3B31">
      <w:pPr>
        <w:spacing w:before="0"/>
        <w:rPr>
          <w:sz w:val="22"/>
          <w:szCs w:val="22"/>
        </w:rPr>
      </w:pPr>
    </w:p>
    <w:p w14:paraId="14BABEDA" w14:textId="30644A22" w:rsidR="004E3B31" w:rsidRPr="004E3B31" w:rsidRDefault="004E3B31" w:rsidP="00B82E7B">
      <w:pPr>
        <w:spacing w:before="0"/>
        <w:rPr>
          <w:sz w:val="22"/>
          <w:szCs w:val="22"/>
        </w:rPr>
      </w:pPr>
      <w:r w:rsidRPr="005A55CA">
        <w:rPr>
          <w:b/>
          <w:sz w:val="22"/>
          <w:szCs w:val="22"/>
        </w:rPr>
        <w:t xml:space="preserve">Lõikes 3 </w:t>
      </w:r>
      <w:r w:rsidRPr="005A55CA">
        <w:rPr>
          <w:sz w:val="22"/>
          <w:szCs w:val="22"/>
        </w:rPr>
        <w:t>sisaldub volitusnorm, mis annab valdkonna eest vastutavale ministrile õiguse kehtestada määrusega täiendavaid tehinguandmete ja -hindade avalikustamise nõudeid, sealhulgas andmete avalikustamise sagedust. Kuivõrd tegemist on reguleerimata valdkonnaga, siis on eelnõu koostajate arvates vajalik võimaldada teabe avalikustamise sageduse muutmist, kui selline vajadus praktikas ilmneb.</w:t>
      </w:r>
    </w:p>
    <w:p w14:paraId="1CCFAB94" w14:textId="13E43217" w:rsidR="00B82E7B" w:rsidRDefault="00B82E7B" w:rsidP="00B82E7B">
      <w:pPr>
        <w:spacing w:before="0"/>
        <w:rPr>
          <w:sz w:val="22"/>
          <w:szCs w:val="22"/>
        </w:rPr>
      </w:pPr>
    </w:p>
    <w:p w14:paraId="12C0E4FA" w14:textId="2588E679" w:rsidR="00D3321B" w:rsidRPr="004362BE" w:rsidRDefault="00D3321B" w:rsidP="00D3321B">
      <w:pPr>
        <w:spacing w:before="0"/>
        <w:rPr>
          <w:bCs/>
          <w:sz w:val="22"/>
          <w:szCs w:val="22"/>
        </w:rPr>
      </w:pPr>
      <w:r>
        <w:rPr>
          <w:b/>
          <w:sz w:val="22"/>
          <w:szCs w:val="22"/>
        </w:rPr>
        <w:t xml:space="preserve">Paragrahv 52 </w:t>
      </w:r>
      <w:r>
        <w:rPr>
          <w:bCs/>
          <w:sz w:val="22"/>
          <w:szCs w:val="22"/>
        </w:rPr>
        <w:t>kehtestab nõuded investeerimisprojekti asjakohasuse hindamisele mittekogenud kliendi puhul. Mittekogenud klient on iga klient, kes ei ole kutseline investor VPTS § 6 lg 2 tähenduses (vt ka § 5 lg 4).</w:t>
      </w:r>
    </w:p>
    <w:p w14:paraId="0D1CF981" w14:textId="77777777" w:rsidR="00D3321B" w:rsidRDefault="00D3321B" w:rsidP="00D3321B">
      <w:pPr>
        <w:spacing w:before="0"/>
        <w:rPr>
          <w:b/>
          <w:sz w:val="22"/>
          <w:szCs w:val="22"/>
        </w:rPr>
      </w:pPr>
    </w:p>
    <w:p w14:paraId="2B9C838F" w14:textId="08B427B1" w:rsidR="00D3321B" w:rsidRDefault="00D3321B" w:rsidP="00D3321B">
      <w:pPr>
        <w:spacing w:before="0"/>
        <w:rPr>
          <w:b/>
          <w:sz w:val="22"/>
          <w:szCs w:val="22"/>
          <w:lang w:eastAsia="en-US"/>
        </w:rPr>
      </w:pPr>
      <w:r w:rsidRPr="00F4370F">
        <w:rPr>
          <w:b/>
          <w:sz w:val="22"/>
          <w:szCs w:val="22"/>
        </w:rPr>
        <w:t xml:space="preserve">Punkti </w:t>
      </w:r>
      <w:r>
        <w:rPr>
          <w:b/>
          <w:sz w:val="22"/>
          <w:szCs w:val="22"/>
        </w:rPr>
        <w:t>1</w:t>
      </w:r>
      <w:r w:rsidRPr="00F4370F">
        <w:rPr>
          <w:sz w:val="22"/>
          <w:szCs w:val="22"/>
        </w:rPr>
        <w:t xml:space="preserve"> kohaselt peab </w:t>
      </w:r>
      <w:r>
        <w:rPr>
          <w:sz w:val="22"/>
          <w:szCs w:val="22"/>
        </w:rPr>
        <w:t>teenuseosutaja</w:t>
      </w:r>
      <w:r w:rsidRPr="00F4370F">
        <w:rPr>
          <w:sz w:val="22"/>
          <w:szCs w:val="22"/>
        </w:rPr>
        <w:t xml:space="preserve"> hindama </w:t>
      </w:r>
      <w:r w:rsidR="00CF30D7">
        <w:rPr>
          <w:sz w:val="22"/>
          <w:szCs w:val="22"/>
        </w:rPr>
        <w:t>investeerimisprojekti</w:t>
      </w:r>
      <w:r w:rsidRPr="00F4370F">
        <w:rPr>
          <w:sz w:val="22"/>
          <w:szCs w:val="22"/>
        </w:rPr>
        <w:t xml:space="preserve"> asjakohasust </w:t>
      </w:r>
      <w:r w:rsidR="00CF30D7">
        <w:rPr>
          <w:sz w:val="22"/>
          <w:szCs w:val="22"/>
        </w:rPr>
        <w:t>kliendi jaoks</w:t>
      </w:r>
      <w:r w:rsidRPr="00F4370F">
        <w:rPr>
          <w:sz w:val="22"/>
          <w:szCs w:val="22"/>
        </w:rPr>
        <w:t xml:space="preserve"> ning selle tarvis kindlaks tegema </w:t>
      </w:r>
      <w:r w:rsidR="00CF30D7">
        <w:rPr>
          <w:sz w:val="22"/>
          <w:szCs w:val="22"/>
        </w:rPr>
        <w:t>kliendi</w:t>
      </w:r>
      <w:r w:rsidRPr="00F4370F">
        <w:rPr>
          <w:sz w:val="22"/>
          <w:szCs w:val="22"/>
        </w:rPr>
        <w:t xml:space="preserve"> kogemuse finantsturul tegutsemiseks ja teadlikkuse finantsturust</w:t>
      </w:r>
      <w:r w:rsidRPr="005D2F67">
        <w:rPr>
          <w:sz w:val="22"/>
          <w:szCs w:val="22"/>
        </w:rPr>
        <w:t>.</w:t>
      </w:r>
      <w:r>
        <w:rPr>
          <w:sz w:val="22"/>
          <w:szCs w:val="22"/>
        </w:rPr>
        <w:t xml:space="preserve"> </w:t>
      </w:r>
      <w:r w:rsidR="00DB6C05">
        <w:rPr>
          <w:sz w:val="22"/>
          <w:szCs w:val="22"/>
        </w:rPr>
        <w:t xml:space="preserve">Investeerimisprojekti asjakohasust kliendi jaoks tuleb hinnata mittekogenud klientide puhul (vt ka § 53). </w:t>
      </w:r>
      <w:r w:rsidRPr="005D2F67">
        <w:rPr>
          <w:b/>
          <w:sz w:val="22"/>
          <w:szCs w:val="22"/>
        </w:rPr>
        <w:t xml:space="preserve">Punkt </w:t>
      </w:r>
      <w:r>
        <w:rPr>
          <w:b/>
          <w:sz w:val="22"/>
          <w:szCs w:val="22"/>
        </w:rPr>
        <w:t>2</w:t>
      </w:r>
      <w:r w:rsidRPr="005D2F67">
        <w:rPr>
          <w:sz w:val="22"/>
          <w:szCs w:val="22"/>
        </w:rPr>
        <w:t xml:space="preserve"> kehtestab kohustuse, et </w:t>
      </w:r>
      <w:r>
        <w:rPr>
          <w:sz w:val="22"/>
          <w:szCs w:val="22"/>
        </w:rPr>
        <w:t>teenuseosutaja</w:t>
      </w:r>
      <w:r w:rsidRPr="005D2F67">
        <w:rPr>
          <w:sz w:val="22"/>
          <w:szCs w:val="22"/>
        </w:rPr>
        <w:t xml:space="preserve"> peab </w:t>
      </w:r>
      <w:r w:rsidRPr="004466B0">
        <w:rPr>
          <w:sz w:val="22"/>
          <w:szCs w:val="22"/>
        </w:rPr>
        <w:t xml:space="preserve">mõistma </w:t>
      </w:r>
      <w:r w:rsidR="009620ED">
        <w:rPr>
          <w:sz w:val="22"/>
          <w:szCs w:val="22"/>
        </w:rPr>
        <w:t>klientidele</w:t>
      </w:r>
      <w:r w:rsidRPr="004466B0">
        <w:rPr>
          <w:sz w:val="22"/>
          <w:szCs w:val="22"/>
        </w:rPr>
        <w:t xml:space="preserve"> pakutavate investeerimis</w:t>
      </w:r>
      <w:r w:rsidR="000728A6">
        <w:rPr>
          <w:sz w:val="22"/>
          <w:szCs w:val="22"/>
        </w:rPr>
        <w:t>projektide</w:t>
      </w:r>
      <w:r w:rsidRPr="004466B0">
        <w:rPr>
          <w:sz w:val="22"/>
          <w:szCs w:val="22"/>
        </w:rPr>
        <w:t xml:space="preserve"> omadusi, hindama investeerimis</w:t>
      </w:r>
      <w:r w:rsidR="000728A6">
        <w:rPr>
          <w:sz w:val="22"/>
          <w:szCs w:val="22"/>
        </w:rPr>
        <w:t>projekti</w:t>
      </w:r>
      <w:r w:rsidRPr="004466B0">
        <w:rPr>
          <w:sz w:val="22"/>
          <w:szCs w:val="22"/>
        </w:rPr>
        <w:t xml:space="preserve"> sihtrühma arvesse võttes selliste investeerimis</w:t>
      </w:r>
      <w:r w:rsidR="000728A6">
        <w:rPr>
          <w:sz w:val="22"/>
          <w:szCs w:val="22"/>
        </w:rPr>
        <w:t>projektide</w:t>
      </w:r>
      <w:r w:rsidRPr="004466B0">
        <w:rPr>
          <w:sz w:val="22"/>
          <w:szCs w:val="22"/>
        </w:rPr>
        <w:t xml:space="preserve"> vastavust </w:t>
      </w:r>
      <w:r w:rsidR="000728A6">
        <w:rPr>
          <w:sz w:val="22"/>
          <w:szCs w:val="22"/>
        </w:rPr>
        <w:t>kliendi</w:t>
      </w:r>
      <w:r w:rsidRPr="00F4370F">
        <w:rPr>
          <w:sz w:val="22"/>
          <w:szCs w:val="22"/>
        </w:rPr>
        <w:t xml:space="preserve"> vajadustele ja pakkuma või soovitama investeerimis</w:t>
      </w:r>
      <w:r w:rsidR="000728A6">
        <w:rPr>
          <w:sz w:val="22"/>
          <w:szCs w:val="22"/>
        </w:rPr>
        <w:t>projekte</w:t>
      </w:r>
      <w:r w:rsidRPr="00F4370F">
        <w:rPr>
          <w:sz w:val="22"/>
          <w:szCs w:val="22"/>
        </w:rPr>
        <w:t xml:space="preserve"> üksnes siis, kui see on kooskõlas </w:t>
      </w:r>
      <w:r w:rsidR="000728A6">
        <w:rPr>
          <w:sz w:val="22"/>
          <w:szCs w:val="22"/>
        </w:rPr>
        <w:t>kliendi</w:t>
      </w:r>
      <w:r w:rsidRPr="00F4370F">
        <w:rPr>
          <w:sz w:val="22"/>
          <w:szCs w:val="22"/>
        </w:rPr>
        <w:t xml:space="preserve"> </w:t>
      </w:r>
      <w:r w:rsidRPr="005D2F67">
        <w:rPr>
          <w:sz w:val="22"/>
          <w:szCs w:val="22"/>
        </w:rPr>
        <w:t xml:space="preserve">huvidega. </w:t>
      </w:r>
      <w:r w:rsidRPr="005D2F67">
        <w:rPr>
          <w:b/>
          <w:sz w:val="22"/>
          <w:szCs w:val="22"/>
        </w:rPr>
        <w:t xml:space="preserve">Punkti </w:t>
      </w:r>
      <w:r>
        <w:rPr>
          <w:b/>
          <w:sz w:val="22"/>
          <w:szCs w:val="22"/>
        </w:rPr>
        <w:t>3</w:t>
      </w:r>
      <w:r w:rsidRPr="005D2F67">
        <w:rPr>
          <w:sz w:val="22"/>
          <w:szCs w:val="22"/>
        </w:rPr>
        <w:t xml:space="preserve"> kohaselt peab </w:t>
      </w:r>
      <w:r>
        <w:rPr>
          <w:sz w:val="22"/>
          <w:szCs w:val="22"/>
        </w:rPr>
        <w:t>teenuseosutaja</w:t>
      </w:r>
      <w:r w:rsidRPr="005D2F67">
        <w:rPr>
          <w:sz w:val="22"/>
          <w:szCs w:val="22"/>
        </w:rPr>
        <w:t xml:space="preserve"> tagama, et tema vahendatav investeerimis</w:t>
      </w:r>
      <w:r w:rsidR="00DB6C05">
        <w:rPr>
          <w:sz w:val="22"/>
          <w:szCs w:val="22"/>
        </w:rPr>
        <w:t>projekt</w:t>
      </w:r>
      <w:r w:rsidRPr="005D2F67">
        <w:rPr>
          <w:sz w:val="22"/>
          <w:szCs w:val="22"/>
        </w:rPr>
        <w:t xml:space="preserve"> vastab selle </w:t>
      </w:r>
      <w:r w:rsidR="00DB6C05">
        <w:rPr>
          <w:sz w:val="22"/>
          <w:szCs w:val="22"/>
        </w:rPr>
        <w:t xml:space="preserve">pakkumise </w:t>
      </w:r>
      <w:r w:rsidRPr="005D2F67">
        <w:rPr>
          <w:sz w:val="22"/>
          <w:szCs w:val="22"/>
        </w:rPr>
        <w:t xml:space="preserve">kindlaks määratud sihtrühma kuuluvate </w:t>
      </w:r>
      <w:r w:rsidR="00DB6C05">
        <w:rPr>
          <w:sz w:val="22"/>
          <w:szCs w:val="22"/>
        </w:rPr>
        <w:t>klientide</w:t>
      </w:r>
      <w:r w:rsidRPr="005D2F67">
        <w:rPr>
          <w:sz w:val="22"/>
          <w:szCs w:val="22"/>
        </w:rPr>
        <w:t xml:space="preserve"> vajadustele vastavalt </w:t>
      </w:r>
      <w:r>
        <w:rPr>
          <w:sz w:val="22"/>
          <w:szCs w:val="22"/>
        </w:rPr>
        <w:t>nende</w:t>
      </w:r>
      <w:r w:rsidRPr="005D2F67">
        <w:rPr>
          <w:sz w:val="22"/>
          <w:szCs w:val="22"/>
        </w:rPr>
        <w:t xml:space="preserve"> liigitusele, investeerimis</w:t>
      </w:r>
      <w:r w:rsidR="00DB6C05">
        <w:rPr>
          <w:sz w:val="22"/>
          <w:szCs w:val="22"/>
        </w:rPr>
        <w:t>projekti</w:t>
      </w:r>
      <w:r w:rsidRPr="005D2F67">
        <w:rPr>
          <w:sz w:val="22"/>
          <w:szCs w:val="22"/>
        </w:rPr>
        <w:t xml:space="preserve"> turustamisstrateegia vastab sihtrühmale ja investeerimis</w:t>
      </w:r>
      <w:r w:rsidR="00DB6C05">
        <w:rPr>
          <w:sz w:val="22"/>
          <w:szCs w:val="22"/>
        </w:rPr>
        <w:t>projekti</w:t>
      </w:r>
      <w:r w:rsidRPr="005D2F67">
        <w:rPr>
          <w:sz w:val="22"/>
          <w:szCs w:val="22"/>
        </w:rPr>
        <w:t xml:space="preserve"> turustatakse üksnes sellele sihtrühmale.</w:t>
      </w:r>
    </w:p>
    <w:p w14:paraId="34624ABD" w14:textId="39D9F8D8" w:rsidR="00D3321B" w:rsidRDefault="00D3321B" w:rsidP="00B82E7B">
      <w:pPr>
        <w:spacing w:before="0"/>
        <w:rPr>
          <w:sz w:val="22"/>
          <w:szCs w:val="22"/>
        </w:rPr>
      </w:pPr>
    </w:p>
    <w:p w14:paraId="3D484ACE" w14:textId="27C10423" w:rsidR="00DB6C05" w:rsidRPr="005A55CA" w:rsidRDefault="00DB6C05" w:rsidP="00DB6C05">
      <w:pPr>
        <w:spacing w:before="0"/>
        <w:rPr>
          <w:b/>
          <w:sz w:val="22"/>
          <w:szCs w:val="22"/>
        </w:rPr>
      </w:pPr>
      <w:r w:rsidRPr="005A55CA">
        <w:rPr>
          <w:b/>
          <w:sz w:val="22"/>
          <w:szCs w:val="22"/>
        </w:rPr>
        <w:t xml:space="preserve">Paragrahv </w:t>
      </w:r>
      <w:r>
        <w:rPr>
          <w:b/>
          <w:sz w:val="22"/>
          <w:szCs w:val="22"/>
        </w:rPr>
        <w:t>53</w:t>
      </w:r>
      <w:r w:rsidRPr="005A55CA">
        <w:rPr>
          <w:sz w:val="22"/>
          <w:szCs w:val="22"/>
        </w:rPr>
        <w:t xml:space="preserve"> kehtestab nõuded investeerimis</w:t>
      </w:r>
      <w:r>
        <w:rPr>
          <w:sz w:val="22"/>
          <w:szCs w:val="22"/>
        </w:rPr>
        <w:t>projekti</w:t>
      </w:r>
      <w:r w:rsidRPr="005A55CA">
        <w:rPr>
          <w:sz w:val="22"/>
          <w:szCs w:val="22"/>
        </w:rPr>
        <w:t xml:space="preserve"> asjakohasuse hindamise kohta. Paragrahvis kasutatakse teadlikult terminit “asjakohane”, kuivõrd nii </w:t>
      </w:r>
      <w:proofErr w:type="spellStart"/>
      <w:r w:rsidRPr="005A55CA">
        <w:rPr>
          <w:sz w:val="22"/>
          <w:szCs w:val="22"/>
        </w:rPr>
        <w:t>MiFID</w:t>
      </w:r>
      <w:proofErr w:type="spellEnd"/>
      <w:r>
        <w:rPr>
          <w:sz w:val="22"/>
          <w:szCs w:val="22"/>
        </w:rPr>
        <w:t xml:space="preserve"> II</w:t>
      </w:r>
      <w:r w:rsidRPr="005A55CA">
        <w:rPr>
          <w:sz w:val="22"/>
          <w:szCs w:val="22"/>
        </w:rPr>
        <w:t>-s kui ka kindlustusvaldkonnaga seotud õigusaktides hinnatakse sobivust (</w:t>
      </w:r>
      <w:proofErr w:type="spellStart"/>
      <w:r w:rsidRPr="005A55CA">
        <w:rPr>
          <w:i/>
          <w:sz w:val="22"/>
          <w:szCs w:val="22"/>
        </w:rPr>
        <w:t>suitability</w:t>
      </w:r>
      <w:proofErr w:type="spellEnd"/>
      <w:r w:rsidRPr="005A55CA">
        <w:rPr>
          <w:sz w:val="22"/>
          <w:szCs w:val="22"/>
        </w:rPr>
        <w:t>), kui tegemist on nõustamisega müügiga (st teenuseosutaja annab nõu, millisesse instrumenti investeerida) ning asjakohasust (</w:t>
      </w:r>
      <w:proofErr w:type="spellStart"/>
      <w:r w:rsidRPr="005A55CA">
        <w:rPr>
          <w:i/>
          <w:sz w:val="22"/>
          <w:szCs w:val="22"/>
        </w:rPr>
        <w:t>appropriateness</w:t>
      </w:r>
      <w:proofErr w:type="spellEnd"/>
      <w:r w:rsidRPr="005A55CA">
        <w:rPr>
          <w:sz w:val="22"/>
          <w:szCs w:val="22"/>
        </w:rPr>
        <w:t xml:space="preserve">), kui teenuseosutaja ei nõustamist ei paku. Riskihoiatuse andmine ei ole nõustamine selles tähenduses. Käesolevas seaduses sätestatud asjakohasuse hindamisel on lähtutud eeskätt </w:t>
      </w:r>
      <w:r>
        <w:rPr>
          <w:sz w:val="22"/>
          <w:szCs w:val="22"/>
        </w:rPr>
        <w:t xml:space="preserve">EL </w:t>
      </w:r>
      <w:proofErr w:type="spellStart"/>
      <w:r w:rsidRPr="005A55CA">
        <w:rPr>
          <w:sz w:val="22"/>
          <w:szCs w:val="22"/>
        </w:rPr>
        <w:t>ühisrahastusmääruse</w:t>
      </w:r>
      <w:proofErr w:type="spellEnd"/>
      <w:r w:rsidRPr="005A55CA">
        <w:rPr>
          <w:sz w:val="22"/>
          <w:szCs w:val="22"/>
        </w:rPr>
        <w:t xml:space="preserve"> artiklis 21 sätestatust. </w:t>
      </w:r>
    </w:p>
    <w:p w14:paraId="196A8E77" w14:textId="77777777" w:rsidR="00DB6C05" w:rsidRPr="005A55CA" w:rsidRDefault="00DB6C05" w:rsidP="00DB6C05">
      <w:pPr>
        <w:spacing w:before="0"/>
        <w:rPr>
          <w:sz w:val="22"/>
          <w:szCs w:val="22"/>
        </w:rPr>
      </w:pPr>
    </w:p>
    <w:p w14:paraId="27E8259A" w14:textId="4C9F57EF" w:rsidR="00DB6C05" w:rsidRPr="005A55CA" w:rsidRDefault="00DB6C05" w:rsidP="00DB6C05">
      <w:pPr>
        <w:spacing w:before="0"/>
        <w:rPr>
          <w:sz w:val="22"/>
          <w:szCs w:val="22"/>
        </w:rPr>
      </w:pPr>
      <w:r w:rsidRPr="005A55CA">
        <w:rPr>
          <w:b/>
          <w:sz w:val="22"/>
          <w:szCs w:val="22"/>
        </w:rPr>
        <w:t>Lõike 1</w:t>
      </w:r>
      <w:r w:rsidRPr="005A55CA">
        <w:rPr>
          <w:sz w:val="22"/>
          <w:szCs w:val="22"/>
        </w:rPr>
        <w:t xml:space="preserve"> kohaselt peab </w:t>
      </w:r>
      <w:r>
        <w:rPr>
          <w:sz w:val="22"/>
          <w:szCs w:val="22"/>
        </w:rPr>
        <w:t>teenuseosutaja</w:t>
      </w:r>
      <w:r w:rsidRPr="005A55CA">
        <w:rPr>
          <w:sz w:val="22"/>
          <w:szCs w:val="22"/>
        </w:rPr>
        <w:t xml:space="preserve"> enne teenuse osutamis</w:t>
      </w:r>
      <w:r>
        <w:rPr>
          <w:sz w:val="22"/>
          <w:szCs w:val="22"/>
        </w:rPr>
        <w:t>e alustamis</w:t>
      </w:r>
      <w:r w:rsidRPr="005A55CA">
        <w:rPr>
          <w:sz w:val="22"/>
          <w:szCs w:val="22"/>
        </w:rPr>
        <w:t>t, sealhulgas finantsvahendusplatvormile juurdepääsu võimaldamist, hindama investeerimis</w:t>
      </w:r>
      <w:r>
        <w:rPr>
          <w:sz w:val="22"/>
          <w:szCs w:val="22"/>
        </w:rPr>
        <w:t>projekti</w:t>
      </w:r>
      <w:r w:rsidRPr="005A55CA">
        <w:rPr>
          <w:sz w:val="22"/>
          <w:szCs w:val="22"/>
        </w:rPr>
        <w:t xml:space="preserve"> asjakohasust </w:t>
      </w:r>
      <w:r>
        <w:rPr>
          <w:sz w:val="22"/>
          <w:szCs w:val="22"/>
        </w:rPr>
        <w:t>kliendi jaoks</w:t>
      </w:r>
      <w:r w:rsidRPr="005A55CA">
        <w:rPr>
          <w:sz w:val="22"/>
          <w:szCs w:val="22"/>
        </w:rPr>
        <w:t xml:space="preserve">. </w:t>
      </w:r>
    </w:p>
    <w:p w14:paraId="0FF74B88" w14:textId="77777777" w:rsidR="00DB6C05" w:rsidRPr="005A55CA" w:rsidRDefault="00DB6C05" w:rsidP="00DB6C05">
      <w:pPr>
        <w:spacing w:before="0"/>
        <w:rPr>
          <w:sz w:val="22"/>
          <w:szCs w:val="22"/>
        </w:rPr>
      </w:pPr>
    </w:p>
    <w:p w14:paraId="1D1957EE" w14:textId="0CD3170A" w:rsidR="00DB6C05" w:rsidRPr="005A55CA" w:rsidRDefault="00DB6C05" w:rsidP="00DB6C05">
      <w:pPr>
        <w:spacing w:before="0"/>
        <w:rPr>
          <w:sz w:val="22"/>
          <w:szCs w:val="22"/>
        </w:rPr>
      </w:pPr>
      <w:r w:rsidRPr="005A55CA">
        <w:rPr>
          <w:b/>
          <w:sz w:val="22"/>
          <w:szCs w:val="22"/>
        </w:rPr>
        <w:t>Lõige 2</w:t>
      </w:r>
      <w:r w:rsidRPr="005A55CA">
        <w:rPr>
          <w:sz w:val="22"/>
          <w:szCs w:val="22"/>
        </w:rPr>
        <w:t xml:space="preserve"> täpsustab, et käesolev paragrahvi lõikes 1 sätestatud asjakohasuse hindamiseks kogub </w:t>
      </w:r>
      <w:r>
        <w:rPr>
          <w:sz w:val="22"/>
          <w:szCs w:val="22"/>
        </w:rPr>
        <w:t>teenuseosutaja</w:t>
      </w:r>
      <w:r w:rsidRPr="005A55CA">
        <w:rPr>
          <w:sz w:val="22"/>
          <w:szCs w:val="22"/>
        </w:rPr>
        <w:t xml:space="preserve"> </w:t>
      </w:r>
      <w:r w:rsidR="00B258DE">
        <w:rPr>
          <w:sz w:val="22"/>
          <w:szCs w:val="22"/>
        </w:rPr>
        <w:t>kliendilt</w:t>
      </w:r>
      <w:r w:rsidRPr="005A55CA">
        <w:rPr>
          <w:sz w:val="22"/>
          <w:szCs w:val="22"/>
        </w:rPr>
        <w:t xml:space="preserve"> teavet, et teha kindlaks tema:</w:t>
      </w:r>
    </w:p>
    <w:p w14:paraId="704F0FCA" w14:textId="039569E3" w:rsidR="00DB6C05" w:rsidRPr="005A55CA" w:rsidRDefault="00DB6C05" w:rsidP="00DB6C05">
      <w:pPr>
        <w:spacing w:before="0"/>
        <w:rPr>
          <w:sz w:val="22"/>
          <w:szCs w:val="22"/>
        </w:rPr>
      </w:pPr>
      <w:r w:rsidRPr="005A55CA">
        <w:rPr>
          <w:sz w:val="22"/>
          <w:szCs w:val="22"/>
        </w:rPr>
        <w:t xml:space="preserve">1) investeerimisalased teadmised ja kogemused, et selgitada välja, kas </w:t>
      </w:r>
      <w:r w:rsidR="00B258DE">
        <w:rPr>
          <w:sz w:val="22"/>
          <w:szCs w:val="22"/>
        </w:rPr>
        <w:t>klient</w:t>
      </w:r>
      <w:r w:rsidRPr="005A55CA">
        <w:rPr>
          <w:sz w:val="22"/>
          <w:szCs w:val="22"/>
        </w:rPr>
        <w:t xml:space="preserve"> mõistab investeerimisega kaasnevaid riske, sealhulgas riske finantsvahendusplatvormi </w:t>
      </w:r>
      <w:r w:rsidR="00B258DE">
        <w:rPr>
          <w:sz w:val="22"/>
          <w:szCs w:val="22"/>
        </w:rPr>
        <w:t>kaudu</w:t>
      </w:r>
      <w:r w:rsidRPr="005A55CA">
        <w:rPr>
          <w:sz w:val="22"/>
          <w:szCs w:val="22"/>
        </w:rPr>
        <w:t xml:space="preserve"> või muul viisil investeerimis</w:t>
      </w:r>
      <w:r w:rsidR="00B258DE">
        <w:rPr>
          <w:sz w:val="22"/>
          <w:szCs w:val="22"/>
        </w:rPr>
        <w:t>projekti</w:t>
      </w:r>
      <w:r w:rsidRPr="005A55CA">
        <w:rPr>
          <w:sz w:val="22"/>
          <w:szCs w:val="22"/>
        </w:rPr>
        <w:t xml:space="preserve"> investeerimisel;</w:t>
      </w:r>
    </w:p>
    <w:p w14:paraId="241D996B" w14:textId="77777777" w:rsidR="00DB6C05" w:rsidRPr="005A55CA" w:rsidRDefault="00DB6C05" w:rsidP="00DB6C05">
      <w:pPr>
        <w:spacing w:before="0"/>
        <w:rPr>
          <w:sz w:val="22"/>
          <w:szCs w:val="22"/>
        </w:rPr>
      </w:pPr>
      <w:r w:rsidRPr="005A55CA">
        <w:rPr>
          <w:sz w:val="22"/>
          <w:szCs w:val="22"/>
        </w:rPr>
        <w:t>2) investeerimiseesmärgid ja rahaline olukord, sealhulgas tema kahju kandmise võime.</w:t>
      </w:r>
    </w:p>
    <w:p w14:paraId="1E935A0A" w14:textId="77777777" w:rsidR="00DB6C05" w:rsidRPr="005A55CA" w:rsidRDefault="00DB6C05" w:rsidP="00DB6C05">
      <w:pPr>
        <w:spacing w:before="0"/>
        <w:rPr>
          <w:sz w:val="22"/>
          <w:szCs w:val="22"/>
        </w:rPr>
      </w:pPr>
    </w:p>
    <w:p w14:paraId="15F20601" w14:textId="512D91E9" w:rsidR="00DB6C05" w:rsidRPr="005D2F67" w:rsidRDefault="00DB6C05" w:rsidP="00DB6C05">
      <w:pPr>
        <w:spacing w:before="0"/>
        <w:rPr>
          <w:sz w:val="22"/>
          <w:szCs w:val="22"/>
        </w:rPr>
      </w:pPr>
      <w:r w:rsidRPr="005A55CA">
        <w:rPr>
          <w:b/>
          <w:sz w:val="22"/>
          <w:szCs w:val="22"/>
        </w:rPr>
        <w:t>Lõige 3</w:t>
      </w:r>
      <w:r w:rsidRPr="005A55CA">
        <w:rPr>
          <w:sz w:val="22"/>
          <w:szCs w:val="22"/>
        </w:rPr>
        <w:t xml:space="preserve"> täpsustab lõike 2 </w:t>
      </w:r>
      <w:r w:rsidRPr="005D2F67">
        <w:rPr>
          <w:sz w:val="22"/>
          <w:szCs w:val="22"/>
        </w:rPr>
        <w:t xml:space="preserve">punkti 1 ja selle kohaselt peab </w:t>
      </w:r>
      <w:r>
        <w:rPr>
          <w:sz w:val="22"/>
          <w:szCs w:val="22"/>
        </w:rPr>
        <w:t>teenuseosutaja</w:t>
      </w:r>
      <w:r w:rsidRPr="005D2F67">
        <w:rPr>
          <w:sz w:val="22"/>
          <w:szCs w:val="22"/>
        </w:rPr>
        <w:t xml:space="preserve"> koguma käesoleva paragrahvi lõike 2 punktis 1 sätestatu hindamiseks </w:t>
      </w:r>
      <w:r w:rsidR="00B258DE">
        <w:rPr>
          <w:sz w:val="22"/>
          <w:szCs w:val="22"/>
        </w:rPr>
        <w:t>kliendilt</w:t>
      </w:r>
      <w:r w:rsidRPr="005D2F67">
        <w:rPr>
          <w:sz w:val="22"/>
          <w:szCs w:val="22"/>
        </w:rPr>
        <w:t xml:space="preserve"> muu hulgas teavet:</w:t>
      </w:r>
    </w:p>
    <w:p w14:paraId="00DD1C13" w14:textId="5C437A53" w:rsidR="00DB6C05" w:rsidRPr="005D2F67" w:rsidRDefault="00DB6C05" w:rsidP="00DB6C05">
      <w:pPr>
        <w:spacing w:before="0"/>
        <w:rPr>
          <w:sz w:val="22"/>
          <w:szCs w:val="22"/>
        </w:rPr>
      </w:pPr>
      <w:r w:rsidRPr="005D2F67">
        <w:rPr>
          <w:sz w:val="22"/>
          <w:szCs w:val="22"/>
        </w:rPr>
        <w:t>1) tema varasemate investeeringute kohta</w:t>
      </w:r>
      <w:r w:rsidRPr="005D2F67">
        <w:rPr>
          <w:i/>
          <w:sz w:val="22"/>
          <w:szCs w:val="22"/>
        </w:rPr>
        <w:t>;</w:t>
      </w:r>
    </w:p>
    <w:p w14:paraId="3D8AB1DC" w14:textId="7D8A0254" w:rsidR="00DB6C05" w:rsidRPr="005D2F67" w:rsidRDefault="00DB6C05" w:rsidP="00DB6C05">
      <w:pPr>
        <w:spacing w:before="0"/>
        <w:rPr>
          <w:sz w:val="22"/>
          <w:szCs w:val="22"/>
        </w:rPr>
      </w:pPr>
      <w:r w:rsidRPr="005D2F67">
        <w:rPr>
          <w:sz w:val="22"/>
          <w:szCs w:val="22"/>
        </w:rPr>
        <w:t xml:space="preserve">2) </w:t>
      </w:r>
      <w:r w:rsidR="00B258DE">
        <w:rPr>
          <w:sz w:val="22"/>
          <w:szCs w:val="22"/>
        </w:rPr>
        <w:t>erinevatesse varaklassidesse</w:t>
      </w:r>
      <w:r w:rsidRPr="005D2F67">
        <w:rPr>
          <w:sz w:val="22"/>
          <w:szCs w:val="22"/>
        </w:rPr>
        <w:t xml:space="preserve"> investeerimise kogemuse kohta.</w:t>
      </w:r>
    </w:p>
    <w:p w14:paraId="0CD61E2B" w14:textId="77777777" w:rsidR="00DB6C05" w:rsidRPr="005D2F67" w:rsidRDefault="00DB6C05" w:rsidP="00DB6C05">
      <w:pPr>
        <w:spacing w:before="0"/>
        <w:rPr>
          <w:sz w:val="22"/>
          <w:szCs w:val="22"/>
        </w:rPr>
      </w:pPr>
    </w:p>
    <w:p w14:paraId="0D4FFD04" w14:textId="755015E8" w:rsidR="00DB6C05" w:rsidRPr="005D2F67" w:rsidRDefault="00DB6C05" w:rsidP="00DB6C05">
      <w:pPr>
        <w:spacing w:before="0"/>
        <w:rPr>
          <w:sz w:val="22"/>
          <w:szCs w:val="22"/>
        </w:rPr>
      </w:pPr>
      <w:r w:rsidRPr="005D2F67">
        <w:rPr>
          <w:b/>
          <w:sz w:val="22"/>
          <w:szCs w:val="22"/>
        </w:rPr>
        <w:t>Lõike 4</w:t>
      </w:r>
      <w:r w:rsidRPr="005D2F67">
        <w:rPr>
          <w:sz w:val="22"/>
          <w:szCs w:val="22"/>
        </w:rPr>
        <w:t xml:space="preserve"> kohaselt teeb </w:t>
      </w:r>
      <w:r>
        <w:rPr>
          <w:sz w:val="22"/>
          <w:szCs w:val="22"/>
        </w:rPr>
        <w:t>teenuseosutaja</w:t>
      </w:r>
      <w:r w:rsidRPr="005A55CA">
        <w:rPr>
          <w:sz w:val="22"/>
          <w:szCs w:val="22"/>
        </w:rPr>
        <w:t xml:space="preserve"> </w:t>
      </w:r>
      <w:r w:rsidRPr="005D2F67">
        <w:rPr>
          <w:sz w:val="22"/>
          <w:szCs w:val="22"/>
        </w:rPr>
        <w:t xml:space="preserve">käesoleva paragrahvi lõike 2 punktis 2 nimetatud kahju kandmise võime arvutamise võimalused kättesaadavaks oma veebilehel. </w:t>
      </w:r>
      <w:r w:rsidR="00B258DE">
        <w:rPr>
          <w:sz w:val="22"/>
          <w:szCs w:val="22"/>
        </w:rPr>
        <w:t>Kliendi</w:t>
      </w:r>
      <w:r w:rsidRPr="005D2F67">
        <w:rPr>
          <w:sz w:val="22"/>
          <w:szCs w:val="22"/>
        </w:rPr>
        <w:t xml:space="preserve"> kahju kandmise võime on kümme protsenti tema varade netoväärtusest, mille moodustavad </w:t>
      </w:r>
      <w:r w:rsidR="00B258DE">
        <w:rPr>
          <w:sz w:val="22"/>
          <w:szCs w:val="22"/>
        </w:rPr>
        <w:t>kliendi</w:t>
      </w:r>
      <w:r w:rsidRPr="005D2F67">
        <w:rPr>
          <w:sz w:val="22"/>
          <w:szCs w:val="22"/>
        </w:rPr>
        <w:t>:</w:t>
      </w:r>
    </w:p>
    <w:p w14:paraId="50AA2811" w14:textId="77777777" w:rsidR="00DB6C05" w:rsidRPr="005D2F67" w:rsidRDefault="00DB6C05" w:rsidP="00DB6C05">
      <w:pPr>
        <w:spacing w:before="0"/>
        <w:rPr>
          <w:sz w:val="22"/>
          <w:szCs w:val="22"/>
        </w:rPr>
      </w:pPr>
      <w:r w:rsidRPr="005D2F67">
        <w:rPr>
          <w:sz w:val="22"/>
          <w:szCs w:val="22"/>
        </w:rPr>
        <w:t>1) regulaarne sissetulek;</w:t>
      </w:r>
    </w:p>
    <w:p w14:paraId="2ACFF50F" w14:textId="77777777" w:rsidR="00DB6C05" w:rsidRPr="005D2F67" w:rsidRDefault="00DB6C05" w:rsidP="00DB6C05">
      <w:pPr>
        <w:spacing w:before="0"/>
        <w:rPr>
          <w:sz w:val="22"/>
          <w:szCs w:val="22"/>
        </w:rPr>
      </w:pPr>
      <w:r w:rsidRPr="005D2F67">
        <w:rPr>
          <w:sz w:val="22"/>
          <w:szCs w:val="22"/>
        </w:rPr>
        <w:t>2) varad, välja arvatud peamise elukohana kasutatav kinnisvara ja pensionifondide varad;</w:t>
      </w:r>
    </w:p>
    <w:p w14:paraId="06F914F9" w14:textId="77777777" w:rsidR="00DB6C05" w:rsidRPr="005D2F67" w:rsidRDefault="00DB6C05" w:rsidP="00DB6C05">
      <w:pPr>
        <w:spacing w:before="0"/>
        <w:rPr>
          <w:sz w:val="22"/>
          <w:szCs w:val="22"/>
        </w:rPr>
      </w:pPr>
      <w:r w:rsidRPr="005D2F67">
        <w:rPr>
          <w:sz w:val="22"/>
          <w:szCs w:val="22"/>
        </w:rPr>
        <w:t xml:space="preserve">3) regulaarsed finantskohustused. </w:t>
      </w:r>
    </w:p>
    <w:p w14:paraId="1CA643BD" w14:textId="77777777" w:rsidR="00DB6C05" w:rsidRDefault="00DB6C05" w:rsidP="00DB6C05">
      <w:pPr>
        <w:spacing w:before="0"/>
        <w:rPr>
          <w:sz w:val="22"/>
          <w:szCs w:val="22"/>
        </w:rPr>
      </w:pPr>
    </w:p>
    <w:p w14:paraId="318174BD" w14:textId="77DF2435" w:rsidR="00DB6C05" w:rsidRDefault="00BD5E7F" w:rsidP="00DB6C05">
      <w:pPr>
        <w:spacing w:before="0"/>
        <w:rPr>
          <w:sz w:val="22"/>
          <w:szCs w:val="22"/>
        </w:rPr>
      </w:pPr>
      <w:r>
        <w:rPr>
          <w:sz w:val="22"/>
          <w:szCs w:val="22"/>
        </w:rPr>
        <w:t>Kliendi</w:t>
      </w:r>
      <w:r w:rsidR="00DB6C05">
        <w:rPr>
          <w:sz w:val="22"/>
          <w:szCs w:val="22"/>
        </w:rPr>
        <w:t xml:space="preserve"> varade netoväärtuse arvutamisel tuleb liita kokku </w:t>
      </w:r>
      <w:r>
        <w:rPr>
          <w:sz w:val="22"/>
          <w:szCs w:val="22"/>
        </w:rPr>
        <w:t>kliendi</w:t>
      </w:r>
      <w:r w:rsidR="00DB6C05">
        <w:rPr>
          <w:sz w:val="22"/>
          <w:szCs w:val="22"/>
        </w:rPr>
        <w:t xml:space="preserve"> regulaarne sissetulek ja varade väärtus, ning saadud summast lahutada regulaarsete finantskohustuste väärtus.</w:t>
      </w:r>
    </w:p>
    <w:p w14:paraId="4E6850A6" w14:textId="77777777" w:rsidR="00DB6C05" w:rsidRDefault="00DB6C05" w:rsidP="00DB6C05">
      <w:pPr>
        <w:spacing w:before="0"/>
        <w:rPr>
          <w:sz w:val="22"/>
          <w:szCs w:val="22"/>
        </w:rPr>
      </w:pPr>
    </w:p>
    <w:p w14:paraId="12EACFEB" w14:textId="424D6D99" w:rsidR="00DB6C05" w:rsidRDefault="00DB6C05" w:rsidP="00DB6C05">
      <w:pPr>
        <w:spacing w:before="0"/>
        <w:rPr>
          <w:sz w:val="22"/>
          <w:szCs w:val="22"/>
        </w:rPr>
      </w:pPr>
      <w:r>
        <w:rPr>
          <w:sz w:val="22"/>
          <w:szCs w:val="22"/>
        </w:rPr>
        <w:t xml:space="preserve">Regulaarse sissetuleku all mõeldakse </w:t>
      </w:r>
      <w:r w:rsidR="00BD5E7F">
        <w:rPr>
          <w:sz w:val="22"/>
          <w:szCs w:val="22"/>
        </w:rPr>
        <w:t>kliendi</w:t>
      </w:r>
      <w:r>
        <w:rPr>
          <w:sz w:val="22"/>
          <w:szCs w:val="22"/>
        </w:rPr>
        <w:t xml:space="preserve"> aastase sissetuleku netosummat, st aastane sissetulek, millest on maha arvatud sissetulekuga seotud kulud, sotsiaalmaks ning muud maksud. Varade alla kuulub kogu makse- ja jooksevkontodel hoitav raha ning muud likviidsed varad, mida on võimalik kiiresti rahaks muuta, sh kapitaliturul kaubeldavad väärtpaberid ja UCITS osakud, mida on võimalik realiseerida vähemalt iganädalaselt. Regulaarsete finantskohustuste alla kuuluvad kõik rahalised kohustused, mida </w:t>
      </w:r>
      <w:r w:rsidR="004A5F19">
        <w:rPr>
          <w:sz w:val="22"/>
          <w:szCs w:val="22"/>
        </w:rPr>
        <w:t>klient</w:t>
      </w:r>
      <w:r>
        <w:rPr>
          <w:sz w:val="22"/>
          <w:szCs w:val="22"/>
        </w:rPr>
        <w:t xml:space="preserve"> on omale võtnud, sealhulgas elatusraha ja lastetoetuseks tehtavad maksed, kulutused üürile ja hüpoteeklaenule, laenu tagasimaksed, kindlustusmaksed, kulutused kommunaalteenustele ning maamaks.</w:t>
      </w:r>
    </w:p>
    <w:p w14:paraId="55371527" w14:textId="77777777" w:rsidR="00DB6C05" w:rsidRPr="005D2F67" w:rsidRDefault="00DB6C05" w:rsidP="00DB6C05">
      <w:pPr>
        <w:spacing w:before="0"/>
        <w:rPr>
          <w:sz w:val="22"/>
          <w:szCs w:val="22"/>
        </w:rPr>
      </w:pPr>
    </w:p>
    <w:p w14:paraId="3D336E82" w14:textId="2F725974" w:rsidR="00DB6C05" w:rsidRPr="005D2F67" w:rsidRDefault="00DB6C05" w:rsidP="00DB6C05">
      <w:pPr>
        <w:spacing w:before="0"/>
        <w:rPr>
          <w:sz w:val="22"/>
          <w:szCs w:val="22"/>
        </w:rPr>
      </w:pPr>
      <w:r w:rsidRPr="005D2F67">
        <w:rPr>
          <w:b/>
          <w:sz w:val="22"/>
          <w:szCs w:val="22"/>
        </w:rPr>
        <w:t xml:space="preserve">Lõige 5 </w:t>
      </w:r>
      <w:r w:rsidRPr="005D2F67">
        <w:rPr>
          <w:sz w:val="22"/>
          <w:szCs w:val="22"/>
        </w:rPr>
        <w:t>sätestab</w:t>
      </w:r>
      <w:r w:rsidR="00B258DE">
        <w:rPr>
          <w:sz w:val="22"/>
          <w:szCs w:val="22"/>
        </w:rPr>
        <w:t>, et klient peab saama ükskõik millises vormis anda kinnituse oma kahju kandmise võime arvutuse tulemusest.</w:t>
      </w:r>
      <w:r w:rsidRPr="005D2F67">
        <w:rPr>
          <w:sz w:val="22"/>
          <w:szCs w:val="22"/>
        </w:rPr>
        <w:t xml:space="preserve"> </w:t>
      </w:r>
    </w:p>
    <w:p w14:paraId="792335EF" w14:textId="77777777" w:rsidR="00DB6C05" w:rsidRPr="005D2F67" w:rsidRDefault="00DB6C05" w:rsidP="00DB6C05">
      <w:pPr>
        <w:spacing w:before="0"/>
        <w:rPr>
          <w:sz w:val="22"/>
          <w:szCs w:val="22"/>
        </w:rPr>
      </w:pPr>
    </w:p>
    <w:p w14:paraId="56D90151" w14:textId="5C923D8D" w:rsidR="00DB6C05" w:rsidRPr="005D2F67" w:rsidRDefault="00DB6C05" w:rsidP="00DB6C05">
      <w:pPr>
        <w:shd w:val="clear" w:color="auto" w:fill="FFFFFF"/>
        <w:spacing w:before="0"/>
        <w:rPr>
          <w:sz w:val="22"/>
          <w:szCs w:val="22"/>
          <w:lang w:eastAsia="en-US"/>
        </w:rPr>
      </w:pPr>
      <w:r w:rsidRPr="005D2F67">
        <w:rPr>
          <w:b/>
          <w:sz w:val="22"/>
          <w:szCs w:val="22"/>
          <w:lang w:eastAsia="en-US"/>
        </w:rPr>
        <w:t>Lõike 6</w:t>
      </w:r>
      <w:r w:rsidRPr="005D2F67">
        <w:rPr>
          <w:sz w:val="22"/>
          <w:szCs w:val="22"/>
          <w:lang w:eastAsia="en-US"/>
        </w:rPr>
        <w:t xml:space="preserve"> kohaselt esitab </w:t>
      </w:r>
      <w:r>
        <w:rPr>
          <w:sz w:val="22"/>
          <w:szCs w:val="22"/>
        </w:rPr>
        <w:t>teenuseosutaja</w:t>
      </w:r>
      <w:r w:rsidRPr="005A55CA">
        <w:rPr>
          <w:sz w:val="22"/>
          <w:szCs w:val="22"/>
        </w:rPr>
        <w:t xml:space="preserve"> </w:t>
      </w:r>
      <w:r w:rsidR="009A2707">
        <w:rPr>
          <w:sz w:val="22"/>
          <w:szCs w:val="22"/>
        </w:rPr>
        <w:t>kliendile</w:t>
      </w:r>
      <w:r w:rsidRPr="005D2F67">
        <w:rPr>
          <w:sz w:val="22"/>
          <w:szCs w:val="22"/>
          <w:lang w:eastAsia="en-US"/>
        </w:rPr>
        <w:t xml:space="preserve"> riskihoiatuse järgmistel juhtudel:</w:t>
      </w:r>
    </w:p>
    <w:p w14:paraId="5E14650E" w14:textId="2DEE242C" w:rsidR="00DB6C05" w:rsidRPr="005D2F67" w:rsidRDefault="00DB6C05" w:rsidP="00DB6C05">
      <w:pPr>
        <w:shd w:val="clear" w:color="auto" w:fill="FFFFFF"/>
        <w:spacing w:before="0"/>
        <w:rPr>
          <w:sz w:val="22"/>
          <w:szCs w:val="22"/>
          <w:lang w:eastAsia="en-US"/>
        </w:rPr>
      </w:pPr>
      <w:r w:rsidRPr="005D2F67">
        <w:rPr>
          <w:sz w:val="22"/>
          <w:szCs w:val="22"/>
          <w:lang w:eastAsia="en-US"/>
        </w:rPr>
        <w:t>1)</w:t>
      </w:r>
      <w:r>
        <w:rPr>
          <w:sz w:val="22"/>
          <w:szCs w:val="22"/>
          <w:lang w:eastAsia="en-US"/>
        </w:rPr>
        <w:t xml:space="preserve"> </w:t>
      </w:r>
      <w:r w:rsidRPr="005D2F67">
        <w:rPr>
          <w:sz w:val="22"/>
          <w:szCs w:val="22"/>
          <w:lang w:eastAsia="en-US"/>
        </w:rPr>
        <w:t>saadud andmete alusel on põhjust arvata, et investeerimis</w:t>
      </w:r>
      <w:r w:rsidR="009A2707">
        <w:rPr>
          <w:sz w:val="22"/>
          <w:szCs w:val="22"/>
          <w:lang w:eastAsia="en-US"/>
        </w:rPr>
        <w:t>projekt</w:t>
      </w:r>
      <w:r w:rsidRPr="005D2F67">
        <w:rPr>
          <w:sz w:val="22"/>
          <w:szCs w:val="22"/>
          <w:lang w:eastAsia="en-US"/>
        </w:rPr>
        <w:t xml:space="preserve"> ei ole </w:t>
      </w:r>
      <w:r w:rsidR="009A2707">
        <w:rPr>
          <w:sz w:val="22"/>
          <w:szCs w:val="22"/>
          <w:lang w:eastAsia="en-US"/>
        </w:rPr>
        <w:t>kliendi</w:t>
      </w:r>
      <w:r w:rsidRPr="005D2F67">
        <w:rPr>
          <w:sz w:val="22"/>
          <w:szCs w:val="22"/>
          <w:lang w:eastAsia="en-US"/>
        </w:rPr>
        <w:t xml:space="preserve"> jaoks asjakohane (</w:t>
      </w:r>
      <w:r w:rsidRPr="005D2F67">
        <w:rPr>
          <w:b/>
          <w:sz w:val="22"/>
          <w:szCs w:val="22"/>
          <w:lang w:eastAsia="en-US"/>
        </w:rPr>
        <w:t>punkt 1</w:t>
      </w:r>
      <w:r w:rsidRPr="005D2F67">
        <w:rPr>
          <w:sz w:val="22"/>
          <w:szCs w:val="22"/>
          <w:lang w:eastAsia="en-US"/>
        </w:rPr>
        <w:t>);</w:t>
      </w:r>
    </w:p>
    <w:p w14:paraId="4F75A1C0" w14:textId="0CBF6D4C" w:rsidR="00DB6C05" w:rsidRPr="005D2F67" w:rsidRDefault="00DB6C05" w:rsidP="00DB6C05">
      <w:pPr>
        <w:shd w:val="clear" w:color="auto" w:fill="FFFFFF"/>
        <w:spacing w:before="0"/>
        <w:rPr>
          <w:sz w:val="22"/>
          <w:szCs w:val="22"/>
          <w:lang w:eastAsia="en-US"/>
        </w:rPr>
      </w:pPr>
      <w:r w:rsidRPr="005D2F67">
        <w:rPr>
          <w:sz w:val="22"/>
          <w:szCs w:val="22"/>
          <w:lang w:eastAsia="en-US"/>
        </w:rPr>
        <w:t>2)</w:t>
      </w:r>
      <w:r>
        <w:rPr>
          <w:sz w:val="22"/>
          <w:szCs w:val="22"/>
          <w:lang w:eastAsia="en-US"/>
        </w:rPr>
        <w:t xml:space="preserve"> </w:t>
      </w:r>
      <w:r w:rsidR="009A2707">
        <w:rPr>
          <w:sz w:val="22"/>
          <w:szCs w:val="22"/>
          <w:lang w:eastAsia="en-US"/>
        </w:rPr>
        <w:t>kliendi</w:t>
      </w:r>
      <w:r w:rsidRPr="005D2F67">
        <w:rPr>
          <w:sz w:val="22"/>
          <w:szCs w:val="22"/>
          <w:lang w:eastAsia="en-US"/>
        </w:rPr>
        <w:t xml:space="preserve"> investeeritav summa on suurem kui 1 000 eurot või rohkem kui viis protsenti </w:t>
      </w:r>
      <w:r w:rsidR="009A2707">
        <w:rPr>
          <w:sz w:val="22"/>
          <w:szCs w:val="22"/>
          <w:lang w:eastAsia="en-US"/>
        </w:rPr>
        <w:t>kliendi</w:t>
      </w:r>
      <w:r w:rsidRPr="005D2F67">
        <w:rPr>
          <w:sz w:val="22"/>
          <w:szCs w:val="22"/>
          <w:lang w:eastAsia="en-US"/>
        </w:rPr>
        <w:t xml:space="preserve"> varade netoväärtusest (</w:t>
      </w:r>
      <w:r w:rsidRPr="005D2F67">
        <w:rPr>
          <w:b/>
          <w:sz w:val="22"/>
          <w:szCs w:val="22"/>
          <w:lang w:eastAsia="en-US"/>
        </w:rPr>
        <w:t>punkt 2</w:t>
      </w:r>
      <w:r w:rsidRPr="005D2F67">
        <w:rPr>
          <w:sz w:val="22"/>
          <w:szCs w:val="22"/>
          <w:lang w:eastAsia="en-US"/>
        </w:rPr>
        <w:t>);</w:t>
      </w:r>
    </w:p>
    <w:p w14:paraId="6ECB3084" w14:textId="2C0DF128" w:rsidR="00DB6C05" w:rsidRPr="005A55CA" w:rsidRDefault="00DB6C05" w:rsidP="00DB6C05">
      <w:pPr>
        <w:shd w:val="clear" w:color="auto" w:fill="FFFFFF"/>
        <w:spacing w:before="0"/>
        <w:rPr>
          <w:sz w:val="22"/>
          <w:szCs w:val="22"/>
          <w:lang w:eastAsia="en-US"/>
        </w:rPr>
      </w:pPr>
      <w:r w:rsidRPr="005D2F67">
        <w:rPr>
          <w:sz w:val="22"/>
          <w:szCs w:val="22"/>
          <w:lang w:eastAsia="en-US"/>
        </w:rPr>
        <w:t>3) </w:t>
      </w:r>
      <w:r w:rsidR="009A2707">
        <w:rPr>
          <w:sz w:val="22"/>
          <w:szCs w:val="22"/>
          <w:lang w:eastAsia="en-US"/>
        </w:rPr>
        <w:t>kliendi</w:t>
      </w:r>
      <w:r w:rsidRPr="005D2F67">
        <w:rPr>
          <w:sz w:val="22"/>
          <w:szCs w:val="22"/>
          <w:lang w:eastAsia="en-US"/>
        </w:rPr>
        <w:t xml:space="preserve"> esitatud teave ei ole piisav või </w:t>
      </w:r>
      <w:r w:rsidR="009A2707">
        <w:rPr>
          <w:sz w:val="22"/>
          <w:szCs w:val="22"/>
          <w:lang w:eastAsia="en-US"/>
        </w:rPr>
        <w:t>klient</w:t>
      </w:r>
      <w:r w:rsidRPr="005D2F67">
        <w:rPr>
          <w:sz w:val="22"/>
          <w:szCs w:val="22"/>
          <w:lang w:eastAsia="en-US"/>
        </w:rPr>
        <w:t xml:space="preserve"> on jätnud teabe esitamata, mistõttu ei ole võimalik hinnata investeerimis</w:t>
      </w:r>
      <w:r w:rsidR="009A2707">
        <w:rPr>
          <w:sz w:val="22"/>
          <w:szCs w:val="22"/>
          <w:lang w:eastAsia="en-US"/>
        </w:rPr>
        <w:t>projekti</w:t>
      </w:r>
      <w:r w:rsidRPr="005D2F67">
        <w:rPr>
          <w:sz w:val="22"/>
          <w:szCs w:val="22"/>
          <w:lang w:eastAsia="en-US"/>
        </w:rPr>
        <w:t xml:space="preserve"> asjakohasust ning </w:t>
      </w:r>
      <w:r w:rsidR="009A2707">
        <w:rPr>
          <w:sz w:val="22"/>
          <w:szCs w:val="22"/>
          <w:lang w:eastAsia="en-US"/>
        </w:rPr>
        <w:t>kliendi</w:t>
      </w:r>
      <w:r w:rsidRPr="005D2F67">
        <w:rPr>
          <w:sz w:val="22"/>
          <w:szCs w:val="22"/>
          <w:lang w:eastAsia="en-US"/>
        </w:rPr>
        <w:t xml:space="preserve"> huvid võivad olla seetõttu vähem kaitstud (</w:t>
      </w:r>
      <w:r w:rsidRPr="005D2F67">
        <w:rPr>
          <w:b/>
          <w:sz w:val="22"/>
          <w:szCs w:val="22"/>
          <w:lang w:eastAsia="en-US"/>
        </w:rPr>
        <w:t>punkt 3</w:t>
      </w:r>
      <w:r w:rsidRPr="005D2F67">
        <w:rPr>
          <w:sz w:val="22"/>
          <w:szCs w:val="22"/>
          <w:lang w:eastAsia="en-US"/>
        </w:rPr>
        <w:t>).</w:t>
      </w:r>
    </w:p>
    <w:p w14:paraId="04113C21" w14:textId="77777777" w:rsidR="00DB6C05" w:rsidRPr="005A55CA" w:rsidRDefault="00DB6C05" w:rsidP="00DB6C05">
      <w:pPr>
        <w:shd w:val="clear" w:color="auto" w:fill="FFFFFF"/>
        <w:spacing w:before="0"/>
        <w:rPr>
          <w:sz w:val="22"/>
          <w:szCs w:val="22"/>
          <w:bdr w:val="none" w:sz="0" w:space="0" w:color="auto" w:frame="1"/>
        </w:rPr>
      </w:pPr>
    </w:p>
    <w:p w14:paraId="243C815A" w14:textId="2DE95556" w:rsidR="00DB6C05" w:rsidRPr="005A55CA" w:rsidRDefault="00DB6C05" w:rsidP="00DB6C05">
      <w:pPr>
        <w:spacing w:before="0"/>
        <w:rPr>
          <w:sz w:val="22"/>
          <w:szCs w:val="22"/>
        </w:rPr>
      </w:pPr>
      <w:r w:rsidRPr="005A55CA">
        <w:rPr>
          <w:b/>
          <w:sz w:val="22"/>
          <w:szCs w:val="22"/>
        </w:rPr>
        <w:lastRenderedPageBreak/>
        <w:t>Lõige 7</w:t>
      </w:r>
      <w:r w:rsidRPr="005A55CA">
        <w:rPr>
          <w:sz w:val="22"/>
          <w:szCs w:val="22"/>
        </w:rPr>
        <w:t xml:space="preserve"> täpsustab, et käesoleva paragrahvi lõikes 6 sätestatud riskihoiatuse võib esitada standardvormis ja see peab sisaldama teavet selle kohta, et </w:t>
      </w:r>
      <w:r w:rsidR="00465800">
        <w:rPr>
          <w:sz w:val="22"/>
          <w:szCs w:val="22"/>
        </w:rPr>
        <w:t>klient</w:t>
      </w:r>
      <w:r w:rsidR="00465800" w:rsidRPr="005A55CA">
        <w:rPr>
          <w:sz w:val="22"/>
          <w:szCs w:val="22"/>
        </w:rPr>
        <w:t xml:space="preserve"> </w:t>
      </w:r>
      <w:r w:rsidRPr="005A55CA">
        <w:rPr>
          <w:sz w:val="22"/>
          <w:szCs w:val="22"/>
        </w:rPr>
        <w:t>võib kaotada kogu investeeritud vara.</w:t>
      </w:r>
    </w:p>
    <w:p w14:paraId="403B187C" w14:textId="77777777" w:rsidR="00DB6C05" w:rsidRPr="005A55CA" w:rsidRDefault="00DB6C05" w:rsidP="00DB6C05">
      <w:pPr>
        <w:spacing w:before="0"/>
        <w:rPr>
          <w:sz w:val="22"/>
          <w:szCs w:val="22"/>
        </w:rPr>
      </w:pPr>
    </w:p>
    <w:p w14:paraId="36272F21" w14:textId="7FF0C2DC" w:rsidR="00DB6C05" w:rsidRPr="005A55CA" w:rsidRDefault="00DB6C05" w:rsidP="00DB6C05">
      <w:pPr>
        <w:spacing w:before="0"/>
        <w:rPr>
          <w:sz w:val="22"/>
          <w:szCs w:val="22"/>
        </w:rPr>
      </w:pPr>
      <w:r w:rsidRPr="005A55CA">
        <w:rPr>
          <w:b/>
          <w:sz w:val="22"/>
          <w:szCs w:val="22"/>
        </w:rPr>
        <w:t>Lõige 8</w:t>
      </w:r>
      <w:r w:rsidRPr="005A55CA">
        <w:rPr>
          <w:sz w:val="22"/>
          <w:szCs w:val="22"/>
        </w:rPr>
        <w:t xml:space="preserve"> paneb kohustuse </w:t>
      </w:r>
      <w:r w:rsidR="00465800">
        <w:rPr>
          <w:sz w:val="22"/>
          <w:szCs w:val="22"/>
        </w:rPr>
        <w:t>kliendile</w:t>
      </w:r>
      <w:r w:rsidRPr="005A55CA">
        <w:rPr>
          <w:sz w:val="22"/>
          <w:szCs w:val="22"/>
        </w:rPr>
        <w:t xml:space="preserve">. Selle kohaselt käesoleva paragrahvi lõikes 6 sätestatud juhul annab </w:t>
      </w:r>
      <w:r w:rsidR="00465800">
        <w:rPr>
          <w:sz w:val="22"/>
          <w:szCs w:val="22"/>
        </w:rPr>
        <w:t>klient</w:t>
      </w:r>
      <w:r w:rsidR="00465800" w:rsidRPr="005A55CA">
        <w:rPr>
          <w:sz w:val="22"/>
          <w:szCs w:val="22"/>
        </w:rPr>
        <w:t xml:space="preserve"> </w:t>
      </w:r>
      <w:r w:rsidRPr="005A55CA">
        <w:rPr>
          <w:sz w:val="22"/>
          <w:szCs w:val="22"/>
        </w:rPr>
        <w:t>kinnituse, et on hoiatusega tutvunud ja mõistab selle sisu.</w:t>
      </w:r>
      <w:r>
        <w:rPr>
          <w:sz w:val="22"/>
          <w:szCs w:val="22"/>
        </w:rPr>
        <w:t xml:space="preserve"> Kehtestatud nõue on vastavuses EL </w:t>
      </w:r>
      <w:proofErr w:type="spellStart"/>
      <w:r>
        <w:rPr>
          <w:sz w:val="22"/>
          <w:szCs w:val="22"/>
        </w:rPr>
        <w:t>ühisrahastusmääruse</w:t>
      </w:r>
      <w:proofErr w:type="spellEnd"/>
      <w:r>
        <w:rPr>
          <w:sz w:val="22"/>
          <w:szCs w:val="22"/>
        </w:rPr>
        <w:t xml:space="preserve"> ideega, mis on väljendatud määruse põhjenduspunktis 45: „s</w:t>
      </w:r>
      <w:r w:rsidRPr="00F37D67">
        <w:rPr>
          <w:sz w:val="22"/>
          <w:szCs w:val="22"/>
        </w:rPr>
        <w:t xml:space="preserve">elle tagamiseks, et mittekogenud investorid on lugenud neile </w:t>
      </w:r>
      <w:proofErr w:type="spellStart"/>
      <w:r w:rsidRPr="00F37D67">
        <w:rPr>
          <w:sz w:val="22"/>
          <w:szCs w:val="22"/>
        </w:rPr>
        <w:t>ühisrahastusteenuse</w:t>
      </w:r>
      <w:proofErr w:type="spellEnd"/>
      <w:r w:rsidRPr="00F37D67">
        <w:rPr>
          <w:sz w:val="22"/>
          <w:szCs w:val="22"/>
        </w:rPr>
        <w:t xml:space="preserve"> osutaja tehtud riskihoiatusi ja mõistavad neid, peaksid nad </w:t>
      </w:r>
      <w:proofErr w:type="spellStart"/>
      <w:r w:rsidRPr="00F37D67">
        <w:rPr>
          <w:sz w:val="22"/>
          <w:szCs w:val="22"/>
        </w:rPr>
        <w:t>ühisrahastusprojekti</w:t>
      </w:r>
      <w:proofErr w:type="spellEnd"/>
      <w:r w:rsidRPr="00F37D67">
        <w:rPr>
          <w:sz w:val="22"/>
          <w:szCs w:val="22"/>
        </w:rPr>
        <w:t xml:space="preserve"> investeerimisel sõnaselgelt teadvustama võetavaid riske. Heal tasemel investorikaitse tagamiseks ja arvestades, et sellise teadvustamise puudumine viitab võimalikule teadmatusele kaasnevatest riskidest, peaksid </w:t>
      </w:r>
      <w:proofErr w:type="spellStart"/>
      <w:r w:rsidRPr="00F37D67">
        <w:rPr>
          <w:sz w:val="22"/>
          <w:szCs w:val="22"/>
        </w:rPr>
        <w:t>ühisrahastusteenuse</w:t>
      </w:r>
      <w:proofErr w:type="spellEnd"/>
      <w:r w:rsidRPr="00F37D67">
        <w:rPr>
          <w:sz w:val="22"/>
          <w:szCs w:val="22"/>
        </w:rPr>
        <w:t xml:space="preserve"> osutajad võtma investeeringuid vastu vaid mittekogenud investoritelt, kes on sõnaselgelt teatanud, et nad on hoiatused kätte saanud ja mõistavad neid</w:t>
      </w:r>
      <w:r>
        <w:rPr>
          <w:sz w:val="22"/>
          <w:szCs w:val="22"/>
        </w:rPr>
        <w:t>“</w:t>
      </w:r>
      <w:r w:rsidRPr="00F37D67">
        <w:rPr>
          <w:sz w:val="22"/>
          <w:szCs w:val="22"/>
        </w:rPr>
        <w:t>.</w:t>
      </w:r>
    </w:p>
    <w:p w14:paraId="1847D5EA" w14:textId="77777777" w:rsidR="00DB6C05" w:rsidRPr="005A55CA" w:rsidRDefault="00DB6C05" w:rsidP="00DB6C05">
      <w:pPr>
        <w:spacing w:before="0"/>
        <w:rPr>
          <w:sz w:val="22"/>
          <w:szCs w:val="22"/>
        </w:rPr>
      </w:pPr>
    </w:p>
    <w:p w14:paraId="16E62C14" w14:textId="189544DC" w:rsidR="00DB6C05" w:rsidRPr="005A55CA" w:rsidRDefault="00DB6C05" w:rsidP="00DB6C05">
      <w:pPr>
        <w:shd w:val="clear" w:color="auto" w:fill="FFFFFF"/>
        <w:spacing w:before="0"/>
        <w:rPr>
          <w:sz w:val="22"/>
          <w:szCs w:val="22"/>
          <w:lang w:eastAsia="en-US"/>
        </w:rPr>
      </w:pPr>
      <w:r w:rsidRPr="005A55CA">
        <w:rPr>
          <w:b/>
          <w:sz w:val="22"/>
          <w:szCs w:val="22"/>
          <w:lang w:eastAsia="en-US"/>
        </w:rPr>
        <w:t>Lõike 9</w:t>
      </w:r>
      <w:r w:rsidRPr="005A55CA">
        <w:rPr>
          <w:sz w:val="22"/>
          <w:szCs w:val="22"/>
          <w:lang w:eastAsia="en-US"/>
        </w:rPr>
        <w:t xml:space="preserve"> kohaselt ei või </w:t>
      </w:r>
      <w:r>
        <w:rPr>
          <w:sz w:val="22"/>
          <w:szCs w:val="22"/>
        </w:rPr>
        <w:t>teenuseosutaja</w:t>
      </w:r>
      <w:r w:rsidRPr="005A55CA">
        <w:rPr>
          <w:sz w:val="22"/>
          <w:szCs w:val="22"/>
        </w:rPr>
        <w:t xml:space="preserve"> </w:t>
      </w:r>
      <w:r w:rsidRPr="005A55CA">
        <w:rPr>
          <w:sz w:val="22"/>
          <w:szCs w:val="22"/>
          <w:lang w:eastAsia="en-US"/>
        </w:rPr>
        <w:t xml:space="preserve">aidata kaasa asjakohasuse hindamiseks vajaliku teabe esitamata jätmisele. </w:t>
      </w:r>
      <w:r w:rsidR="00F2022E">
        <w:rPr>
          <w:sz w:val="22"/>
          <w:szCs w:val="22"/>
        </w:rPr>
        <w:t>T</w:t>
      </w:r>
      <w:r>
        <w:rPr>
          <w:sz w:val="22"/>
          <w:szCs w:val="22"/>
        </w:rPr>
        <w:t>eenuseosutaja</w:t>
      </w:r>
      <w:r w:rsidR="00F2022E">
        <w:rPr>
          <w:sz w:val="22"/>
          <w:szCs w:val="22"/>
        </w:rPr>
        <w:t>l</w:t>
      </w:r>
      <w:r w:rsidRPr="005A55CA">
        <w:rPr>
          <w:sz w:val="22"/>
          <w:szCs w:val="22"/>
        </w:rPr>
        <w:t xml:space="preserve"> </w:t>
      </w:r>
      <w:r w:rsidRPr="005A55CA">
        <w:rPr>
          <w:sz w:val="22"/>
          <w:szCs w:val="22"/>
          <w:lang w:eastAsia="en-US"/>
        </w:rPr>
        <w:t xml:space="preserve">on õigus tugineda </w:t>
      </w:r>
      <w:r w:rsidR="00F2022E">
        <w:rPr>
          <w:sz w:val="22"/>
          <w:szCs w:val="22"/>
          <w:lang w:eastAsia="en-US"/>
        </w:rPr>
        <w:t>kliendi</w:t>
      </w:r>
      <w:r w:rsidRPr="005A55CA">
        <w:rPr>
          <w:sz w:val="22"/>
          <w:szCs w:val="22"/>
          <w:lang w:eastAsia="en-US"/>
        </w:rPr>
        <w:t xml:space="preserve"> esitatavale teabele, välja arvatud juhul, kui </w:t>
      </w:r>
      <w:r>
        <w:rPr>
          <w:sz w:val="22"/>
          <w:szCs w:val="22"/>
        </w:rPr>
        <w:t>teenuseosutaja</w:t>
      </w:r>
      <w:r w:rsidRPr="005A55CA">
        <w:rPr>
          <w:sz w:val="22"/>
          <w:szCs w:val="22"/>
        </w:rPr>
        <w:t xml:space="preserve"> </w:t>
      </w:r>
      <w:r w:rsidRPr="005A55CA">
        <w:rPr>
          <w:sz w:val="22"/>
          <w:szCs w:val="22"/>
          <w:lang w:eastAsia="en-US"/>
        </w:rPr>
        <w:t>teadis või pidi teadma, et teave on aegunud, ebatäpne või mittetäielik.</w:t>
      </w:r>
    </w:p>
    <w:p w14:paraId="1735CC57" w14:textId="77777777" w:rsidR="00DB6C05" w:rsidRPr="005A55CA" w:rsidRDefault="00DB6C05" w:rsidP="00DB6C05">
      <w:pPr>
        <w:shd w:val="clear" w:color="auto" w:fill="FFFFFF"/>
        <w:spacing w:before="0"/>
        <w:rPr>
          <w:sz w:val="22"/>
          <w:szCs w:val="22"/>
          <w:lang w:eastAsia="en-US"/>
        </w:rPr>
      </w:pPr>
    </w:p>
    <w:p w14:paraId="05ECED9E" w14:textId="6A90F88D" w:rsidR="00DB6C05" w:rsidRDefault="00DB6C05" w:rsidP="00DB6C05">
      <w:pPr>
        <w:shd w:val="clear" w:color="auto" w:fill="FFFFFF"/>
        <w:spacing w:before="0"/>
        <w:rPr>
          <w:sz w:val="22"/>
          <w:szCs w:val="22"/>
          <w:lang w:eastAsia="en-US"/>
        </w:rPr>
      </w:pPr>
      <w:r w:rsidRPr="005A55CA">
        <w:rPr>
          <w:b/>
          <w:sz w:val="22"/>
          <w:szCs w:val="22"/>
          <w:lang w:eastAsia="en-US"/>
        </w:rPr>
        <w:t>Lõike 10</w:t>
      </w:r>
      <w:r w:rsidRPr="005A55CA">
        <w:rPr>
          <w:sz w:val="22"/>
          <w:szCs w:val="22"/>
          <w:lang w:eastAsia="en-US"/>
        </w:rPr>
        <w:t xml:space="preserve"> kohaselt peab </w:t>
      </w:r>
      <w:r>
        <w:rPr>
          <w:sz w:val="22"/>
          <w:szCs w:val="22"/>
        </w:rPr>
        <w:t>teenuseosutaja</w:t>
      </w:r>
      <w:r w:rsidRPr="005A55CA">
        <w:rPr>
          <w:sz w:val="22"/>
          <w:szCs w:val="22"/>
          <w:lang w:eastAsia="en-US"/>
        </w:rPr>
        <w:t xml:space="preserve"> vaatama käesoleva paragrahvi lõikes 1 sätestatud hindamise ja selle aluseks olevad kriteeriumid ning hoiatusteated üle </w:t>
      </w:r>
      <w:r w:rsidR="00351DC1">
        <w:rPr>
          <w:sz w:val="22"/>
          <w:szCs w:val="22"/>
          <w:lang w:eastAsia="en-US"/>
        </w:rPr>
        <w:t xml:space="preserve">vähemalt </w:t>
      </w:r>
      <w:r w:rsidRPr="005A55CA">
        <w:rPr>
          <w:sz w:val="22"/>
          <w:szCs w:val="22"/>
          <w:lang w:eastAsia="en-US"/>
        </w:rPr>
        <w:t xml:space="preserve">iga kahe aasta tagant. </w:t>
      </w:r>
    </w:p>
    <w:p w14:paraId="6D6468DD" w14:textId="77777777" w:rsidR="00DB6C05" w:rsidRDefault="00DB6C05" w:rsidP="00DB6C05">
      <w:pPr>
        <w:shd w:val="clear" w:color="auto" w:fill="FFFFFF"/>
        <w:spacing w:before="0"/>
        <w:rPr>
          <w:sz w:val="22"/>
          <w:szCs w:val="22"/>
          <w:lang w:eastAsia="en-US"/>
        </w:rPr>
      </w:pPr>
    </w:p>
    <w:p w14:paraId="4017D567" w14:textId="1CA6D37F" w:rsidR="00DB6C05" w:rsidRPr="00D57201" w:rsidRDefault="00DB6C05" w:rsidP="00DB6C05">
      <w:pPr>
        <w:shd w:val="clear" w:color="auto" w:fill="FFFFFF"/>
        <w:spacing w:before="0"/>
        <w:rPr>
          <w:sz w:val="22"/>
          <w:szCs w:val="22"/>
          <w:lang w:eastAsia="en-US"/>
        </w:rPr>
      </w:pPr>
      <w:r w:rsidRPr="00D57201">
        <w:rPr>
          <w:b/>
          <w:sz w:val="22"/>
          <w:szCs w:val="22"/>
          <w:lang w:eastAsia="en-US"/>
        </w:rPr>
        <w:t>Lõige 11</w:t>
      </w:r>
      <w:r w:rsidRPr="00D57201">
        <w:rPr>
          <w:sz w:val="22"/>
          <w:szCs w:val="22"/>
          <w:lang w:eastAsia="en-US"/>
        </w:rPr>
        <w:t xml:space="preserve"> lisab, et teenuseosutaja tagab </w:t>
      </w:r>
      <w:r w:rsidR="00351DC1" w:rsidRPr="00D57201">
        <w:rPr>
          <w:sz w:val="22"/>
          <w:szCs w:val="22"/>
          <w:lang w:eastAsia="en-US"/>
        </w:rPr>
        <w:t>kliendile</w:t>
      </w:r>
      <w:r w:rsidRPr="00D57201">
        <w:rPr>
          <w:sz w:val="22"/>
          <w:szCs w:val="22"/>
          <w:lang w:eastAsia="en-US"/>
        </w:rPr>
        <w:t xml:space="preserve"> võimaluse arvutada oma kahju kandmise võime üks kord kalendriaasta</w:t>
      </w:r>
      <w:r w:rsidR="00351DC1" w:rsidRPr="00D57201">
        <w:rPr>
          <w:sz w:val="22"/>
          <w:szCs w:val="22"/>
          <w:lang w:eastAsia="en-US"/>
        </w:rPr>
        <w:t>s</w:t>
      </w:r>
      <w:r w:rsidRPr="00D57201">
        <w:rPr>
          <w:sz w:val="22"/>
          <w:szCs w:val="22"/>
          <w:lang w:eastAsia="en-US"/>
        </w:rPr>
        <w:t xml:space="preserve">. </w:t>
      </w:r>
    </w:p>
    <w:p w14:paraId="7A2C5B8B" w14:textId="78C78284" w:rsidR="00D3321B" w:rsidRPr="00D57201" w:rsidRDefault="00D3321B" w:rsidP="00B82E7B">
      <w:pPr>
        <w:spacing w:before="0"/>
        <w:rPr>
          <w:b/>
          <w:bCs/>
          <w:sz w:val="22"/>
          <w:szCs w:val="22"/>
        </w:rPr>
      </w:pPr>
    </w:p>
    <w:p w14:paraId="271B9871" w14:textId="6948F0C3" w:rsidR="00B17BBF" w:rsidRDefault="00961717" w:rsidP="00B82E7B">
      <w:pPr>
        <w:spacing w:before="0"/>
        <w:rPr>
          <w:bCs/>
          <w:sz w:val="22"/>
          <w:szCs w:val="22"/>
        </w:rPr>
      </w:pPr>
      <w:r w:rsidRPr="00A240D8">
        <w:rPr>
          <w:b/>
          <w:sz w:val="22"/>
          <w:szCs w:val="22"/>
        </w:rPr>
        <w:t>Paragrahv</w:t>
      </w:r>
      <w:r w:rsidR="00B17BBF" w:rsidRPr="00A240D8">
        <w:rPr>
          <w:b/>
          <w:sz w:val="22"/>
          <w:szCs w:val="22"/>
        </w:rPr>
        <w:t xml:space="preserve"> 54</w:t>
      </w:r>
      <w:r w:rsidRPr="00D57201">
        <w:rPr>
          <w:b/>
          <w:sz w:val="22"/>
          <w:szCs w:val="22"/>
        </w:rPr>
        <w:t xml:space="preserve"> </w:t>
      </w:r>
      <w:r w:rsidRPr="00D57201">
        <w:rPr>
          <w:bCs/>
          <w:sz w:val="22"/>
          <w:szCs w:val="22"/>
        </w:rPr>
        <w:t xml:space="preserve">kehtestab nõuded </w:t>
      </w:r>
      <w:proofErr w:type="spellStart"/>
      <w:r w:rsidRPr="00D57201">
        <w:rPr>
          <w:bCs/>
          <w:sz w:val="22"/>
          <w:szCs w:val="22"/>
        </w:rPr>
        <w:t>krüptovara</w:t>
      </w:r>
      <w:proofErr w:type="spellEnd"/>
      <w:r w:rsidRPr="00D57201">
        <w:rPr>
          <w:bCs/>
          <w:sz w:val="22"/>
          <w:szCs w:val="22"/>
        </w:rPr>
        <w:t xml:space="preserve"> hoidmise ja haldamise teenuse osutajale. Paragrahvi sätted põhinevad </w:t>
      </w:r>
      <w:proofErr w:type="spellStart"/>
      <w:r w:rsidRPr="00D57201">
        <w:rPr>
          <w:bCs/>
          <w:sz w:val="22"/>
          <w:szCs w:val="22"/>
        </w:rPr>
        <w:t>MiCA</w:t>
      </w:r>
      <w:proofErr w:type="spellEnd"/>
      <w:r w:rsidRPr="00D57201">
        <w:rPr>
          <w:bCs/>
          <w:sz w:val="22"/>
          <w:szCs w:val="22"/>
        </w:rPr>
        <w:t xml:space="preserve"> ettepaneku artiklil </w:t>
      </w:r>
      <w:r w:rsidRPr="004A5C3A">
        <w:rPr>
          <w:bCs/>
          <w:sz w:val="22"/>
          <w:szCs w:val="22"/>
        </w:rPr>
        <w:t>67.</w:t>
      </w:r>
    </w:p>
    <w:p w14:paraId="2E495DCE" w14:textId="4FA07011" w:rsidR="00034473" w:rsidRPr="00034473" w:rsidRDefault="00034473" w:rsidP="00034473">
      <w:pPr>
        <w:spacing w:before="0"/>
        <w:rPr>
          <w:bCs/>
          <w:sz w:val="22"/>
          <w:szCs w:val="22"/>
        </w:rPr>
      </w:pPr>
    </w:p>
    <w:p w14:paraId="4106E266" w14:textId="6548B5FC" w:rsidR="00034473" w:rsidRPr="00034473" w:rsidRDefault="00034473" w:rsidP="00034473">
      <w:pPr>
        <w:spacing w:before="0"/>
        <w:rPr>
          <w:color w:val="000000"/>
          <w:sz w:val="22"/>
          <w:szCs w:val="22"/>
          <w:bdr w:val="none" w:sz="0" w:space="0" w:color="auto" w:frame="1"/>
          <w:shd w:val="clear" w:color="auto" w:fill="FFFFFF"/>
        </w:rPr>
      </w:pPr>
      <w:r w:rsidRPr="00034473">
        <w:rPr>
          <w:b/>
          <w:bCs/>
          <w:sz w:val="22"/>
          <w:szCs w:val="22"/>
        </w:rPr>
        <w:t>Lõike 1</w:t>
      </w:r>
      <w:r>
        <w:rPr>
          <w:sz w:val="22"/>
          <w:szCs w:val="22"/>
        </w:rPr>
        <w:t xml:space="preserve"> kohaselt </w:t>
      </w:r>
      <w:proofErr w:type="spellStart"/>
      <w:r>
        <w:rPr>
          <w:sz w:val="22"/>
          <w:szCs w:val="22"/>
        </w:rPr>
        <w:t>k</w:t>
      </w:r>
      <w:r w:rsidRPr="00034473">
        <w:rPr>
          <w:color w:val="000000"/>
          <w:sz w:val="22"/>
          <w:szCs w:val="22"/>
          <w:bdr w:val="none" w:sz="0" w:space="0" w:color="auto" w:frame="1"/>
          <w:shd w:val="clear" w:color="auto" w:fill="FFFFFF"/>
        </w:rPr>
        <w:t>rüptovarateenuse</w:t>
      </w:r>
      <w:proofErr w:type="spellEnd"/>
      <w:r w:rsidRPr="00034473">
        <w:rPr>
          <w:color w:val="000000"/>
          <w:sz w:val="22"/>
          <w:szCs w:val="22"/>
          <w:bdr w:val="none" w:sz="0" w:space="0" w:color="auto" w:frame="1"/>
          <w:shd w:val="clear" w:color="auto" w:fill="FFFFFF"/>
        </w:rPr>
        <w:t xml:space="preserve"> osutaja, kes hoiab või haldab </w:t>
      </w:r>
      <w:proofErr w:type="spellStart"/>
      <w:r w:rsidRPr="00034473">
        <w:rPr>
          <w:color w:val="000000"/>
          <w:sz w:val="22"/>
          <w:szCs w:val="22"/>
          <w:bdr w:val="none" w:sz="0" w:space="0" w:color="auto" w:frame="1"/>
          <w:shd w:val="clear" w:color="auto" w:fill="FFFFFF"/>
        </w:rPr>
        <w:t>krüptovara</w:t>
      </w:r>
      <w:proofErr w:type="spellEnd"/>
      <w:r w:rsidRPr="00034473">
        <w:rPr>
          <w:color w:val="000000"/>
          <w:sz w:val="22"/>
          <w:szCs w:val="22"/>
          <w:bdr w:val="none" w:sz="0" w:space="0" w:color="auto" w:frame="1"/>
          <w:shd w:val="clear" w:color="auto" w:fill="FFFFFF"/>
        </w:rPr>
        <w:t xml:space="preserve"> kolmandate isikute nimel, peab iga kliendi nimel avatud positsioonide registrit, mis vastab iga kliendi õigustele </w:t>
      </w:r>
      <w:proofErr w:type="spellStart"/>
      <w:r w:rsidRPr="00034473">
        <w:rPr>
          <w:color w:val="000000"/>
          <w:sz w:val="22"/>
          <w:szCs w:val="22"/>
          <w:bdr w:val="none" w:sz="0" w:space="0" w:color="auto" w:frame="1"/>
          <w:shd w:val="clear" w:color="auto" w:fill="FFFFFF"/>
        </w:rPr>
        <w:t>krüptovara</w:t>
      </w:r>
      <w:proofErr w:type="spellEnd"/>
      <w:r w:rsidRPr="00034473">
        <w:rPr>
          <w:color w:val="000000"/>
          <w:sz w:val="22"/>
          <w:szCs w:val="22"/>
          <w:bdr w:val="none" w:sz="0" w:space="0" w:color="auto" w:frame="1"/>
          <w:shd w:val="clear" w:color="auto" w:fill="FFFFFF"/>
        </w:rPr>
        <w:t xml:space="preserve"> suhtes. </w:t>
      </w:r>
      <w:proofErr w:type="spellStart"/>
      <w:r w:rsidRPr="00034473">
        <w:rPr>
          <w:color w:val="000000"/>
          <w:sz w:val="22"/>
          <w:szCs w:val="22"/>
          <w:bdr w:val="none" w:sz="0" w:space="0" w:color="auto" w:frame="1"/>
          <w:shd w:val="clear" w:color="auto" w:fill="FFFFFF"/>
        </w:rPr>
        <w:t>Krüptovarateenuse</w:t>
      </w:r>
      <w:proofErr w:type="spellEnd"/>
      <w:r w:rsidRPr="00034473">
        <w:rPr>
          <w:color w:val="000000"/>
          <w:sz w:val="22"/>
          <w:szCs w:val="22"/>
          <w:bdr w:val="none" w:sz="0" w:space="0" w:color="auto" w:frame="1"/>
          <w:shd w:val="clear" w:color="auto" w:fill="FFFFFF"/>
        </w:rPr>
        <w:t xml:space="preserve"> osutaja registreerib kõnealuses registris asjakohasel juhul võimalikult kiiresti kõik oma klientidelt saadud juhiste kohaselt tehtud liikumised. </w:t>
      </w:r>
      <w:proofErr w:type="spellStart"/>
      <w:r w:rsidRPr="00034473">
        <w:rPr>
          <w:color w:val="000000"/>
          <w:sz w:val="22"/>
          <w:szCs w:val="22"/>
          <w:bdr w:val="none" w:sz="0" w:space="0" w:color="auto" w:frame="1"/>
          <w:shd w:val="clear" w:color="auto" w:fill="FFFFFF"/>
        </w:rPr>
        <w:t>Krüptovarateenuse</w:t>
      </w:r>
      <w:proofErr w:type="spellEnd"/>
      <w:r w:rsidRPr="00034473">
        <w:rPr>
          <w:color w:val="000000"/>
          <w:sz w:val="22"/>
          <w:szCs w:val="22"/>
          <w:bdr w:val="none" w:sz="0" w:space="0" w:color="auto" w:frame="1"/>
          <w:shd w:val="clear" w:color="auto" w:fill="FFFFFF"/>
        </w:rPr>
        <w:t xml:space="preserve"> osutaja sisekorraga tagatakse, et mis tahes liikumist, mis mõjutab </w:t>
      </w:r>
      <w:proofErr w:type="spellStart"/>
      <w:r w:rsidRPr="00034473">
        <w:rPr>
          <w:color w:val="000000"/>
          <w:sz w:val="22"/>
          <w:szCs w:val="22"/>
          <w:bdr w:val="none" w:sz="0" w:space="0" w:color="auto" w:frame="1"/>
          <w:shd w:val="clear" w:color="auto" w:fill="FFFFFF"/>
        </w:rPr>
        <w:t>krüptovarade</w:t>
      </w:r>
      <w:proofErr w:type="spellEnd"/>
      <w:r w:rsidRPr="00034473">
        <w:rPr>
          <w:color w:val="000000"/>
          <w:sz w:val="22"/>
          <w:szCs w:val="22"/>
          <w:bdr w:val="none" w:sz="0" w:space="0" w:color="auto" w:frame="1"/>
          <w:shd w:val="clear" w:color="auto" w:fill="FFFFFF"/>
        </w:rPr>
        <w:t xml:space="preserve"> registreerimist, tõendab tehing, mis on korrapäraselt registreeritud kliendi positsioonide registris.</w:t>
      </w:r>
    </w:p>
    <w:p w14:paraId="66928DEE" w14:textId="77777777" w:rsidR="00034473" w:rsidRPr="00034473" w:rsidRDefault="00034473" w:rsidP="00034473">
      <w:pPr>
        <w:pStyle w:val="li"/>
        <w:shd w:val="clear" w:color="auto" w:fill="FFFFFF"/>
        <w:spacing w:before="0" w:beforeAutospacing="0" w:after="0" w:afterAutospacing="0"/>
        <w:jc w:val="both"/>
        <w:textAlignment w:val="baseline"/>
        <w:rPr>
          <w:sz w:val="22"/>
          <w:szCs w:val="22"/>
        </w:rPr>
      </w:pPr>
    </w:p>
    <w:p w14:paraId="40284C54" w14:textId="6C3E40D3" w:rsidR="00034473" w:rsidRPr="00034473" w:rsidRDefault="00034473" w:rsidP="00034473">
      <w:pPr>
        <w:pStyle w:val="li"/>
        <w:shd w:val="clear" w:color="auto" w:fill="FFFFFF"/>
        <w:spacing w:before="0" w:beforeAutospacing="0" w:after="0" w:afterAutospacing="0"/>
        <w:jc w:val="both"/>
        <w:textAlignment w:val="baseline"/>
        <w:rPr>
          <w:color w:val="000000"/>
          <w:sz w:val="22"/>
          <w:szCs w:val="22"/>
          <w:lang w:eastAsia="et-EE"/>
        </w:rPr>
      </w:pPr>
      <w:proofErr w:type="spellStart"/>
      <w:r>
        <w:rPr>
          <w:b/>
          <w:bCs/>
          <w:sz w:val="22"/>
          <w:szCs w:val="22"/>
        </w:rPr>
        <w:t>Lõige</w:t>
      </w:r>
      <w:proofErr w:type="spellEnd"/>
      <w:r>
        <w:rPr>
          <w:b/>
          <w:bCs/>
          <w:sz w:val="22"/>
          <w:szCs w:val="22"/>
        </w:rPr>
        <w:t xml:space="preserve"> 2 </w:t>
      </w:r>
      <w:proofErr w:type="spellStart"/>
      <w:r>
        <w:rPr>
          <w:sz w:val="22"/>
          <w:szCs w:val="22"/>
        </w:rPr>
        <w:t>sätestab</w:t>
      </w:r>
      <w:proofErr w:type="spellEnd"/>
      <w:r>
        <w:rPr>
          <w:sz w:val="22"/>
          <w:szCs w:val="22"/>
        </w:rPr>
        <w:t>, et k</w:t>
      </w:r>
      <w:proofErr w:type="spellStart"/>
      <w:r w:rsidRPr="00034473">
        <w:rPr>
          <w:color w:val="000000"/>
          <w:sz w:val="22"/>
          <w:szCs w:val="22"/>
          <w:bdr w:val="none" w:sz="0" w:space="0" w:color="auto" w:frame="1"/>
          <w:lang w:val="et-EE" w:eastAsia="et-EE"/>
        </w:rPr>
        <w:t>rüptovarateenuse</w:t>
      </w:r>
      <w:proofErr w:type="spellEnd"/>
      <w:r w:rsidRPr="00034473">
        <w:rPr>
          <w:color w:val="000000"/>
          <w:sz w:val="22"/>
          <w:szCs w:val="22"/>
          <w:bdr w:val="none" w:sz="0" w:space="0" w:color="auto" w:frame="1"/>
          <w:lang w:val="et-EE" w:eastAsia="et-EE"/>
        </w:rPr>
        <w:t xml:space="preserve"> osutaja, kes hoiab või haldab </w:t>
      </w:r>
      <w:proofErr w:type="spellStart"/>
      <w:r w:rsidRPr="00034473">
        <w:rPr>
          <w:color w:val="000000"/>
          <w:sz w:val="22"/>
          <w:szCs w:val="22"/>
          <w:bdr w:val="none" w:sz="0" w:space="0" w:color="auto" w:frame="1"/>
          <w:lang w:val="et-EE" w:eastAsia="et-EE"/>
        </w:rPr>
        <w:t>krüptovara</w:t>
      </w:r>
      <w:proofErr w:type="spellEnd"/>
      <w:r w:rsidRPr="00034473">
        <w:rPr>
          <w:color w:val="000000"/>
          <w:sz w:val="22"/>
          <w:szCs w:val="22"/>
          <w:bdr w:val="none" w:sz="0" w:space="0" w:color="auto" w:frame="1"/>
          <w:lang w:val="et-EE" w:eastAsia="et-EE"/>
        </w:rPr>
        <w:t xml:space="preserve"> kolmandate isikute nimel, kehtestab hoidmispoliitika koos </w:t>
      </w:r>
      <w:proofErr w:type="spellStart"/>
      <w:r w:rsidRPr="00034473">
        <w:rPr>
          <w:color w:val="000000"/>
          <w:sz w:val="22"/>
          <w:szCs w:val="22"/>
          <w:bdr w:val="none" w:sz="0" w:space="0" w:color="auto" w:frame="1"/>
          <w:lang w:val="et-EE" w:eastAsia="et-EE"/>
        </w:rPr>
        <w:t>sise</w:t>
      </w:r>
      <w:proofErr w:type="spellEnd"/>
      <w:r w:rsidRPr="00034473">
        <w:rPr>
          <w:color w:val="000000"/>
          <w:sz w:val="22"/>
          <w:szCs w:val="22"/>
          <w:bdr w:val="none" w:sz="0" w:space="0" w:color="auto" w:frame="1"/>
          <w:lang w:val="et-EE" w:eastAsia="et-EE"/>
        </w:rPr>
        <w:t xml:space="preserve">-eeskirjade ja -menetlustega, et maandada sellise </w:t>
      </w:r>
      <w:proofErr w:type="spellStart"/>
      <w:r w:rsidRPr="00034473">
        <w:rPr>
          <w:color w:val="000000"/>
          <w:sz w:val="22"/>
          <w:szCs w:val="22"/>
          <w:bdr w:val="none" w:sz="0" w:space="0" w:color="auto" w:frame="1"/>
          <w:lang w:val="et-EE" w:eastAsia="et-EE"/>
        </w:rPr>
        <w:t>krüptovara</w:t>
      </w:r>
      <w:proofErr w:type="spellEnd"/>
      <w:r w:rsidRPr="00034473">
        <w:rPr>
          <w:color w:val="000000"/>
          <w:sz w:val="22"/>
          <w:szCs w:val="22"/>
          <w:bdr w:val="none" w:sz="0" w:space="0" w:color="auto" w:frame="1"/>
          <w:lang w:val="et-EE" w:eastAsia="et-EE"/>
        </w:rPr>
        <w:t xml:space="preserve"> või </w:t>
      </w:r>
      <w:proofErr w:type="spellStart"/>
      <w:r w:rsidRPr="00034473">
        <w:rPr>
          <w:color w:val="000000"/>
          <w:sz w:val="22"/>
          <w:szCs w:val="22"/>
          <w:bdr w:val="none" w:sz="0" w:space="0" w:color="auto" w:frame="1"/>
          <w:lang w:val="et-EE" w:eastAsia="et-EE"/>
        </w:rPr>
        <w:t>krüptovarale</w:t>
      </w:r>
      <w:proofErr w:type="spellEnd"/>
      <w:r w:rsidRPr="00034473">
        <w:rPr>
          <w:color w:val="000000"/>
          <w:sz w:val="22"/>
          <w:szCs w:val="22"/>
          <w:bdr w:val="none" w:sz="0" w:space="0" w:color="auto" w:frame="1"/>
          <w:lang w:val="et-EE" w:eastAsia="et-EE"/>
        </w:rPr>
        <w:t xml:space="preserve"> juurdepääsu vahendite, näiteks </w:t>
      </w:r>
      <w:proofErr w:type="spellStart"/>
      <w:r w:rsidRPr="00034473">
        <w:rPr>
          <w:color w:val="000000"/>
          <w:sz w:val="22"/>
          <w:szCs w:val="22"/>
          <w:bdr w:val="none" w:sz="0" w:space="0" w:color="auto" w:frame="1"/>
          <w:lang w:val="et-EE" w:eastAsia="et-EE"/>
        </w:rPr>
        <w:t>krüptovõtmete</w:t>
      </w:r>
      <w:proofErr w:type="spellEnd"/>
      <w:r w:rsidRPr="00034473">
        <w:rPr>
          <w:color w:val="000000"/>
          <w:sz w:val="22"/>
          <w:szCs w:val="22"/>
          <w:bdr w:val="none" w:sz="0" w:space="0" w:color="auto" w:frame="1"/>
          <w:lang w:val="et-EE" w:eastAsia="et-EE"/>
        </w:rPr>
        <w:t xml:space="preserve"> hoidmine või kontroll, kaotamise või kadumise riski. </w:t>
      </w:r>
      <w:proofErr w:type="spellStart"/>
      <w:r w:rsidRPr="00034473">
        <w:rPr>
          <w:color w:val="000000"/>
          <w:sz w:val="22"/>
          <w:szCs w:val="22"/>
          <w:bdr w:val="none" w:sz="0" w:space="0" w:color="auto" w:frame="1"/>
          <w:lang w:eastAsia="et-EE"/>
        </w:rPr>
        <w:t>Kõnealuste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eeskirjade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ja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menetlustega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tagatakse</w:t>
      </w:r>
      <w:proofErr w:type="spellEnd"/>
      <w:r w:rsidRPr="00034473">
        <w:rPr>
          <w:color w:val="000000"/>
          <w:sz w:val="22"/>
          <w:szCs w:val="22"/>
          <w:bdr w:val="none" w:sz="0" w:space="0" w:color="auto" w:frame="1"/>
          <w:lang w:eastAsia="et-EE"/>
        </w:rPr>
        <w:t xml:space="preserve">, et </w:t>
      </w:r>
      <w:proofErr w:type="spellStart"/>
      <w:r w:rsidRPr="00034473">
        <w:rPr>
          <w:color w:val="000000"/>
          <w:sz w:val="22"/>
          <w:szCs w:val="22"/>
          <w:bdr w:val="none" w:sz="0" w:space="0" w:color="auto" w:frame="1"/>
          <w:lang w:eastAsia="et-EE"/>
        </w:rPr>
        <w:t>krüptovarateenuse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osutaja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ei</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saa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pettuse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küberohu</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või</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hooletuse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tõttu</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kaotada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ligipääsu</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klientide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krüptovarale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ega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sellise</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varaga</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seotud</w:t>
      </w:r>
      <w:proofErr w:type="spellEnd"/>
      <w:r w:rsidRPr="00034473">
        <w:rPr>
          <w:color w:val="000000"/>
          <w:sz w:val="22"/>
          <w:szCs w:val="22"/>
          <w:bdr w:val="none" w:sz="0" w:space="0" w:color="auto" w:frame="1"/>
          <w:lang w:eastAsia="et-EE"/>
        </w:rPr>
        <w:t xml:space="preserve"> </w:t>
      </w:r>
      <w:proofErr w:type="spellStart"/>
      <w:r w:rsidRPr="00034473">
        <w:rPr>
          <w:color w:val="000000"/>
          <w:sz w:val="22"/>
          <w:szCs w:val="22"/>
          <w:bdr w:val="none" w:sz="0" w:space="0" w:color="auto" w:frame="1"/>
          <w:lang w:eastAsia="et-EE"/>
        </w:rPr>
        <w:t>õigustele</w:t>
      </w:r>
      <w:proofErr w:type="spellEnd"/>
      <w:r w:rsidRPr="00034473">
        <w:rPr>
          <w:color w:val="000000"/>
          <w:sz w:val="22"/>
          <w:szCs w:val="22"/>
          <w:bdr w:val="none" w:sz="0" w:space="0" w:color="auto" w:frame="1"/>
          <w:lang w:eastAsia="et-EE"/>
        </w:rPr>
        <w:t>. </w:t>
      </w:r>
    </w:p>
    <w:p w14:paraId="65051438" w14:textId="77777777" w:rsidR="00034473" w:rsidRPr="00034473" w:rsidRDefault="00034473" w:rsidP="00034473">
      <w:pPr>
        <w:spacing w:before="0"/>
        <w:rPr>
          <w:sz w:val="22"/>
          <w:szCs w:val="22"/>
        </w:rPr>
      </w:pPr>
    </w:p>
    <w:p w14:paraId="0EE5A328" w14:textId="51AC0424" w:rsidR="00034473" w:rsidRPr="00034473" w:rsidRDefault="00EC47C6" w:rsidP="00034473">
      <w:pPr>
        <w:shd w:val="clear" w:color="auto" w:fill="FFFFFF"/>
        <w:spacing w:before="0"/>
        <w:textAlignment w:val="baseline"/>
        <w:rPr>
          <w:color w:val="000000"/>
          <w:sz w:val="22"/>
          <w:szCs w:val="22"/>
          <w:bdr w:val="none" w:sz="0" w:space="0" w:color="auto" w:frame="1"/>
        </w:rPr>
      </w:pPr>
      <w:r>
        <w:rPr>
          <w:b/>
          <w:bCs/>
          <w:color w:val="000000"/>
          <w:sz w:val="22"/>
          <w:szCs w:val="22"/>
          <w:bdr w:val="none" w:sz="0" w:space="0" w:color="auto" w:frame="1"/>
        </w:rPr>
        <w:t xml:space="preserve">Lõike 3 </w:t>
      </w:r>
      <w:r>
        <w:rPr>
          <w:color w:val="000000"/>
          <w:sz w:val="22"/>
          <w:szCs w:val="22"/>
          <w:bdr w:val="none" w:sz="0" w:space="0" w:color="auto" w:frame="1"/>
        </w:rPr>
        <w:t>järgi hõlbustab</w:t>
      </w:r>
      <w:r w:rsidR="00034473" w:rsidRPr="00034473">
        <w:rPr>
          <w:color w:val="000000"/>
          <w:sz w:val="22"/>
          <w:szCs w:val="22"/>
          <w:bdr w:val="none" w:sz="0" w:space="0" w:color="auto" w:frame="1"/>
        </w:rPr>
        <w:t xml:space="preserve"> </w:t>
      </w:r>
      <w:r>
        <w:rPr>
          <w:color w:val="000000"/>
          <w:sz w:val="22"/>
          <w:szCs w:val="22"/>
          <w:bdr w:val="none" w:sz="0" w:space="0" w:color="auto" w:frame="1"/>
        </w:rPr>
        <w:t>v</w:t>
      </w:r>
      <w:r w:rsidR="00034473" w:rsidRPr="00034473">
        <w:rPr>
          <w:color w:val="000000"/>
          <w:sz w:val="22"/>
          <w:szCs w:val="22"/>
          <w:bdr w:val="none" w:sz="0" w:space="0" w:color="auto" w:frame="1"/>
        </w:rPr>
        <w:t xml:space="preserve">ajaduse korral </w:t>
      </w:r>
      <w:proofErr w:type="spellStart"/>
      <w:r w:rsidR="00034473" w:rsidRPr="00034473">
        <w:rPr>
          <w:color w:val="000000"/>
          <w:sz w:val="22"/>
          <w:szCs w:val="22"/>
          <w:bdr w:val="none" w:sz="0" w:space="0" w:color="auto" w:frame="1"/>
        </w:rPr>
        <w:t>krüptovarateenuse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w:t>
      </w:r>
      <w:proofErr w:type="spellStart"/>
      <w:r w:rsidR="00034473" w:rsidRPr="00034473">
        <w:rPr>
          <w:color w:val="000000"/>
          <w:sz w:val="22"/>
          <w:szCs w:val="22"/>
          <w:bdr w:val="none" w:sz="0" w:space="0" w:color="auto" w:frame="1"/>
        </w:rPr>
        <w:t>krüptovaradega</w:t>
      </w:r>
      <w:proofErr w:type="spellEnd"/>
      <w:r w:rsidR="00034473" w:rsidRPr="00034473">
        <w:rPr>
          <w:color w:val="000000"/>
          <w:sz w:val="22"/>
          <w:szCs w:val="22"/>
          <w:bdr w:val="none" w:sz="0" w:space="0" w:color="auto" w:frame="1"/>
        </w:rPr>
        <w:t xml:space="preserve"> seotud õiguste kasutamist. Kõik sündmused, mis tõenäoliselt loovad või muudavad kliendi õigusi, kantakse viivitamata kliendi positsioonide registrisse.</w:t>
      </w:r>
    </w:p>
    <w:p w14:paraId="1AB0DDD8" w14:textId="77777777" w:rsidR="00034473" w:rsidRPr="00034473" w:rsidRDefault="00034473" w:rsidP="00034473">
      <w:pPr>
        <w:shd w:val="clear" w:color="auto" w:fill="FFFFFF"/>
        <w:spacing w:before="0"/>
        <w:textAlignment w:val="baseline"/>
        <w:rPr>
          <w:color w:val="000000"/>
          <w:sz w:val="22"/>
          <w:szCs w:val="22"/>
        </w:rPr>
      </w:pPr>
    </w:p>
    <w:p w14:paraId="0E3B76AC" w14:textId="0CCAFD9E" w:rsidR="00034473" w:rsidRPr="00034473" w:rsidRDefault="00EC47C6" w:rsidP="00034473">
      <w:pPr>
        <w:shd w:val="clear" w:color="auto" w:fill="FFFFFF"/>
        <w:spacing w:before="0"/>
        <w:textAlignment w:val="baseline"/>
        <w:rPr>
          <w:color w:val="000000"/>
          <w:sz w:val="22"/>
          <w:szCs w:val="22"/>
          <w:bdr w:val="none" w:sz="0" w:space="0" w:color="auto" w:frame="1"/>
        </w:rPr>
      </w:pPr>
      <w:r>
        <w:rPr>
          <w:b/>
          <w:bCs/>
          <w:color w:val="000000"/>
          <w:sz w:val="22"/>
          <w:szCs w:val="22"/>
          <w:bdr w:val="none" w:sz="0" w:space="0" w:color="auto" w:frame="1"/>
        </w:rPr>
        <w:t xml:space="preserve">Lõike 4 </w:t>
      </w:r>
      <w:r>
        <w:rPr>
          <w:color w:val="000000"/>
          <w:sz w:val="22"/>
          <w:szCs w:val="22"/>
          <w:bdr w:val="none" w:sz="0" w:space="0" w:color="auto" w:frame="1"/>
        </w:rPr>
        <w:t>alusel</w:t>
      </w:r>
      <w:r w:rsidR="00034473" w:rsidRPr="00034473">
        <w:rPr>
          <w:color w:val="000000"/>
          <w:sz w:val="22"/>
          <w:szCs w:val="22"/>
          <w:bdr w:val="none" w:sz="0" w:space="0" w:color="auto" w:frame="1"/>
        </w:rPr>
        <w:t xml:space="preserve"> </w:t>
      </w:r>
      <w:proofErr w:type="spellStart"/>
      <w:r>
        <w:rPr>
          <w:color w:val="000000"/>
          <w:sz w:val="22"/>
          <w:szCs w:val="22"/>
          <w:bdr w:val="none" w:sz="0" w:space="0" w:color="auto" w:frame="1"/>
        </w:rPr>
        <w:t>k</w:t>
      </w:r>
      <w:r w:rsidR="00034473" w:rsidRPr="00034473">
        <w:rPr>
          <w:color w:val="000000"/>
          <w:sz w:val="22"/>
          <w:szCs w:val="22"/>
          <w:bdr w:val="none" w:sz="0" w:space="0" w:color="auto" w:frame="1"/>
        </w:rPr>
        <w:t>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esitab oma klientidele vähemalt kord kolme kuu jooksul ja asjaomase kliendi iga taotluse korral nende klientide nimel registreeritud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positsioonide aruande. Kõnealune positsioonide aruanne esitatakse elektroonilisel kujul. Positsioonide aruandes tuleb ära märkida asjaomased </w:t>
      </w:r>
      <w:proofErr w:type="spellStart"/>
      <w:r w:rsidR="00034473" w:rsidRPr="00034473">
        <w:rPr>
          <w:color w:val="000000"/>
          <w:sz w:val="22"/>
          <w:szCs w:val="22"/>
          <w:bdr w:val="none" w:sz="0" w:space="0" w:color="auto" w:frame="1"/>
        </w:rPr>
        <w:t>krüptovarad</w:t>
      </w:r>
      <w:proofErr w:type="spellEnd"/>
      <w:r w:rsidR="00034473" w:rsidRPr="00034473">
        <w:rPr>
          <w:color w:val="000000"/>
          <w:sz w:val="22"/>
          <w:szCs w:val="22"/>
          <w:bdr w:val="none" w:sz="0" w:space="0" w:color="auto" w:frame="1"/>
        </w:rPr>
        <w:t xml:space="preserve">, nende saldo, väärtus ja asjaomasel ajavahemikul tehtud </w:t>
      </w:r>
      <w:proofErr w:type="spellStart"/>
      <w:r w:rsidR="00034473" w:rsidRPr="00034473">
        <w:rPr>
          <w:color w:val="000000"/>
          <w:sz w:val="22"/>
          <w:szCs w:val="22"/>
          <w:bdr w:val="none" w:sz="0" w:space="0" w:color="auto" w:frame="1"/>
        </w:rPr>
        <w:t>krüptovaraülekanded</w:t>
      </w:r>
      <w:proofErr w:type="spellEnd"/>
      <w:r w:rsidR="00034473" w:rsidRPr="00034473">
        <w:rPr>
          <w:color w:val="000000"/>
          <w:sz w:val="22"/>
          <w:szCs w:val="22"/>
          <w:bdr w:val="none" w:sz="0" w:space="0" w:color="auto" w:frame="1"/>
        </w:rPr>
        <w:t>.</w:t>
      </w:r>
    </w:p>
    <w:p w14:paraId="1A4457BD" w14:textId="77777777" w:rsidR="00034473" w:rsidRPr="00034473" w:rsidRDefault="00034473" w:rsidP="00034473">
      <w:pPr>
        <w:shd w:val="clear" w:color="auto" w:fill="FFFFFF"/>
        <w:spacing w:before="0"/>
        <w:textAlignment w:val="baseline"/>
        <w:rPr>
          <w:color w:val="000000"/>
          <w:sz w:val="22"/>
          <w:szCs w:val="22"/>
        </w:rPr>
      </w:pPr>
    </w:p>
    <w:p w14:paraId="4AE6AA6D" w14:textId="29FC237B" w:rsidR="00034473" w:rsidRPr="00034473" w:rsidRDefault="00EC47C6" w:rsidP="00034473">
      <w:pPr>
        <w:shd w:val="clear" w:color="auto" w:fill="FFFFFF"/>
        <w:spacing w:before="0"/>
        <w:textAlignment w:val="baseline"/>
        <w:rPr>
          <w:color w:val="000000"/>
          <w:sz w:val="22"/>
          <w:szCs w:val="22"/>
          <w:bdr w:val="none" w:sz="0" w:space="0" w:color="auto" w:frame="1"/>
        </w:rPr>
      </w:pPr>
      <w:r>
        <w:rPr>
          <w:b/>
          <w:bCs/>
          <w:color w:val="000000"/>
          <w:sz w:val="22"/>
          <w:szCs w:val="22"/>
          <w:bdr w:val="none" w:sz="0" w:space="0" w:color="auto" w:frame="1"/>
        </w:rPr>
        <w:t xml:space="preserve">Lõike 5 </w:t>
      </w:r>
      <w:r>
        <w:rPr>
          <w:color w:val="000000"/>
          <w:sz w:val="22"/>
          <w:szCs w:val="22"/>
          <w:bdr w:val="none" w:sz="0" w:space="0" w:color="auto" w:frame="1"/>
        </w:rPr>
        <w:t>kohaselt</w:t>
      </w:r>
      <w:r w:rsidR="00034473" w:rsidRPr="00034473">
        <w:rPr>
          <w:color w:val="000000"/>
          <w:sz w:val="22"/>
          <w:szCs w:val="22"/>
          <w:bdr w:val="none" w:sz="0" w:space="0" w:color="auto" w:frame="1"/>
        </w:rPr>
        <w:t xml:space="preserve"> </w:t>
      </w:r>
      <w:proofErr w:type="spellStart"/>
      <w:r>
        <w:rPr>
          <w:color w:val="000000"/>
          <w:sz w:val="22"/>
          <w:szCs w:val="22"/>
          <w:bdr w:val="none" w:sz="0" w:space="0" w:color="auto" w:frame="1"/>
        </w:rPr>
        <w:t>k</w:t>
      </w:r>
      <w:r w:rsidR="00034473" w:rsidRPr="00034473">
        <w:rPr>
          <w:color w:val="000000"/>
          <w:sz w:val="22"/>
          <w:szCs w:val="22"/>
          <w:bdr w:val="none" w:sz="0" w:space="0" w:color="auto" w:frame="1"/>
        </w:rPr>
        <w:t>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esitab oma klientidele võimalikult kiiresti kogu teabe selliste </w:t>
      </w:r>
      <w:proofErr w:type="spellStart"/>
      <w:r w:rsidR="00034473" w:rsidRPr="00034473">
        <w:rPr>
          <w:color w:val="000000"/>
          <w:sz w:val="22"/>
          <w:szCs w:val="22"/>
          <w:bdr w:val="none" w:sz="0" w:space="0" w:color="auto" w:frame="1"/>
        </w:rPr>
        <w:t>krüptovaradega</w:t>
      </w:r>
      <w:proofErr w:type="spellEnd"/>
      <w:r w:rsidR="00034473" w:rsidRPr="00034473">
        <w:rPr>
          <w:color w:val="000000"/>
          <w:sz w:val="22"/>
          <w:szCs w:val="22"/>
          <w:bdr w:val="none" w:sz="0" w:space="0" w:color="auto" w:frame="1"/>
        </w:rPr>
        <w:t xml:space="preserve"> seotud toimingute kohta, mille jaoks on vaja kõnealustelt klientidelt vastust.</w:t>
      </w:r>
    </w:p>
    <w:p w14:paraId="0E24FD5B" w14:textId="77777777" w:rsidR="00034473" w:rsidRPr="00034473" w:rsidRDefault="00034473" w:rsidP="00034473">
      <w:pPr>
        <w:shd w:val="clear" w:color="auto" w:fill="FFFFFF"/>
        <w:spacing w:before="0"/>
        <w:textAlignment w:val="baseline"/>
        <w:rPr>
          <w:color w:val="000000"/>
          <w:sz w:val="22"/>
          <w:szCs w:val="22"/>
        </w:rPr>
      </w:pPr>
    </w:p>
    <w:p w14:paraId="3C1832CC" w14:textId="4456F4CA" w:rsidR="00034473" w:rsidRPr="00034473" w:rsidRDefault="00EC47C6" w:rsidP="00034473">
      <w:pPr>
        <w:shd w:val="clear" w:color="auto" w:fill="FFFFFF"/>
        <w:spacing w:before="0"/>
        <w:textAlignment w:val="baseline"/>
        <w:rPr>
          <w:color w:val="000000"/>
          <w:sz w:val="22"/>
          <w:szCs w:val="22"/>
          <w:bdr w:val="none" w:sz="0" w:space="0" w:color="auto" w:frame="1"/>
        </w:rPr>
      </w:pPr>
      <w:r>
        <w:rPr>
          <w:b/>
          <w:bCs/>
          <w:color w:val="000000"/>
          <w:sz w:val="22"/>
          <w:szCs w:val="22"/>
          <w:bdr w:val="none" w:sz="0" w:space="0" w:color="auto" w:frame="1"/>
        </w:rPr>
        <w:t xml:space="preserve">Lõike 6 </w:t>
      </w:r>
      <w:r>
        <w:rPr>
          <w:color w:val="000000"/>
          <w:sz w:val="22"/>
          <w:szCs w:val="22"/>
          <w:bdr w:val="none" w:sz="0" w:space="0" w:color="auto" w:frame="1"/>
        </w:rPr>
        <w:t>kohaselt</w:t>
      </w:r>
      <w:r w:rsidR="00034473" w:rsidRPr="00034473">
        <w:rPr>
          <w:color w:val="000000"/>
          <w:sz w:val="22"/>
          <w:szCs w:val="22"/>
          <w:bdr w:val="none" w:sz="0" w:space="0" w:color="auto" w:frame="1"/>
        </w:rPr>
        <w:t xml:space="preserve"> </w:t>
      </w:r>
      <w:proofErr w:type="spellStart"/>
      <w:r>
        <w:rPr>
          <w:color w:val="000000"/>
          <w:sz w:val="22"/>
          <w:szCs w:val="22"/>
          <w:bdr w:val="none" w:sz="0" w:space="0" w:color="auto" w:frame="1"/>
        </w:rPr>
        <w:t>k</w:t>
      </w:r>
      <w:r w:rsidR="00034473" w:rsidRPr="00034473">
        <w:rPr>
          <w:color w:val="000000"/>
          <w:sz w:val="22"/>
          <w:szCs w:val="22"/>
          <w:bdr w:val="none" w:sz="0" w:space="0" w:color="auto" w:frame="1"/>
        </w:rPr>
        <w:t>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tagab, et oma klientide nimel hoitavad </w:t>
      </w:r>
      <w:proofErr w:type="spellStart"/>
      <w:r w:rsidR="00034473" w:rsidRPr="00034473">
        <w:rPr>
          <w:color w:val="000000"/>
          <w:sz w:val="22"/>
          <w:szCs w:val="22"/>
          <w:bdr w:val="none" w:sz="0" w:space="0" w:color="auto" w:frame="1"/>
        </w:rPr>
        <w:t>krüptovarad</w:t>
      </w:r>
      <w:proofErr w:type="spellEnd"/>
      <w:r w:rsidR="00034473" w:rsidRPr="00034473">
        <w:rPr>
          <w:color w:val="000000"/>
          <w:sz w:val="22"/>
          <w:szCs w:val="22"/>
          <w:bdr w:val="none" w:sz="0" w:space="0" w:color="auto" w:frame="1"/>
        </w:rPr>
        <w:t xml:space="preserve"> või kõnealustele </w:t>
      </w:r>
      <w:proofErr w:type="spellStart"/>
      <w:r w:rsidR="00034473" w:rsidRPr="00034473">
        <w:rPr>
          <w:color w:val="000000"/>
          <w:sz w:val="22"/>
          <w:szCs w:val="22"/>
          <w:bdr w:val="none" w:sz="0" w:space="0" w:color="auto" w:frame="1"/>
        </w:rPr>
        <w:t>krüptovaradele</w:t>
      </w:r>
      <w:proofErr w:type="spellEnd"/>
      <w:r w:rsidR="00034473" w:rsidRPr="00034473">
        <w:rPr>
          <w:color w:val="000000"/>
          <w:sz w:val="22"/>
          <w:szCs w:val="22"/>
          <w:bdr w:val="none" w:sz="0" w:space="0" w:color="auto" w:frame="1"/>
        </w:rPr>
        <w:t xml:space="preserve"> juurdepääsu vahendid tagastatakse tema klientidele võimalikult kiiresti.</w:t>
      </w:r>
    </w:p>
    <w:p w14:paraId="0761926E" w14:textId="77777777" w:rsidR="00034473" w:rsidRPr="00034473" w:rsidRDefault="00034473" w:rsidP="00034473">
      <w:pPr>
        <w:shd w:val="clear" w:color="auto" w:fill="FFFFFF"/>
        <w:spacing w:before="0"/>
        <w:textAlignment w:val="baseline"/>
        <w:rPr>
          <w:color w:val="000000"/>
          <w:sz w:val="22"/>
          <w:szCs w:val="22"/>
        </w:rPr>
      </w:pPr>
    </w:p>
    <w:p w14:paraId="453B4307" w14:textId="6BBF160D" w:rsidR="00034473" w:rsidRPr="00034473" w:rsidRDefault="00EC47C6" w:rsidP="00034473">
      <w:pPr>
        <w:shd w:val="clear" w:color="auto" w:fill="FFFFFF"/>
        <w:spacing w:before="0"/>
        <w:textAlignment w:val="baseline"/>
        <w:rPr>
          <w:color w:val="000000"/>
          <w:sz w:val="22"/>
          <w:szCs w:val="22"/>
          <w:bdr w:val="none" w:sz="0" w:space="0" w:color="auto" w:frame="1"/>
        </w:rPr>
      </w:pPr>
      <w:r>
        <w:rPr>
          <w:b/>
          <w:bCs/>
          <w:color w:val="000000"/>
          <w:sz w:val="22"/>
          <w:szCs w:val="22"/>
          <w:bdr w:val="none" w:sz="0" w:space="0" w:color="auto" w:frame="1"/>
        </w:rPr>
        <w:t>Lõike 7</w:t>
      </w:r>
      <w:r w:rsidR="00034473" w:rsidRPr="00034473">
        <w:rPr>
          <w:color w:val="000000"/>
          <w:sz w:val="22"/>
          <w:szCs w:val="22"/>
          <w:bdr w:val="none" w:sz="0" w:space="0" w:color="auto" w:frame="1"/>
        </w:rPr>
        <w:t xml:space="preserve"> </w:t>
      </w:r>
      <w:r>
        <w:rPr>
          <w:color w:val="000000"/>
          <w:sz w:val="22"/>
          <w:szCs w:val="22"/>
          <w:bdr w:val="none" w:sz="0" w:space="0" w:color="auto" w:frame="1"/>
        </w:rPr>
        <w:t xml:space="preserve">järgi </w:t>
      </w:r>
      <w:proofErr w:type="spellStart"/>
      <w:r>
        <w:rPr>
          <w:color w:val="000000"/>
          <w:sz w:val="22"/>
          <w:szCs w:val="22"/>
          <w:bdr w:val="none" w:sz="0" w:space="0" w:color="auto" w:frame="1"/>
        </w:rPr>
        <w:t>k</w:t>
      </w:r>
      <w:r w:rsidR="00034473" w:rsidRPr="00034473">
        <w:rPr>
          <w:color w:val="000000"/>
          <w:sz w:val="22"/>
          <w:szCs w:val="22"/>
          <w:bdr w:val="none" w:sz="0" w:space="0" w:color="auto" w:frame="1"/>
        </w:rPr>
        <w:t>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eraldab oma klientide nimel hoitava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nende enda varast. Nad tagavad, et </w:t>
      </w:r>
      <w:r>
        <w:rPr>
          <w:color w:val="000000"/>
          <w:sz w:val="22"/>
          <w:szCs w:val="22"/>
          <w:bdr w:val="none" w:sz="0" w:space="0" w:color="auto" w:frame="1"/>
        </w:rPr>
        <w:t>hajusraamatu</w:t>
      </w:r>
      <w:r w:rsidR="00034473" w:rsidRPr="00034473">
        <w:rPr>
          <w:color w:val="000000"/>
          <w:sz w:val="22"/>
          <w:szCs w:val="22"/>
          <w:bdr w:val="none" w:sz="0" w:space="0" w:color="auto" w:frame="1"/>
        </w:rPr>
        <w:t xml:space="preserve">süsteemis hoitakse klientide </w:t>
      </w:r>
      <w:proofErr w:type="spellStart"/>
      <w:r w:rsidR="00034473" w:rsidRPr="00034473">
        <w:rPr>
          <w:color w:val="000000"/>
          <w:sz w:val="22"/>
          <w:szCs w:val="22"/>
          <w:bdr w:val="none" w:sz="0" w:space="0" w:color="auto" w:frame="1"/>
        </w:rPr>
        <w:t>krüptovarasid</w:t>
      </w:r>
      <w:proofErr w:type="spellEnd"/>
      <w:r w:rsidR="00034473" w:rsidRPr="00034473">
        <w:rPr>
          <w:color w:val="000000"/>
          <w:sz w:val="22"/>
          <w:szCs w:val="22"/>
          <w:bdr w:val="none" w:sz="0" w:space="0" w:color="auto" w:frame="1"/>
        </w:rPr>
        <w:t xml:space="preserve"> aadressidel, mis on eraldi aadressidest, millel hoitakse nende enda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w:t>
      </w:r>
    </w:p>
    <w:p w14:paraId="0D873ECF" w14:textId="77777777" w:rsidR="00034473" w:rsidRPr="00034473" w:rsidRDefault="00034473" w:rsidP="00034473">
      <w:pPr>
        <w:shd w:val="clear" w:color="auto" w:fill="FFFFFF"/>
        <w:spacing w:before="0"/>
        <w:textAlignment w:val="baseline"/>
        <w:rPr>
          <w:color w:val="000000"/>
          <w:sz w:val="22"/>
          <w:szCs w:val="22"/>
        </w:rPr>
      </w:pPr>
    </w:p>
    <w:p w14:paraId="188147D2" w14:textId="4BDD2FA5" w:rsidR="00034473" w:rsidRPr="00034473" w:rsidRDefault="00EC47C6" w:rsidP="00034473">
      <w:pPr>
        <w:shd w:val="clear" w:color="auto" w:fill="FFFFFF"/>
        <w:spacing w:before="0"/>
        <w:textAlignment w:val="baseline"/>
        <w:rPr>
          <w:color w:val="000000"/>
          <w:sz w:val="22"/>
          <w:szCs w:val="22"/>
        </w:rPr>
      </w:pPr>
      <w:r>
        <w:rPr>
          <w:b/>
          <w:bCs/>
          <w:color w:val="000000"/>
          <w:sz w:val="22"/>
          <w:szCs w:val="22"/>
          <w:bdr w:val="none" w:sz="0" w:space="0" w:color="auto" w:frame="1"/>
        </w:rPr>
        <w:t xml:space="preserve">Lõike 8 </w:t>
      </w:r>
      <w:r>
        <w:rPr>
          <w:color w:val="000000"/>
          <w:sz w:val="22"/>
          <w:szCs w:val="22"/>
          <w:bdr w:val="none" w:sz="0" w:space="0" w:color="auto" w:frame="1"/>
        </w:rPr>
        <w:t xml:space="preserve">kohaselt </w:t>
      </w:r>
      <w:proofErr w:type="spellStart"/>
      <w:r>
        <w:rPr>
          <w:color w:val="000000"/>
          <w:sz w:val="22"/>
          <w:szCs w:val="22"/>
          <w:bdr w:val="none" w:sz="0" w:space="0" w:color="auto" w:frame="1"/>
        </w:rPr>
        <w:t>k</w:t>
      </w:r>
      <w:r w:rsidR="00034473" w:rsidRPr="00034473">
        <w:rPr>
          <w:color w:val="000000"/>
          <w:sz w:val="22"/>
          <w:szCs w:val="22"/>
          <w:bdr w:val="none" w:sz="0" w:space="0" w:color="auto" w:frame="1"/>
        </w:rPr>
        <w:t>rüptovarateenuse</w:t>
      </w:r>
      <w:proofErr w:type="spellEnd"/>
      <w:r w:rsidR="00034473" w:rsidRPr="00034473">
        <w:rPr>
          <w:color w:val="000000"/>
          <w:sz w:val="22"/>
          <w:szCs w:val="22"/>
          <w:bdr w:val="none" w:sz="0" w:space="0" w:color="auto" w:frame="1"/>
        </w:rPr>
        <w:t xml:space="preserve"> osutaja, kes hoiab või haldab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kolmandate isikute nimel, vastutab oma klientide ees </w:t>
      </w:r>
      <w:proofErr w:type="spellStart"/>
      <w:r w:rsidR="00034473" w:rsidRPr="00034473">
        <w:rPr>
          <w:color w:val="000000"/>
          <w:sz w:val="22"/>
          <w:szCs w:val="22"/>
          <w:bdr w:val="none" w:sz="0" w:space="0" w:color="auto" w:frame="1"/>
        </w:rPr>
        <w:t>krüptovarade</w:t>
      </w:r>
      <w:proofErr w:type="spellEnd"/>
      <w:r w:rsidR="00034473" w:rsidRPr="00034473">
        <w:rPr>
          <w:color w:val="000000"/>
          <w:sz w:val="22"/>
          <w:szCs w:val="22"/>
          <w:bdr w:val="none" w:sz="0" w:space="0" w:color="auto" w:frame="1"/>
        </w:rPr>
        <w:t xml:space="preserve"> kaotsimineku eest, mis on tingitud tõrkest või häkkimisest, kuni kaotsiläinud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turuväärtuses, kui </w:t>
      </w:r>
      <w:proofErr w:type="spellStart"/>
      <w:r w:rsidR="00034473" w:rsidRPr="00034473">
        <w:rPr>
          <w:color w:val="000000"/>
          <w:sz w:val="22"/>
          <w:szCs w:val="22"/>
          <w:bdr w:val="none" w:sz="0" w:space="0" w:color="auto" w:frame="1"/>
        </w:rPr>
        <w:t>krüptovara</w:t>
      </w:r>
      <w:proofErr w:type="spellEnd"/>
      <w:r w:rsidR="00034473" w:rsidRPr="00034473">
        <w:rPr>
          <w:color w:val="000000"/>
          <w:sz w:val="22"/>
          <w:szCs w:val="22"/>
          <w:bdr w:val="none" w:sz="0" w:space="0" w:color="auto" w:frame="1"/>
        </w:rPr>
        <w:t xml:space="preserve"> kaotsiminek või </w:t>
      </w:r>
      <w:proofErr w:type="spellStart"/>
      <w:r w:rsidR="00034473" w:rsidRPr="00034473">
        <w:rPr>
          <w:color w:val="000000"/>
          <w:sz w:val="22"/>
          <w:szCs w:val="22"/>
          <w:bdr w:val="none" w:sz="0" w:space="0" w:color="auto" w:frame="1"/>
        </w:rPr>
        <w:t>krüptovaradele</w:t>
      </w:r>
      <w:proofErr w:type="spellEnd"/>
      <w:r w:rsidR="00034473" w:rsidRPr="00034473">
        <w:rPr>
          <w:color w:val="000000"/>
          <w:sz w:val="22"/>
          <w:szCs w:val="22"/>
          <w:bdr w:val="none" w:sz="0" w:space="0" w:color="auto" w:frame="1"/>
        </w:rPr>
        <w:t xml:space="preserve"> ligipääs oli tingitud teenuse osutamise korra rikkumisest või </w:t>
      </w:r>
      <w:proofErr w:type="spellStart"/>
      <w:r w:rsidR="00034473" w:rsidRPr="00034473">
        <w:rPr>
          <w:color w:val="000000"/>
          <w:sz w:val="22"/>
          <w:szCs w:val="22"/>
          <w:bdr w:val="none" w:sz="0" w:space="0" w:color="auto" w:frame="1"/>
        </w:rPr>
        <w:t>krüptovarateenuse</w:t>
      </w:r>
      <w:proofErr w:type="spellEnd"/>
      <w:r w:rsidR="00034473" w:rsidRPr="00034473">
        <w:rPr>
          <w:color w:val="000000"/>
          <w:sz w:val="22"/>
          <w:szCs w:val="22"/>
          <w:bdr w:val="none" w:sz="0" w:space="0" w:color="auto" w:frame="1"/>
        </w:rPr>
        <w:t xml:space="preserve"> osutaja tegevusest. </w:t>
      </w:r>
    </w:p>
    <w:p w14:paraId="49BB21D9" w14:textId="2B0E6A0F" w:rsidR="00B17BBF" w:rsidRPr="00B3086F" w:rsidRDefault="00B17BBF" w:rsidP="00B82E7B">
      <w:pPr>
        <w:spacing w:before="0"/>
        <w:rPr>
          <w:b/>
          <w:sz w:val="22"/>
          <w:szCs w:val="22"/>
        </w:rPr>
      </w:pPr>
    </w:p>
    <w:p w14:paraId="3BB16C25" w14:textId="5C0064DC" w:rsidR="00A46C71" w:rsidRPr="00D57201" w:rsidRDefault="00A46C71" w:rsidP="00A46C71">
      <w:pPr>
        <w:spacing w:before="0"/>
        <w:rPr>
          <w:sz w:val="22"/>
          <w:szCs w:val="22"/>
        </w:rPr>
      </w:pPr>
      <w:r w:rsidRPr="00D57201">
        <w:rPr>
          <w:b/>
          <w:sz w:val="22"/>
          <w:szCs w:val="22"/>
        </w:rPr>
        <w:t>Paragrahv 55</w:t>
      </w:r>
      <w:r w:rsidRPr="00D57201">
        <w:rPr>
          <w:sz w:val="22"/>
          <w:szCs w:val="22"/>
        </w:rPr>
        <w:t xml:space="preserve"> sätestab tegevusnõuded teenuseosutajale, kes osutab </w:t>
      </w:r>
      <w:proofErr w:type="spellStart"/>
      <w:r w:rsidR="005B38C1" w:rsidRPr="00D57201">
        <w:rPr>
          <w:sz w:val="22"/>
          <w:szCs w:val="22"/>
        </w:rPr>
        <w:t>krüptovara</w:t>
      </w:r>
      <w:proofErr w:type="spellEnd"/>
      <w:r w:rsidRPr="00D57201">
        <w:rPr>
          <w:sz w:val="22"/>
          <w:szCs w:val="22"/>
        </w:rPr>
        <w:t xml:space="preserve"> kauplemise platvormi korraldamise teenust. Paragrahvi sätted põhinevad </w:t>
      </w:r>
      <w:proofErr w:type="spellStart"/>
      <w:r w:rsidRPr="00D57201">
        <w:rPr>
          <w:sz w:val="22"/>
          <w:szCs w:val="22"/>
        </w:rPr>
        <w:t>MiCA</w:t>
      </w:r>
      <w:proofErr w:type="spellEnd"/>
      <w:r w:rsidRPr="00D57201">
        <w:rPr>
          <w:sz w:val="22"/>
          <w:szCs w:val="22"/>
        </w:rPr>
        <w:t xml:space="preserve"> </w:t>
      </w:r>
      <w:r w:rsidR="005B38C1" w:rsidRPr="00D57201">
        <w:rPr>
          <w:sz w:val="22"/>
          <w:szCs w:val="22"/>
        </w:rPr>
        <w:t xml:space="preserve">ettepaneku </w:t>
      </w:r>
      <w:r w:rsidRPr="00D57201">
        <w:rPr>
          <w:sz w:val="22"/>
          <w:szCs w:val="22"/>
        </w:rPr>
        <w:t>artiklil 68.</w:t>
      </w:r>
    </w:p>
    <w:p w14:paraId="208EA734" w14:textId="77777777" w:rsidR="00A46C71" w:rsidRPr="00D57201" w:rsidRDefault="00A46C71" w:rsidP="00A46C71">
      <w:pPr>
        <w:spacing w:before="0"/>
        <w:rPr>
          <w:sz w:val="22"/>
          <w:szCs w:val="22"/>
        </w:rPr>
      </w:pPr>
    </w:p>
    <w:p w14:paraId="1BB1459E" w14:textId="474C858F" w:rsidR="00A46C71" w:rsidRPr="00D57201" w:rsidRDefault="00A46C71" w:rsidP="00A46C71">
      <w:pPr>
        <w:spacing w:before="0"/>
        <w:rPr>
          <w:sz w:val="22"/>
          <w:szCs w:val="22"/>
        </w:rPr>
      </w:pPr>
      <w:r w:rsidRPr="00D57201">
        <w:rPr>
          <w:b/>
          <w:sz w:val="22"/>
          <w:szCs w:val="22"/>
        </w:rPr>
        <w:t xml:space="preserve">Lõike 1 </w:t>
      </w:r>
      <w:r w:rsidRPr="00D57201">
        <w:rPr>
          <w:sz w:val="22"/>
          <w:szCs w:val="22"/>
        </w:rPr>
        <w:t xml:space="preserve">kohaselt peab </w:t>
      </w:r>
      <w:proofErr w:type="spellStart"/>
      <w:r w:rsidR="005B38C1" w:rsidRPr="00D57201">
        <w:rPr>
          <w:sz w:val="22"/>
          <w:szCs w:val="22"/>
        </w:rPr>
        <w:t>krüptovara</w:t>
      </w:r>
      <w:proofErr w:type="spellEnd"/>
      <w:r w:rsidRPr="00D57201">
        <w:rPr>
          <w:sz w:val="22"/>
          <w:szCs w:val="22"/>
        </w:rPr>
        <w:t xml:space="preserve"> kauplemise platvormi korraldamise teenuse osutaja oma tegevuses rakendama selgeid kasutuseeskirju. Nimetatud eeskirjad peavad hõlmama vähemalt sama lõike punktides 1-6 nimetatud aspekte. </w:t>
      </w:r>
    </w:p>
    <w:p w14:paraId="7AC87C10" w14:textId="77777777" w:rsidR="00A46C71" w:rsidRPr="00D57201" w:rsidRDefault="00A46C71" w:rsidP="00A46C71">
      <w:pPr>
        <w:spacing w:before="0"/>
        <w:rPr>
          <w:sz w:val="22"/>
          <w:szCs w:val="22"/>
        </w:rPr>
      </w:pPr>
    </w:p>
    <w:p w14:paraId="784C5E75" w14:textId="4231C643" w:rsidR="00A46C71" w:rsidRPr="00D57201" w:rsidRDefault="00A46C71" w:rsidP="00A46C71">
      <w:pPr>
        <w:spacing w:before="0"/>
        <w:rPr>
          <w:sz w:val="22"/>
          <w:szCs w:val="22"/>
        </w:rPr>
      </w:pPr>
      <w:r w:rsidRPr="00D57201">
        <w:rPr>
          <w:b/>
          <w:sz w:val="22"/>
          <w:szCs w:val="22"/>
        </w:rPr>
        <w:t xml:space="preserve">Lõike 2 </w:t>
      </w:r>
      <w:r w:rsidRPr="00D57201">
        <w:rPr>
          <w:sz w:val="22"/>
          <w:szCs w:val="22"/>
        </w:rPr>
        <w:t xml:space="preserve">järgi peab sama paragrahvi lõikes 1 nimetatud kasutuseeskirju kohaldama ühetaoliselt kõikidele </w:t>
      </w:r>
      <w:proofErr w:type="spellStart"/>
      <w:r w:rsidR="005B38C1" w:rsidRPr="00D57201">
        <w:rPr>
          <w:sz w:val="22"/>
          <w:szCs w:val="22"/>
        </w:rPr>
        <w:t>krüptovaradele</w:t>
      </w:r>
      <w:proofErr w:type="spellEnd"/>
      <w:r w:rsidRPr="00D57201">
        <w:rPr>
          <w:sz w:val="22"/>
          <w:szCs w:val="22"/>
        </w:rPr>
        <w:t>, millega on võimalik platvormil kaubelda, ning teenuse klientidele. Teisisõnu on tegemist virtuaalvääringu teenuse osutajale suunatud klientide diskrimineerimise keeluga.</w:t>
      </w:r>
      <w:r w:rsidR="00F13E34" w:rsidRPr="00D57201">
        <w:rPr>
          <w:sz w:val="22"/>
          <w:szCs w:val="22"/>
        </w:rPr>
        <w:t xml:space="preserve"> Sama lõike teise lause kohaselt tuleb hoolsuskohustuse raames tagada, et </w:t>
      </w:r>
      <w:proofErr w:type="spellStart"/>
      <w:r w:rsidR="00F13E34" w:rsidRPr="00D57201">
        <w:rPr>
          <w:sz w:val="22"/>
          <w:szCs w:val="22"/>
        </w:rPr>
        <w:t>krüptovara</w:t>
      </w:r>
      <w:proofErr w:type="spellEnd"/>
      <w:r w:rsidR="00F13E34" w:rsidRPr="00D57201">
        <w:rPr>
          <w:sz w:val="22"/>
          <w:szCs w:val="22"/>
        </w:rPr>
        <w:t xml:space="preserve"> kauplemise võimaldamisel ei ületa teenusepakkuja oma tegevusloa ulatust ja võtab asjakohaseid meetmeid, et </w:t>
      </w:r>
      <w:proofErr w:type="spellStart"/>
      <w:r w:rsidR="00F13E34" w:rsidRPr="00D57201">
        <w:rPr>
          <w:sz w:val="22"/>
          <w:szCs w:val="22"/>
        </w:rPr>
        <w:t>krüptovara</w:t>
      </w:r>
      <w:proofErr w:type="spellEnd"/>
      <w:r w:rsidR="00F13E34" w:rsidRPr="00D57201">
        <w:rPr>
          <w:sz w:val="22"/>
          <w:szCs w:val="22"/>
        </w:rPr>
        <w:t xml:space="preserve"> ei kvalifitseeruks e-rahaks või väärtpaberiks. </w:t>
      </w:r>
    </w:p>
    <w:p w14:paraId="24D09708" w14:textId="77777777" w:rsidR="00A46C71" w:rsidRPr="00D57201" w:rsidRDefault="00A46C71" w:rsidP="00A46C71">
      <w:pPr>
        <w:spacing w:before="0"/>
        <w:rPr>
          <w:sz w:val="22"/>
          <w:szCs w:val="22"/>
        </w:rPr>
      </w:pPr>
    </w:p>
    <w:p w14:paraId="713ED05D" w14:textId="3CAF86B4" w:rsidR="00A46C71" w:rsidRPr="00D57201" w:rsidRDefault="00A46C71" w:rsidP="00A46C71">
      <w:pPr>
        <w:spacing w:before="0"/>
        <w:rPr>
          <w:sz w:val="22"/>
          <w:szCs w:val="22"/>
        </w:rPr>
      </w:pPr>
      <w:r w:rsidRPr="00D57201">
        <w:rPr>
          <w:b/>
          <w:sz w:val="22"/>
          <w:szCs w:val="22"/>
        </w:rPr>
        <w:t xml:space="preserve">Lõike 3 </w:t>
      </w:r>
      <w:r w:rsidRPr="00D57201">
        <w:rPr>
          <w:sz w:val="22"/>
          <w:szCs w:val="22"/>
        </w:rPr>
        <w:t xml:space="preserve">alusel ei ole lubatud </w:t>
      </w:r>
      <w:proofErr w:type="spellStart"/>
      <w:r w:rsidR="00E21EC5" w:rsidRPr="00D57201">
        <w:rPr>
          <w:sz w:val="22"/>
          <w:szCs w:val="22"/>
        </w:rPr>
        <w:t>krüptovara</w:t>
      </w:r>
      <w:proofErr w:type="spellEnd"/>
      <w:r w:rsidR="00E21EC5" w:rsidRPr="00D57201">
        <w:rPr>
          <w:sz w:val="22"/>
          <w:szCs w:val="22"/>
        </w:rPr>
        <w:t xml:space="preserve"> </w:t>
      </w:r>
      <w:r w:rsidRPr="00D57201">
        <w:rPr>
          <w:sz w:val="22"/>
          <w:szCs w:val="22"/>
        </w:rPr>
        <w:t xml:space="preserve">võtta kauplemisele </w:t>
      </w:r>
      <w:proofErr w:type="spellStart"/>
      <w:r w:rsidR="00E21EC5" w:rsidRPr="00D57201">
        <w:rPr>
          <w:sz w:val="22"/>
          <w:szCs w:val="22"/>
        </w:rPr>
        <w:t>krüptovaraga</w:t>
      </w:r>
      <w:proofErr w:type="spellEnd"/>
      <w:r w:rsidR="00E21EC5" w:rsidRPr="00D57201">
        <w:rPr>
          <w:sz w:val="22"/>
          <w:szCs w:val="22"/>
        </w:rPr>
        <w:t xml:space="preserve"> </w:t>
      </w:r>
      <w:r w:rsidRPr="00D57201">
        <w:rPr>
          <w:sz w:val="22"/>
          <w:szCs w:val="22"/>
        </w:rPr>
        <w:t>kauplemise platvormil, kui ei ole võimalik rakendada sama paragrahvi lõikes 1 nimetatud eeskirju.</w:t>
      </w:r>
    </w:p>
    <w:p w14:paraId="11CC8469" w14:textId="77777777" w:rsidR="00A46C71" w:rsidRPr="00D57201" w:rsidRDefault="00A46C71" w:rsidP="00A46C71">
      <w:pPr>
        <w:spacing w:before="0"/>
        <w:rPr>
          <w:sz w:val="22"/>
          <w:szCs w:val="22"/>
        </w:rPr>
      </w:pPr>
    </w:p>
    <w:p w14:paraId="6E007719" w14:textId="0EAD2FB7" w:rsidR="00A46C71" w:rsidRPr="00D57201" w:rsidRDefault="00A46C71" w:rsidP="00A46C71">
      <w:pPr>
        <w:spacing w:before="0"/>
        <w:rPr>
          <w:sz w:val="22"/>
          <w:szCs w:val="22"/>
        </w:rPr>
      </w:pPr>
      <w:r w:rsidRPr="00D57201">
        <w:rPr>
          <w:b/>
          <w:sz w:val="22"/>
          <w:szCs w:val="22"/>
        </w:rPr>
        <w:t xml:space="preserve">Lõike 4 </w:t>
      </w:r>
      <w:r w:rsidRPr="00D57201">
        <w:rPr>
          <w:sz w:val="22"/>
          <w:szCs w:val="22"/>
        </w:rPr>
        <w:t xml:space="preserve">järgi ei ole </w:t>
      </w:r>
      <w:proofErr w:type="spellStart"/>
      <w:r w:rsidR="00E21EC5" w:rsidRPr="00D57201">
        <w:rPr>
          <w:sz w:val="22"/>
          <w:szCs w:val="22"/>
        </w:rPr>
        <w:t>krüptovaraga</w:t>
      </w:r>
      <w:proofErr w:type="spellEnd"/>
      <w:r w:rsidR="00E21EC5" w:rsidRPr="00D57201">
        <w:rPr>
          <w:sz w:val="22"/>
          <w:szCs w:val="22"/>
        </w:rPr>
        <w:t xml:space="preserve"> kauplemise platvormi korraldamise teenuse osutajal </w:t>
      </w:r>
      <w:r w:rsidRPr="00D57201">
        <w:rPr>
          <w:sz w:val="22"/>
          <w:szCs w:val="22"/>
        </w:rPr>
        <w:t xml:space="preserve">lubatud kaubelda oma nimel ja arvel </w:t>
      </w:r>
      <w:proofErr w:type="spellStart"/>
      <w:r w:rsidR="00E21EC5" w:rsidRPr="00D57201">
        <w:rPr>
          <w:sz w:val="22"/>
          <w:szCs w:val="22"/>
        </w:rPr>
        <w:t>krüptovaraga</w:t>
      </w:r>
      <w:proofErr w:type="spellEnd"/>
      <w:r w:rsidRPr="00D57201">
        <w:rPr>
          <w:sz w:val="22"/>
          <w:szCs w:val="22"/>
        </w:rPr>
        <w:t xml:space="preserve"> kauplemise platvormil, mida ta ise </w:t>
      </w:r>
      <w:r w:rsidR="00E21EC5" w:rsidRPr="00D57201">
        <w:rPr>
          <w:sz w:val="22"/>
          <w:szCs w:val="22"/>
        </w:rPr>
        <w:t>peab; välja arvatud juhul, kui teenuseosutaja teeb oma arvel kauplemist ostu- ja müügihuvide sobitamisel vastavalt sama seaduse § 40 lõikes 7 sätestatule</w:t>
      </w:r>
      <w:r w:rsidRPr="00D57201">
        <w:rPr>
          <w:sz w:val="22"/>
          <w:szCs w:val="22"/>
        </w:rPr>
        <w:t xml:space="preserve">. </w:t>
      </w:r>
      <w:r w:rsidR="00E21EC5" w:rsidRPr="00D57201">
        <w:rPr>
          <w:sz w:val="22"/>
          <w:szCs w:val="22"/>
        </w:rPr>
        <w:t>Üldiselt on n</w:t>
      </w:r>
      <w:r w:rsidRPr="00D57201">
        <w:rPr>
          <w:sz w:val="22"/>
          <w:szCs w:val="22"/>
        </w:rPr>
        <w:t>imetatud keeld mõeldud vältimaks huvide konflikti ja turukuritarvitamist</w:t>
      </w:r>
      <w:r w:rsidR="00E21EC5" w:rsidRPr="00D57201">
        <w:rPr>
          <w:sz w:val="22"/>
          <w:szCs w:val="22"/>
        </w:rPr>
        <w:t xml:space="preserve">, kuid käesolevas lõikes sätestatud erandi kohaselt on oma nimel ja arvel kauplemine lubatud ostu- ja müügihuvide sobitamisel. Viidatud sobitamine on lubatud ka </w:t>
      </w:r>
      <w:proofErr w:type="spellStart"/>
      <w:r w:rsidR="00E21EC5" w:rsidRPr="00D57201">
        <w:rPr>
          <w:sz w:val="22"/>
          <w:szCs w:val="22"/>
        </w:rPr>
        <w:t>MiCA</w:t>
      </w:r>
      <w:proofErr w:type="spellEnd"/>
      <w:r w:rsidR="00E21EC5" w:rsidRPr="00D57201">
        <w:rPr>
          <w:sz w:val="22"/>
          <w:szCs w:val="22"/>
        </w:rPr>
        <w:t xml:space="preserve"> ettepaneku viimase versiooni artikli 68 lõike 3a alusel</w:t>
      </w:r>
      <w:r w:rsidRPr="00D57201">
        <w:rPr>
          <w:sz w:val="22"/>
          <w:szCs w:val="22"/>
        </w:rPr>
        <w:t>.</w:t>
      </w:r>
    </w:p>
    <w:p w14:paraId="22E5FAD0" w14:textId="77777777" w:rsidR="00A46C71" w:rsidRPr="00D57201" w:rsidRDefault="00A46C71" w:rsidP="00A46C71">
      <w:pPr>
        <w:spacing w:before="0"/>
        <w:rPr>
          <w:sz w:val="22"/>
          <w:szCs w:val="22"/>
        </w:rPr>
      </w:pPr>
    </w:p>
    <w:p w14:paraId="6BD3B36F" w14:textId="60CC4A02" w:rsidR="00A46C71" w:rsidRPr="00D57201" w:rsidRDefault="00A46C71" w:rsidP="00A46C71">
      <w:pPr>
        <w:spacing w:before="0"/>
        <w:rPr>
          <w:sz w:val="22"/>
          <w:szCs w:val="22"/>
        </w:rPr>
      </w:pPr>
      <w:r w:rsidRPr="00D57201">
        <w:rPr>
          <w:b/>
          <w:sz w:val="22"/>
          <w:szCs w:val="22"/>
        </w:rPr>
        <w:t xml:space="preserve">Lõike 5 </w:t>
      </w:r>
      <w:r w:rsidRPr="00D57201">
        <w:rPr>
          <w:sz w:val="22"/>
          <w:szCs w:val="22"/>
        </w:rPr>
        <w:t xml:space="preserve">kohaselt on </w:t>
      </w:r>
      <w:proofErr w:type="spellStart"/>
      <w:r w:rsidR="0016484C" w:rsidRPr="00D57201">
        <w:rPr>
          <w:sz w:val="22"/>
          <w:szCs w:val="22"/>
        </w:rPr>
        <w:t>krüptovara</w:t>
      </w:r>
      <w:r w:rsidRPr="00D57201">
        <w:rPr>
          <w:sz w:val="22"/>
          <w:szCs w:val="22"/>
        </w:rPr>
        <w:t>teenuse</w:t>
      </w:r>
      <w:proofErr w:type="spellEnd"/>
      <w:r w:rsidRPr="00D57201">
        <w:rPr>
          <w:sz w:val="22"/>
          <w:szCs w:val="22"/>
        </w:rPr>
        <w:t xml:space="preserve"> osutaja, kes osutab </w:t>
      </w:r>
      <w:proofErr w:type="spellStart"/>
      <w:r w:rsidR="004912A6" w:rsidRPr="00D57201">
        <w:rPr>
          <w:sz w:val="22"/>
          <w:szCs w:val="22"/>
        </w:rPr>
        <w:t>krüptovaraga</w:t>
      </w:r>
      <w:proofErr w:type="spellEnd"/>
      <w:r w:rsidRPr="00D57201">
        <w:rPr>
          <w:sz w:val="22"/>
          <w:szCs w:val="22"/>
        </w:rPr>
        <w:t xml:space="preserve"> kauplemise platvormi teenust, on kohustatud rakendama asjakohaseid süsteeme, protseduure ja lahendusi, mis tagaksid, et teenuseosutaja poolt pakutavad kauplemissüsteemid täidaksid sama lõike punktides 1-5 nimetatud tingimusi.</w:t>
      </w:r>
    </w:p>
    <w:p w14:paraId="33979A2B" w14:textId="77777777" w:rsidR="00A46C71" w:rsidRPr="00D57201" w:rsidRDefault="00A46C71" w:rsidP="00A46C71">
      <w:pPr>
        <w:spacing w:before="0"/>
        <w:rPr>
          <w:sz w:val="22"/>
          <w:szCs w:val="22"/>
        </w:rPr>
      </w:pPr>
    </w:p>
    <w:p w14:paraId="5A022C60" w14:textId="5502D970" w:rsidR="00A46C71" w:rsidRPr="00D57201" w:rsidRDefault="00A46C71" w:rsidP="00A46C71">
      <w:pPr>
        <w:spacing w:before="0"/>
        <w:rPr>
          <w:sz w:val="22"/>
          <w:szCs w:val="22"/>
        </w:rPr>
      </w:pPr>
      <w:r w:rsidRPr="004A5C3A">
        <w:rPr>
          <w:b/>
          <w:sz w:val="22"/>
          <w:szCs w:val="22"/>
        </w:rPr>
        <w:t xml:space="preserve">Lõike 6 </w:t>
      </w:r>
      <w:r w:rsidRPr="004A5C3A">
        <w:rPr>
          <w:sz w:val="22"/>
          <w:szCs w:val="22"/>
        </w:rPr>
        <w:t xml:space="preserve">järgi tuleb virtuaalvääringu teenuse osutajal teavitada </w:t>
      </w:r>
      <w:r w:rsidR="00DE5125" w:rsidRPr="004A5C3A">
        <w:rPr>
          <w:sz w:val="22"/>
          <w:szCs w:val="22"/>
        </w:rPr>
        <w:t>viivitamata</w:t>
      </w:r>
      <w:r w:rsidRPr="00D57201">
        <w:rPr>
          <w:sz w:val="22"/>
          <w:szCs w:val="22"/>
        </w:rPr>
        <w:t xml:space="preserve"> Finantsinspektsiooni, kui ta avastab turumanipulatsiooni toimepanemise või turumanipulatsiooni toimepanemise katse tema poolt</w:t>
      </w:r>
      <w:r w:rsidR="00DE5125" w:rsidRPr="00D57201">
        <w:rPr>
          <w:sz w:val="22"/>
          <w:szCs w:val="22"/>
        </w:rPr>
        <w:t xml:space="preserve"> peetaval</w:t>
      </w:r>
      <w:r w:rsidRPr="00D57201">
        <w:rPr>
          <w:sz w:val="22"/>
          <w:szCs w:val="22"/>
        </w:rPr>
        <w:t xml:space="preserve"> </w:t>
      </w:r>
      <w:proofErr w:type="spellStart"/>
      <w:r w:rsidR="00DE5125" w:rsidRPr="00D57201">
        <w:rPr>
          <w:sz w:val="22"/>
          <w:szCs w:val="22"/>
        </w:rPr>
        <w:t>krüptovara</w:t>
      </w:r>
      <w:proofErr w:type="spellEnd"/>
      <w:r w:rsidRPr="00D57201">
        <w:rPr>
          <w:sz w:val="22"/>
          <w:szCs w:val="22"/>
        </w:rPr>
        <w:t xml:space="preserve"> kauplemise platvormil.</w:t>
      </w:r>
    </w:p>
    <w:p w14:paraId="206D4707" w14:textId="77777777" w:rsidR="00A46C71" w:rsidRPr="00D57201" w:rsidRDefault="00A46C71" w:rsidP="00A46C71">
      <w:pPr>
        <w:spacing w:before="0"/>
        <w:rPr>
          <w:sz w:val="22"/>
          <w:szCs w:val="22"/>
        </w:rPr>
      </w:pPr>
    </w:p>
    <w:p w14:paraId="1B4A9D74" w14:textId="4ECB4D5E" w:rsidR="00A46C71" w:rsidRPr="00D57201" w:rsidRDefault="00A46C71" w:rsidP="00A46C71">
      <w:pPr>
        <w:spacing w:before="0"/>
        <w:rPr>
          <w:sz w:val="22"/>
          <w:szCs w:val="22"/>
        </w:rPr>
      </w:pPr>
      <w:r w:rsidRPr="00D57201">
        <w:rPr>
          <w:b/>
          <w:sz w:val="22"/>
          <w:szCs w:val="22"/>
        </w:rPr>
        <w:t xml:space="preserve">Lõike 7 </w:t>
      </w:r>
      <w:r w:rsidRPr="00D57201">
        <w:rPr>
          <w:sz w:val="22"/>
          <w:szCs w:val="22"/>
        </w:rPr>
        <w:t xml:space="preserve">kohaselt tuleb </w:t>
      </w:r>
      <w:proofErr w:type="spellStart"/>
      <w:r w:rsidR="00DE5125" w:rsidRPr="00D57201">
        <w:rPr>
          <w:sz w:val="22"/>
          <w:szCs w:val="22"/>
        </w:rPr>
        <w:t>krüptovara</w:t>
      </w:r>
      <w:r w:rsidRPr="00D57201">
        <w:rPr>
          <w:sz w:val="22"/>
          <w:szCs w:val="22"/>
        </w:rPr>
        <w:t>teenuse</w:t>
      </w:r>
      <w:proofErr w:type="spellEnd"/>
      <w:r w:rsidRPr="00D57201">
        <w:rPr>
          <w:sz w:val="22"/>
          <w:szCs w:val="22"/>
        </w:rPr>
        <w:t xml:space="preserve"> osutajal avalikustada </w:t>
      </w:r>
      <w:r w:rsidR="00DE5125" w:rsidRPr="00D57201">
        <w:rPr>
          <w:sz w:val="22"/>
          <w:szCs w:val="22"/>
        </w:rPr>
        <w:t xml:space="preserve">või vähemalt klientidele kättesaadavaks teha </w:t>
      </w:r>
      <w:r w:rsidRPr="00D57201">
        <w:rPr>
          <w:sz w:val="22"/>
          <w:szCs w:val="22"/>
        </w:rPr>
        <w:t xml:space="preserve">enda poolt </w:t>
      </w:r>
      <w:r w:rsidR="00DE5125" w:rsidRPr="00D57201">
        <w:rPr>
          <w:sz w:val="22"/>
          <w:szCs w:val="22"/>
        </w:rPr>
        <w:t>peetaval</w:t>
      </w:r>
      <w:r w:rsidRPr="00D57201">
        <w:rPr>
          <w:sz w:val="22"/>
          <w:szCs w:val="22"/>
        </w:rPr>
        <w:t xml:space="preserve"> </w:t>
      </w:r>
      <w:proofErr w:type="spellStart"/>
      <w:r w:rsidR="00DE5125" w:rsidRPr="00D57201">
        <w:rPr>
          <w:sz w:val="22"/>
          <w:szCs w:val="22"/>
        </w:rPr>
        <w:t>krüptovaraga</w:t>
      </w:r>
      <w:proofErr w:type="spellEnd"/>
      <w:r w:rsidRPr="00D57201">
        <w:rPr>
          <w:sz w:val="22"/>
          <w:szCs w:val="22"/>
        </w:rPr>
        <w:t xml:space="preserve"> kauplemise platvormil tehingute aja, tehingu esemeks oleva </w:t>
      </w:r>
      <w:proofErr w:type="spellStart"/>
      <w:r w:rsidR="00DE5125" w:rsidRPr="00D57201">
        <w:rPr>
          <w:sz w:val="22"/>
          <w:szCs w:val="22"/>
        </w:rPr>
        <w:t>krüptovara</w:t>
      </w:r>
      <w:proofErr w:type="spellEnd"/>
      <w:r w:rsidRPr="00D57201">
        <w:rPr>
          <w:sz w:val="22"/>
          <w:szCs w:val="22"/>
        </w:rPr>
        <w:t xml:space="preserve"> hinna ning koguse. Nimetatud andmed </w:t>
      </w:r>
      <w:r w:rsidR="00DE5125" w:rsidRPr="00D57201">
        <w:rPr>
          <w:sz w:val="22"/>
          <w:szCs w:val="22"/>
        </w:rPr>
        <w:t xml:space="preserve">tehakse kättesaadavaks või </w:t>
      </w:r>
      <w:r w:rsidRPr="00D57201">
        <w:rPr>
          <w:sz w:val="22"/>
          <w:szCs w:val="22"/>
        </w:rPr>
        <w:t>avalikustatakse niivõrd lähedal reaalajale, kui see on tehniliselt võimalik.</w:t>
      </w:r>
    </w:p>
    <w:p w14:paraId="188730AD" w14:textId="77777777" w:rsidR="00A46C71" w:rsidRPr="00D57201" w:rsidRDefault="00A46C71" w:rsidP="00A46C71">
      <w:pPr>
        <w:spacing w:before="0"/>
        <w:rPr>
          <w:sz w:val="22"/>
          <w:szCs w:val="22"/>
        </w:rPr>
      </w:pPr>
    </w:p>
    <w:p w14:paraId="156325E8" w14:textId="5AB7918C" w:rsidR="00A46C71" w:rsidRPr="00D57201" w:rsidRDefault="00A46C71" w:rsidP="00A46C71">
      <w:pPr>
        <w:spacing w:before="0"/>
        <w:rPr>
          <w:sz w:val="22"/>
          <w:szCs w:val="22"/>
        </w:rPr>
      </w:pPr>
      <w:r w:rsidRPr="00D57201">
        <w:rPr>
          <w:b/>
          <w:sz w:val="22"/>
          <w:szCs w:val="22"/>
        </w:rPr>
        <w:t xml:space="preserve">Lõike 8 </w:t>
      </w:r>
      <w:r w:rsidRPr="00D57201">
        <w:rPr>
          <w:sz w:val="22"/>
          <w:szCs w:val="22"/>
        </w:rPr>
        <w:t xml:space="preserve">järgi alustab </w:t>
      </w:r>
      <w:proofErr w:type="spellStart"/>
      <w:r w:rsidR="00DE5125" w:rsidRPr="00D57201">
        <w:rPr>
          <w:sz w:val="22"/>
          <w:szCs w:val="22"/>
        </w:rPr>
        <w:t>krüptovaraga</w:t>
      </w:r>
      <w:proofErr w:type="spellEnd"/>
      <w:r w:rsidRPr="00D57201">
        <w:rPr>
          <w:sz w:val="22"/>
          <w:szCs w:val="22"/>
        </w:rPr>
        <w:t xml:space="preserve"> kauplemise platvormi teenuse osutaja virtuaalvääringutega seotud arveldustehinguga hiljemalt 24 tunni jooksul pärast seda, kui vastav tehing on </w:t>
      </w:r>
      <w:r w:rsidR="00DE5125" w:rsidRPr="00D57201">
        <w:rPr>
          <w:sz w:val="22"/>
          <w:szCs w:val="22"/>
        </w:rPr>
        <w:t>toimunud</w:t>
      </w:r>
      <w:r w:rsidRPr="00D57201">
        <w:rPr>
          <w:sz w:val="22"/>
          <w:szCs w:val="22"/>
        </w:rPr>
        <w:t>.</w:t>
      </w:r>
    </w:p>
    <w:p w14:paraId="17B1EC95" w14:textId="77777777" w:rsidR="00A46C71" w:rsidRPr="00D57201" w:rsidRDefault="00A46C71" w:rsidP="00A46C71">
      <w:pPr>
        <w:spacing w:before="0"/>
        <w:rPr>
          <w:sz w:val="22"/>
          <w:szCs w:val="22"/>
        </w:rPr>
      </w:pPr>
    </w:p>
    <w:p w14:paraId="1FCDC58E" w14:textId="16E87466" w:rsidR="00A46C71" w:rsidRPr="00D57201" w:rsidRDefault="00A46C71" w:rsidP="00A46C71">
      <w:pPr>
        <w:spacing w:before="0"/>
        <w:rPr>
          <w:sz w:val="22"/>
          <w:szCs w:val="22"/>
        </w:rPr>
      </w:pPr>
      <w:r w:rsidRPr="00D57201">
        <w:rPr>
          <w:b/>
          <w:sz w:val="22"/>
          <w:szCs w:val="22"/>
        </w:rPr>
        <w:t xml:space="preserve">Lõike 9 </w:t>
      </w:r>
      <w:r w:rsidRPr="00D57201">
        <w:rPr>
          <w:sz w:val="22"/>
          <w:szCs w:val="22"/>
        </w:rPr>
        <w:t xml:space="preserve">kohaselt tuleb </w:t>
      </w:r>
      <w:proofErr w:type="spellStart"/>
      <w:r w:rsidR="00DE5125" w:rsidRPr="00D57201">
        <w:rPr>
          <w:sz w:val="22"/>
          <w:szCs w:val="22"/>
        </w:rPr>
        <w:t>krüptovaraga</w:t>
      </w:r>
      <w:proofErr w:type="spellEnd"/>
      <w:r w:rsidRPr="00D57201">
        <w:rPr>
          <w:sz w:val="22"/>
          <w:szCs w:val="22"/>
        </w:rPr>
        <w:t xml:space="preserve"> kauplemise platvormi teenuse osutajal varundada käesoleva paragrahvi lõikes 7 nimetatud andmeid selliselt, et neid oleks igal ajal võimalik edastada Finantsinspektsioonile.</w:t>
      </w:r>
    </w:p>
    <w:p w14:paraId="63078E53" w14:textId="3369876D" w:rsidR="00B17BBF" w:rsidRPr="00D57201" w:rsidRDefault="00B17BBF" w:rsidP="00B82E7B">
      <w:pPr>
        <w:spacing w:before="0"/>
        <w:rPr>
          <w:b/>
          <w:sz w:val="22"/>
          <w:szCs w:val="22"/>
        </w:rPr>
      </w:pPr>
    </w:p>
    <w:p w14:paraId="4A2EE13D" w14:textId="45952824" w:rsidR="00DE5125" w:rsidRPr="00D57201" w:rsidRDefault="00DE5125" w:rsidP="00DE5125">
      <w:pPr>
        <w:spacing w:before="0"/>
        <w:rPr>
          <w:b/>
          <w:sz w:val="22"/>
          <w:szCs w:val="22"/>
        </w:rPr>
      </w:pPr>
      <w:r w:rsidRPr="00D57201">
        <w:rPr>
          <w:b/>
          <w:sz w:val="22"/>
          <w:szCs w:val="22"/>
        </w:rPr>
        <w:lastRenderedPageBreak/>
        <w:t xml:space="preserve">Paragrahvis 56 </w:t>
      </w:r>
      <w:r w:rsidRPr="00D57201">
        <w:rPr>
          <w:sz w:val="22"/>
          <w:szCs w:val="22"/>
        </w:rPr>
        <w:t xml:space="preserve">on ette nähtud erinõuded </w:t>
      </w:r>
      <w:proofErr w:type="spellStart"/>
      <w:r w:rsidRPr="00D57201">
        <w:rPr>
          <w:sz w:val="22"/>
          <w:szCs w:val="22"/>
        </w:rPr>
        <w:t>krüptovara</w:t>
      </w:r>
      <w:proofErr w:type="spellEnd"/>
      <w:r w:rsidRPr="00D57201">
        <w:rPr>
          <w:sz w:val="22"/>
          <w:szCs w:val="22"/>
        </w:rPr>
        <w:t xml:space="preserve"> vahetamise teenuse osutajale. Käesoleva paragrahvi sätted põhinevad EL </w:t>
      </w:r>
      <w:proofErr w:type="spellStart"/>
      <w:r w:rsidRPr="00D57201">
        <w:rPr>
          <w:sz w:val="22"/>
          <w:szCs w:val="22"/>
        </w:rPr>
        <w:t>krüptovaraturgude</w:t>
      </w:r>
      <w:proofErr w:type="spellEnd"/>
      <w:r w:rsidRPr="00D57201">
        <w:rPr>
          <w:sz w:val="22"/>
          <w:szCs w:val="22"/>
        </w:rPr>
        <w:t xml:space="preserve"> määruse ettepanekul, kuid paragrahvis sisalduvad kolm lõiget on suunatud spetsiifiliselt ka täna toimivate teenustega kaasnevate probleemide (eeskätt ebaõige hinnateabe edastamine) lahendamisele.</w:t>
      </w:r>
    </w:p>
    <w:p w14:paraId="0383B16A" w14:textId="77777777" w:rsidR="00DE5125" w:rsidRPr="00D57201" w:rsidRDefault="00DE5125" w:rsidP="00DE5125">
      <w:pPr>
        <w:spacing w:before="0"/>
        <w:rPr>
          <w:color w:val="5B9BD5" w:themeColor="accent1"/>
          <w:sz w:val="22"/>
          <w:szCs w:val="22"/>
        </w:rPr>
      </w:pPr>
    </w:p>
    <w:p w14:paraId="6E39D139" w14:textId="7A535840" w:rsidR="00DE5125" w:rsidRPr="00D57201" w:rsidRDefault="00DE5125" w:rsidP="00DE5125">
      <w:pPr>
        <w:spacing w:before="0"/>
        <w:rPr>
          <w:sz w:val="22"/>
          <w:szCs w:val="22"/>
        </w:rPr>
      </w:pPr>
      <w:r w:rsidRPr="00D57201">
        <w:rPr>
          <w:b/>
          <w:sz w:val="22"/>
          <w:szCs w:val="22"/>
        </w:rPr>
        <w:t xml:space="preserve">Lõike 1 </w:t>
      </w:r>
      <w:r w:rsidRPr="00D57201">
        <w:rPr>
          <w:sz w:val="22"/>
          <w:szCs w:val="22"/>
        </w:rPr>
        <w:t xml:space="preserve">kohaselt tuleb teenuseosutajal, kes võimaldab </w:t>
      </w:r>
      <w:proofErr w:type="spellStart"/>
      <w:r w:rsidR="003B2809" w:rsidRPr="00D57201">
        <w:rPr>
          <w:sz w:val="22"/>
          <w:szCs w:val="22"/>
        </w:rPr>
        <w:t>krüptovara</w:t>
      </w:r>
      <w:proofErr w:type="spellEnd"/>
      <w:r w:rsidRPr="00D57201">
        <w:rPr>
          <w:sz w:val="22"/>
          <w:szCs w:val="22"/>
        </w:rPr>
        <w:t xml:space="preserve"> vahetamist raha</w:t>
      </w:r>
      <w:r w:rsidR="003B2809" w:rsidRPr="00D57201">
        <w:rPr>
          <w:sz w:val="22"/>
          <w:szCs w:val="22"/>
        </w:rPr>
        <w:t xml:space="preserve">liste vahendite või teise </w:t>
      </w:r>
      <w:proofErr w:type="spellStart"/>
      <w:r w:rsidR="003B2809" w:rsidRPr="00D57201">
        <w:rPr>
          <w:sz w:val="22"/>
          <w:szCs w:val="22"/>
        </w:rPr>
        <w:t>krüptovara</w:t>
      </w:r>
      <w:proofErr w:type="spellEnd"/>
      <w:r w:rsidRPr="00D57201">
        <w:rPr>
          <w:sz w:val="22"/>
          <w:szCs w:val="22"/>
        </w:rPr>
        <w:t xml:space="preserve"> vastu, avalikustada </w:t>
      </w:r>
      <w:proofErr w:type="spellStart"/>
      <w:r w:rsidR="003B2809" w:rsidRPr="00D57201">
        <w:rPr>
          <w:sz w:val="22"/>
          <w:szCs w:val="22"/>
        </w:rPr>
        <w:t>krüptovara</w:t>
      </w:r>
      <w:proofErr w:type="spellEnd"/>
      <w:r w:rsidRPr="00D57201">
        <w:rPr>
          <w:sz w:val="22"/>
          <w:szCs w:val="22"/>
        </w:rPr>
        <w:t xml:space="preserve"> hinna või metoodika, mille alusel </w:t>
      </w:r>
      <w:proofErr w:type="spellStart"/>
      <w:r w:rsidR="003B2809" w:rsidRPr="00D57201">
        <w:rPr>
          <w:sz w:val="22"/>
          <w:szCs w:val="22"/>
        </w:rPr>
        <w:t>krüptovara</w:t>
      </w:r>
      <w:proofErr w:type="spellEnd"/>
      <w:r w:rsidRPr="00D57201">
        <w:rPr>
          <w:sz w:val="22"/>
          <w:szCs w:val="22"/>
        </w:rPr>
        <w:t xml:space="preserve"> hind on kujunenud. Teisisõnu tuleb teenuseosutajal lähtuda kindlast ettemääratud hinnast või avalikustada metoodika või valem, mille alusel on kujunenud hind, millega </w:t>
      </w:r>
      <w:proofErr w:type="spellStart"/>
      <w:r w:rsidR="003B2809" w:rsidRPr="00D57201">
        <w:rPr>
          <w:sz w:val="22"/>
          <w:szCs w:val="22"/>
        </w:rPr>
        <w:t>krüptovara</w:t>
      </w:r>
      <w:proofErr w:type="spellEnd"/>
      <w:r w:rsidRPr="00D57201">
        <w:rPr>
          <w:sz w:val="22"/>
          <w:szCs w:val="22"/>
        </w:rPr>
        <w:t xml:space="preserve"> lõpuks kliendile müüakse või nimetatud instrumente neilt ostetakse.</w:t>
      </w:r>
    </w:p>
    <w:p w14:paraId="3B1C6DDF" w14:textId="77777777" w:rsidR="00DE5125" w:rsidRPr="00D57201" w:rsidRDefault="00DE5125" w:rsidP="00DE5125">
      <w:pPr>
        <w:spacing w:before="0"/>
        <w:rPr>
          <w:color w:val="5B9BD5" w:themeColor="accent1"/>
          <w:sz w:val="22"/>
          <w:szCs w:val="22"/>
        </w:rPr>
      </w:pPr>
    </w:p>
    <w:p w14:paraId="4CAFC8B8" w14:textId="77777777" w:rsidR="00DE5125" w:rsidRPr="00D57201" w:rsidRDefault="00DE5125" w:rsidP="00DE5125">
      <w:pPr>
        <w:spacing w:before="0"/>
        <w:rPr>
          <w:sz w:val="22"/>
          <w:szCs w:val="22"/>
        </w:rPr>
      </w:pPr>
      <w:r w:rsidRPr="00D57201">
        <w:rPr>
          <w:b/>
          <w:sz w:val="22"/>
          <w:szCs w:val="22"/>
        </w:rPr>
        <w:t xml:space="preserve">Lõike 2 </w:t>
      </w:r>
      <w:r w:rsidRPr="00D57201">
        <w:rPr>
          <w:sz w:val="22"/>
          <w:szCs w:val="22"/>
        </w:rPr>
        <w:t xml:space="preserve">kohaselt tuleb kliendi korraldus täita selle hinnaga, mis on kehtiv kliendi korralduse saamise ajal. See lõige puudutab eelkõige korraldusi, milles on soovitus täita tehing turuhinnaga, ning mida tuleb teenuseosutajal ka kasutada tehingu täitmisel, mitte lähtuda oma äranägemisest instrumendi hinna määramisel. </w:t>
      </w:r>
    </w:p>
    <w:p w14:paraId="0EB42A57" w14:textId="77777777" w:rsidR="00DE5125" w:rsidRPr="00D57201" w:rsidRDefault="00DE5125" w:rsidP="00DE5125">
      <w:pPr>
        <w:spacing w:before="0"/>
        <w:rPr>
          <w:color w:val="5B9BD5" w:themeColor="accent1"/>
          <w:sz w:val="22"/>
          <w:szCs w:val="22"/>
        </w:rPr>
      </w:pPr>
    </w:p>
    <w:p w14:paraId="30C909DF" w14:textId="1A065F04" w:rsidR="00DE5125" w:rsidRPr="00D57201" w:rsidRDefault="00DE5125" w:rsidP="00DE5125">
      <w:pPr>
        <w:spacing w:before="0"/>
        <w:rPr>
          <w:sz w:val="22"/>
          <w:szCs w:val="22"/>
        </w:rPr>
      </w:pPr>
      <w:r w:rsidRPr="00D57201">
        <w:rPr>
          <w:b/>
          <w:sz w:val="22"/>
          <w:szCs w:val="22"/>
        </w:rPr>
        <w:t xml:space="preserve">Lõike 3 </w:t>
      </w:r>
      <w:r w:rsidRPr="00D57201">
        <w:rPr>
          <w:sz w:val="22"/>
          <w:szCs w:val="22"/>
        </w:rPr>
        <w:t xml:space="preserve">järgi tuleb </w:t>
      </w:r>
      <w:proofErr w:type="spellStart"/>
      <w:r w:rsidR="003B2809" w:rsidRPr="00D57201">
        <w:rPr>
          <w:sz w:val="22"/>
          <w:szCs w:val="22"/>
        </w:rPr>
        <w:t>krüptovara</w:t>
      </w:r>
      <w:r w:rsidRPr="00D57201">
        <w:rPr>
          <w:sz w:val="22"/>
          <w:szCs w:val="22"/>
        </w:rPr>
        <w:t>teenuse</w:t>
      </w:r>
      <w:proofErr w:type="spellEnd"/>
      <w:r w:rsidRPr="00D57201">
        <w:rPr>
          <w:sz w:val="22"/>
          <w:szCs w:val="22"/>
        </w:rPr>
        <w:t xml:space="preserve"> osutajal avaldada klientidele teavet </w:t>
      </w:r>
      <w:r w:rsidR="003B2809" w:rsidRPr="00D57201">
        <w:rPr>
          <w:sz w:val="22"/>
          <w:szCs w:val="22"/>
        </w:rPr>
        <w:t xml:space="preserve">täidetud </w:t>
      </w:r>
      <w:r w:rsidRPr="00D57201">
        <w:rPr>
          <w:sz w:val="22"/>
          <w:szCs w:val="22"/>
        </w:rPr>
        <w:t xml:space="preserve">korralduste ja </w:t>
      </w:r>
      <w:r w:rsidR="003B2809" w:rsidRPr="00D57201">
        <w:rPr>
          <w:sz w:val="22"/>
          <w:szCs w:val="22"/>
        </w:rPr>
        <w:t xml:space="preserve">läbiviidud </w:t>
      </w:r>
      <w:r w:rsidRPr="00D57201">
        <w:rPr>
          <w:sz w:val="22"/>
          <w:szCs w:val="22"/>
        </w:rPr>
        <w:t xml:space="preserve">tehingute kohta, sealhulgas tehingu esemeks olnud </w:t>
      </w:r>
      <w:proofErr w:type="spellStart"/>
      <w:r w:rsidR="003B2809" w:rsidRPr="00D57201">
        <w:rPr>
          <w:sz w:val="22"/>
          <w:szCs w:val="22"/>
        </w:rPr>
        <w:t>krüptovara</w:t>
      </w:r>
      <w:proofErr w:type="spellEnd"/>
      <w:r w:rsidRPr="00D57201">
        <w:rPr>
          <w:sz w:val="22"/>
          <w:szCs w:val="22"/>
        </w:rPr>
        <w:t xml:space="preserve"> koguse ja hinna kohta. Nimetatud teabe avaldamiskohustuse all mõeldakse teabe avalikustamist püsivalt ja regulaarselt ning vähemalt teenuse osutamise kohas, sh teenuseosutaja veebilehel või rakenduses, mille abil võimaldatakse </w:t>
      </w:r>
      <w:r w:rsidR="003B2809" w:rsidRPr="00D57201">
        <w:rPr>
          <w:sz w:val="22"/>
          <w:szCs w:val="22"/>
        </w:rPr>
        <w:t>kliendil</w:t>
      </w:r>
      <w:r w:rsidRPr="00D57201">
        <w:rPr>
          <w:sz w:val="22"/>
          <w:szCs w:val="22"/>
        </w:rPr>
        <w:t xml:space="preserve"> tehinguid teha.</w:t>
      </w:r>
    </w:p>
    <w:p w14:paraId="727D40E1" w14:textId="646DC4C2" w:rsidR="00DE5125" w:rsidRPr="00D57201" w:rsidRDefault="00DE5125" w:rsidP="00B82E7B">
      <w:pPr>
        <w:spacing w:before="0"/>
        <w:rPr>
          <w:b/>
          <w:sz w:val="22"/>
          <w:szCs w:val="22"/>
        </w:rPr>
      </w:pPr>
    </w:p>
    <w:p w14:paraId="6222269C" w14:textId="499793D1" w:rsidR="003B2809" w:rsidRPr="00D57201" w:rsidRDefault="003B2809" w:rsidP="00B82E7B">
      <w:pPr>
        <w:spacing w:before="0"/>
        <w:rPr>
          <w:bCs/>
          <w:sz w:val="22"/>
          <w:szCs w:val="22"/>
        </w:rPr>
      </w:pPr>
      <w:r w:rsidRPr="00EC47C6">
        <w:rPr>
          <w:b/>
          <w:sz w:val="22"/>
          <w:szCs w:val="22"/>
        </w:rPr>
        <w:t xml:space="preserve">Paragrahvide 57-59 </w:t>
      </w:r>
      <w:r w:rsidRPr="00EC47C6">
        <w:rPr>
          <w:bCs/>
          <w:sz w:val="22"/>
          <w:szCs w:val="22"/>
        </w:rPr>
        <w:t xml:space="preserve">sõnastuse puhul on aluseks võetud </w:t>
      </w:r>
      <w:proofErr w:type="spellStart"/>
      <w:r w:rsidRPr="00EC47C6">
        <w:rPr>
          <w:bCs/>
          <w:sz w:val="22"/>
          <w:szCs w:val="22"/>
        </w:rPr>
        <w:t>MiCA</w:t>
      </w:r>
      <w:proofErr w:type="spellEnd"/>
      <w:r w:rsidRPr="00EC47C6">
        <w:rPr>
          <w:bCs/>
          <w:sz w:val="22"/>
          <w:szCs w:val="22"/>
        </w:rPr>
        <w:t xml:space="preserve"> ettepaneku viimase versiooni artiklite 71-73 sõnastus.</w:t>
      </w:r>
    </w:p>
    <w:p w14:paraId="5806D0E0" w14:textId="77777777" w:rsidR="00B17BBF" w:rsidRDefault="00B17BBF" w:rsidP="00B82E7B">
      <w:pPr>
        <w:spacing w:before="0"/>
        <w:rPr>
          <w:b/>
          <w:sz w:val="22"/>
          <w:szCs w:val="22"/>
        </w:rPr>
      </w:pPr>
    </w:p>
    <w:p w14:paraId="4F3E0FF4" w14:textId="771554D1" w:rsidR="00D22615" w:rsidRDefault="00D22615" w:rsidP="00B82E7B">
      <w:pPr>
        <w:spacing w:before="0"/>
        <w:rPr>
          <w:bCs/>
          <w:sz w:val="22"/>
          <w:szCs w:val="22"/>
        </w:rPr>
      </w:pPr>
      <w:r>
        <w:rPr>
          <w:b/>
          <w:sz w:val="22"/>
          <w:szCs w:val="22"/>
        </w:rPr>
        <w:t xml:space="preserve">Paragrahv 60 </w:t>
      </w:r>
      <w:r>
        <w:rPr>
          <w:bCs/>
          <w:sz w:val="22"/>
          <w:szCs w:val="22"/>
        </w:rPr>
        <w:t xml:space="preserve">sätestab täiendavad teabe avalikustamise nõuded </w:t>
      </w:r>
      <w:proofErr w:type="spellStart"/>
      <w:r>
        <w:rPr>
          <w:bCs/>
          <w:sz w:val="22"/>
          <w:szCs w:val="22"/>
        </w:rPr>
        <w:t>ühisrahastusprojektide</w:t>
      </w:r>
      <w:proofErr w:type="spellEnd"/>
      <w:r>
        <w:rPr>
          <w:bCs/>
          <w:sz w:val="22"/>
          <w:szCs w:val="22"/>
        </w:rPr>
        <w:t xml:space="preserve"> kohta.</w:t>
      </w:r>
    </w:p>
    <w:p w14:paraId="0863C499" w14:textId="7679DFFF" w:rsidR="00D22615" w:rsidRDefault="00D22615" w:rsidP="00B82E7B">
      <w:pPr>
        <w:spacing w:before="0"/>
        <w:rPr>
          <w:bCs/>
          <w:sz w:val="22"/>
          <w:szCs w:val="22"/>
        </w:rPr>
      </w:pPr>
    </w:p>
    <w:p w14:paraId="5107B52D" w14:textId="42DEC411" w:rsidR="00D22615" w:rsidRDefault="00D22615" w:rsidP="00D57201">
      <w:pPr>
        <w:spacing w:before="0"/>
        <w:rPr>
          <w:sz w:val="22"/>
          <w:szCs w:val="22"/>
        </w:rPr>
      </w:pPr>
      <w:r>
        <w:rPr>
          <w:b/>
          <w:sz w:val="22"/>
          <w:szCs w:val="22"/>
        </w:rPr>
        <w:t xml:space="preserve">Lõike 1 </w:t>
      </w:r>
      <w:r>
        <w:rPr>
          <w:bCs/>
          <w:sz w:val="22"/>
          <w:szCs w:val="22"/>
        </w:rPr>
        <w:t xml:space="preserve">kohaselt avalikustab </w:t>
      </w:r>
      <w:proofErr w:type="spellStart"/>
      <w:r>
        <w:rPr>
          <w:bCs/>
          <w:sz w:val="22"/>
          <w:szCs w:val="22"/>
        </w:rPr>
        <w:t>ühisrahastu</w:t>
      </w:r>
      <w:r w:rsidR="007D120B">
        <w:rPr>
          <w:bCs/>
          <w:sz w:val="22"/>
          <w:szCs w:val="22"/>
        </w:rPr>
        <w:t>s</w:t>
      </w:r>
      <w:r>
        <w:rPr>
          <w:bCs/>
          <w:sz w:val="22"/>
          <w:szCs w:val="22"/>
        </w:rPr>
        <w:t>teenus</w:t>
      </w:r>
      <w:r w:rsidR="00D57201">
        <w:rPr>
          <w:bCs/>
          <w:sz w:val="22"/>
          <w:szCs w:val="22"/>
        </w:rPr>
        <w:t>e</w:t>
      </w:r>
      <w:proofErr w:type="spellEnd"/>
      <w:r>
        <w:rPr>
          <w:sz w:val="22"/>
          <w:szCs w:val="22"/>
        </w:rPr>
        <w:t xml:space="preserve"> osutajal avalikustada igal aastal enda poolt hallatavatel finantsvahendusplatvormidel vähemalt viimase 36 jooksul pakutud investeerimisprojektide makseviivituse määrad. Antud lõige põhineb EL </w:t>
      </w:r>
      <w:proofErr w:type="spellStart"/>
      <w:r>
        <w:rPr>
          <w:sz w:val="22"/>
          <w:szCs w:val="22"/>
        </w:rPr>
        <w:t>ühisrahastusmääruse</w:t>
      </w:r>
      <w:proofErr w:type="spellEnd"/>
      <w:r>
        <w:rPr>
          <w:sz w:val="22"/>
          <w:szCs w:val="22"/>
        </w:rPr>
        <w:t xml:space="preserve"> artikli 20 lõike 1 punktil (a).</w:t>
      </w:r>
    </w:p>
    <w:p w14:paraId="77148F26" w14:textId="6AC48FE0" w:rsidR="00D57201" w:rsidRDefault="00D57201" w:rsidP="00D57201">
      <w:pPr>
        <w:spacing w:before="0"/>
        <w:rPr>
          <w:sz w:val="22"/>
          <w:szCs w:val="22"/>
        </w:rPr>
      </w:pPr>
    </w:p>
    <w:p w14:paraId="11D073F2" w14:textId="2C386F4D" w:rsidR="00D57201" w:rsidRDefault="00D57201" w:rsidP="00D57201">
      <w:pPr>
        <w:spacing w:before="0"/>
        <w:rPr>
          <w:sz w:val="22"/>
          <w:szCs w:val="22"/>
        </w:rPr>
      </w:pPr>
      <w:r>
        <w:rPr>
          <w:b/>
          <w:bCs/>
          <w:sz w:val="22"/>
          <w:szCs w:val="22"/>
        </w:rPr>
        <w:t xml:space="preserve">Lõike 2 </w:t>
      </w:r>
      <w:r>
        <w:rPr>
          <w:sz w:val="22"/>
          <w:szCs w:val="22"/>
        </w:rPr>
        <w:t xml:space="preserve">järgi tuleb </w:t>
      </w:r>
      <w:proofErr w:type="spellStart"/>
      <w:r>
        <w:rPr>
          <w:sz w:val="22"/>
          <w:szCs w:val="22"/>
        </w:rPr>
        <w:t>ühisrahastusteenuse</w:t>
      </w:r>
      <w:proofErr w:type="spellEnd"/>
      <w:r>
        <w:rPr>
          <w:sz w:val="22"/>
          <w:szCs w:val="22"/>
        </w:rPr>
        <w:t xml:space="preserve"> osutajal </w:t>
      </w:r>
      <w:r w:rsidR="0061059F">
        <w:rPr>
          <w:sz w:val="22"/>
          <w:szCs w:val="22"/>
        </w:rPr>
        <w:t xml:space="preserve">avalikustada sama lõike punktis 1-3 nimetatud andmed. </w:t>
      </w:r>
      <w:r w:rsidR="0061059F">
        <w:rPr>
          <w:b/>
          <w:bCs/>
          <w:sz w:val="22"/>
          <w:szCs w:val="22"/>
        </w:rPr>
        <w:t xml:space="preserve">Lõikes 3 </w:t>
      </w:r>
      <w:r w:rsidR="0061059F">
        <w:rPr>
          <w:sz w:val="22"/>
          <w:szCs w:val="22"/>
        </w:rPr>
        <w:t>on täpsustatud, et vastavad andmed tuleb avalikustada vara liigi või teenuse kohta eraldi ning teha veebilehel kättesaadavaks vähemalt kolme aasta jooksul vastava aruandlusperioodi lõppemisest arvates.</w:t>
      </w:r>
    </w:p>
    <w:p w14:paraId="0C129852" w14:textId="406A2FDF" w:rsidR="0061059F" w:rsidRDefault="0061059F" w:rsidP="00D57201">
      <w:pPr>
        <w:spacing w:before="0"/>
        <w:rPr>
          <w:sz w:val="22"/>
          <w:szCs w:val="22"/>
        </w:rPr>
      </w:pPr>
    </w:p>
    <w:p w14:paraId="571A6D8C" w14:textId="61A0D0C2" w:rsidR="0061059F" w:rsidRPr="005D2F67" w:rsidRDefault="0061059F" w:rsidP="0061059F">
      <w:pPr>
        <w:spacing w:before="0"/>
        <w:rPr>
          <w:color w:val="000000" w:themeColor="text1"/>
          <w:sz w:val="22"/>
          <w:szCs w:val="22"/>
        </w:rPr>
      </w:pPr>
      <w:r>
        <w:rPr>
          <w:b/>
          <w:sz w:val="22"/>
          <w:szCs w:val="22"/>
        </w:rPr>
        <w:t>Lõike 4</w:t>
      </w:r>
      <w:r>
        <w:rPr>
          <w:sz w:val="22"/>
          <w:szCs w:val="22"/>
        </w:rPr>
        <w:t xml:space="preserve"> kohaselt </w:t>
      </w:r>
      <w:r>
        <w:rPr>
          <w:color w:val="000000" w:themeColor="text1"/>
          <w:sz w:val="22"/>
          <w:szCs w:val="22"/>
        </w:rPr>
        <w:t xml:space="preserve">soovitakse tagada selgus klientide jaoks, millised on võimalikud kaasnevad kulud, millega investeeringut tehes </w:t>
      </w:r>
      <w:r w:rsidRPr="005D2F67">
        <w:rPr>
          <w:color w:val="000000" w:themeColor="text1"/>
          <w:sz w:val="22"/>
          <w:szCs w:val="22"/>
        </w:rPr>
        <w:t xml:space="preserve">arvestama peab. Sõnastuses on välja toodud kulud, mis </w:t>
      </w:r>
      <w:proofErr w:type="spellStart"/>
      <w:r>
        <w:rPr>
          <w:color w:val="000000" w:themeColor="text1"/>
          <w:sz w:val="22"/>
          <w:szCs w:val="22"/>
        </w:rPr>
        <w:t>mis</w:t>
      </w:r>
      <w:proofErr w:type="spellEnd"/>
      <w:r>
        <w:rPr>
          <w:color w:val="000000" w:themeColor="text1"/>
          <w:sz w:val="22"/>
          <w:szCs w:val="22"/>
        </w:rPr>
        <w:t xml:space="preserve"> tuleb kliendil katta </w:t>
      </w:r>
      <w:r w:rsidRPr="005D2F67">
        <w:rPr>
          <w:color w:val="000000" w:themeColor="text1"/>
          <w:sz w:val="22"/>
          <w:szCs w:val="22"/>
        </w:rPr>
        <w:t>rahastuse taotlejaga seotud vaidluste või võlgade sissenõudmise</w:t>
      </w:r>
      <w:r>
        <w:rPr>
          <w:color w:val="000000" w:themeColor="text1"/>
          <w:sz w:val="22"/>
          <w:szCs w:val="22"/>
        </w:rPr>
        <w:t>ks</w:t>
      </w:r>
      <w:r w:rsidRPr="005D2F67">
        <w:rPr>
          <w:color w:val="000000" w:themeColor="text1"/>
          <w:sz w:val="22"/>
          <w:szCs w:val="22"/>
        </w:rPr>
        <w:t xml:space="preserve">. </w:t>
      </w:r>
      <w:r>
        <w:rPr>
          <w:color w:val="000000" w:themeColor="text1"/>
          <w:sz w:val="22"/>
          <w:szCs w:val="22"/>
        </w:rPr>
        <w:t>P</w:t>
      </w:r>
      <w:r w:rsidRPr="005D2F67">
        <w:rPr>
          <w:color w:val="000000" w:themeColor="text1"/>
          <w:sz w:val="22"/>
          <w:szCs w:val="22"/>
        </w:rPr>
        <w:t xml:space="preserve">raktikas </w:t>
      </w:r>
      <w:r>
        <w:rPr>
          <w:color w:val="000000" w:themeColor="text1"/>
          <w:sz w:val="22"/>
          <w:szCs w:val="22"/>
        </w:rPr>
        <w:t xml:space="preserve">on </w:t>
      </w:r>
      <w:r w:rsidRPr="005D2F67">
        <w:rPr>
          <w:color w:val="000000" w:themeColor="text1"/>
          <w:sz w:val="22"/>
          <w:szCs w:val="22"/>
        </w:rPr>
        <w:t xml:space="preserve">juhtumeid, kus </w:t>
      </w:r>
      <w:proofErr w:type="spellStart"/>
      <w:r w:rsidRPr="005D2F67">
        <w:rPr>
          <w:color w:val="000000" w:themeColor="text1"/>
          <w:sz w:val="22"/>
          <w:szCs w:val="22"/>
        </w:rPr>
        <w:t>ühisrahastusteenuse</w:t>
      </w:r>
      <w:proofErr w:type="spellEnd"/>
      <w:r w:rsidRPr="005D2F67">
        <w:rPr>
          <w:color w:val="000000" w:themeColor="text1"/>
          <w:sz w:val="22"/>
          <w:szCs w:val="22"/>
        </w:rPr>
        <w:t xml:space="preserve"> osutajad katavad </w:t>
      </w:r>
      <w:r>
        <w:rPr>
          <w:color w:val="000000" w:themeColor="text1"/>
          <w:sz w:val="22"/>
          <w:szCs w:val="22"/>
        </w:rPr>
        <w:t>kliendi</w:t>
      </w:r>
      <w:r w:rsidRPr="005D2F67">
        <w:rPr>
          <w:color w:val="000000" w:themeColor="text1"/>
          <w:sz w:val="22"/>
          <w:szCs w:val="22"/>
        </w:rPr>
        <w:t xml:space="preserve"> investeeringute arvelt </w:t>
      </w:r>
      <w:r>
        <w:rPr>
          <w:color w:val="000000" w:themeColor="text1"/>
          <w:sz w:val="22"/>
          <w:szCs w:val="22"/>
        </w:rPr>
        <w:t>nimetatud kulusid.</w:t>
      </w:r>
      <w:r w:rsidRPr="005D2F67">
        <w:rPr>
          <w:color w:val="000000" w:themeColor="text1"/>
          <w:sz w:val="22"/>
          <w:szCs w:val="22"/>
        </w:rPr>
        <w:t xml:space="preserve"> Sissenõudmiskulud peaksid olema üldjuhul seotud konkreetse investeeringuga.</w:t>
      </w:r>
    </w:p>
    <w:p w14:paraId="44BB4CB0" w14:textId="77777777" w:rsidR="0061059F" w:rsidRPr="0061059F" w:rsidRDefault="0061059F" w:rsidP="00D57201">
      <w:pPr>
        <w:spacing w:before="0"/>
        <w:rPr>
          <w:sz w:val="22"/>
          <w:szCs w:val="22"/>
        </w:rPr>
      </w:pPr>
    </w:p>
    <w:p w14:paraId="4127D4EC" w14:textId="777832E1" w:rsidR="0061059F" w:rsidRPr="005A55CA" w:rsidRDefault="0061059F" w:rsidP="0061059F">
      <w:pPr>
        <w:spacing w:before="0"/>
        <w:rPr>
          <w:color w:val="000000" w:themeColor="text1"/>
          <w:sz w:val="22"/>
          <w:szCs w:val="22"/>
        </w:rPr>
      </w:pPr>
      <w:r w:rsidRPr="005A55CA">
        <w:rPr>
          <w:b/>
          <w:color w:val="000000" w:themeColor="text1"/>
          <w:sz w:val="22"/>
          <w:szCs w:val="22"/>
        </w:rPr>
        <w:t xml:space="preserve">Lõike 5 </w:t>
      </w:r>
      <w:r w:rsidRPr="005A55CA">
        <w:rPr>
          <w:color w:val="000000" w:themeColor="text1"/>
          <w:sz w:val="22"/>
          <w:szCs w:val="22"/>
        </w:rPr>
        <w:t xml:space="preserve">kohaselt on tühine selline kokkulepe, mille kohaselt kaetakse </w:t>
      </w:r>
      <w:r>
        <w:rPr>
          <w:color w:val="000000" w:themeColor="text1"/>
          <w:sz w:val="22"/>
          <w:szCs w:val="22"/>
        </w:rPr>
        <w:t>klientide</w:t>
      </w:r>
      <w:r w:rsidRPr="005A55CA">
        <w:rPr>
          <w:color w:val="000000" w:themeColor="text1"/>
          <w:sz w:val="22"/>
          <w:szCs w:val="22"/>
        </w:rPr>
        <w:t xml:space="preserve"> investeeringute arvelt vaidluste lahendamisega ning laenude või võlgade sissenõudmisega kaasnevaid kulusid rohkem kui </w:t>
      </w:r>
      <w:r>
        <w:rPr>
          <w:color w:val="000000" w:themeColor="text1"/>
          <w:sz w:val="22"/>
          <w:szCs w:val="22"/>
        </w:rPr>
        <w:t>50</w:t>
      </w:r>
      <w:r w:rsidRPr="005A55CA">
        <w:rPr>
          <w:color w:val="000000" w:themeColor="text1"/>
          <w:sz w:val="22"/>
          <w:szCs w:val="22"/>
        </w:rPr>
        <w:t xml:space="preserve"> protsendi ulatuses. Lõikes nimetatud </w:t>
      </w:r>
      <w:r>
        <w:rPr>
          <w:color w:val="000000" w:themeColor="text1"/>
          <w:sz w:val="22"/>
          <w:szCs w:val="22"/>
        </w:rPr>
        <w:t>50</w:t>
      </w:r>
      <w:r w:rsidRPr="005A55CA">
        <w:rPr>
          <w:color w:val="000000" w:themeColor="text1"/>
          <w:sz w:val="22"/>
          <w:szCs w:val="22"/>
        </w:rPr>
        <w:t xml:space="preserve">-protsendiline määr on sellisena </w:t>
      </w:r>
      <w:r>
        <w:rPr>
          <w:color w:val="000000" w:themeColor="text1"/>
          <w:sz w:val="22"/>
          <w:szCs w:val="22"/>
        </w:rPr>
        <w:t>kehtestatud</w:t>
      </w:r>
      <w:r w:rsidRPr="005A55CA">
        <w:rPr>
          <w:color w:val="000000" w:themeColor="text1"/>
          <w:sz w:val="22"/>
          <w:szCs w:val="22"/>
        </w:rPr>
        <w:t xml:space="preserve"> kahel põhjusel. Esiteks, ühest küljest on põhjendatud, et </w:t>
      </w:r>
      <w:r>
        <w:rPr>
          <w:color w:val="000000" w:themeColor="text1"/>
          <w:sz w:val="22"/>
          <w:szCs w:val="22"/>
        </w:rPr>
        <w:t>kliendid</w:t>
      </w:r>
      <w:r w:rsidRPr="005A55CA">
        <w:rPr>
          <w:color w:val="000000" w:themeColor="text1"/>
          <w:sz w:val="22"/>
          <w:szCs w:val="22"/>
        </w:rPr>
        <w:t xml:space="preserve"> võtavad omale ka teatava riski investeeri</w:t>
      </w:r>
      <w:r>
        <w:rPr>
          <w:color w:val="000000" w:themeColor="text1"/>
          <w:sz w:val="22"/>
          <w:szCs w:val="22"/>
        </w:rPr>
        <w:t>ngu tegemisega</w:t>
      </w:r>
      <w:r w:rsidRPr="005A55CA">
        <w:rPr>
          <w:color w:val="000000" w:themeColor="text1"/>
          <w:sz w:val="22"/>
          <w:szCs w:val="22"/>
        </w:rPr>
        <w:t xml:space="preserve">, et rahastuse taotleja võib jätta lepingu täitmata, misjärel on vajalik katta asjakohasel juhul kohtu- või muu menetluse kulud ning võla sissenõudmise kulud. Teisalt aga peaks nimetatud vastutus olema </w:t>
      </w:r>
      <w:r>
        <w:rPr>
          <w:color w:val="000000" w:themeColor="text1"/>
          <w:sz w:val="22"/>
          <w:szCs w:val="22"/>
        </w:rPr>
        <w:t xml:space="preserve">maksimaalselt jagatud </w:t>
      </w:r>
      <w:r w:rsidR="00C86A00">
        <w:rPr>
          <w:color w:val="000000" w:themeColor="text1"/>
          <w:sz w:val="22"/>
          <w:szCs w:val="22"/>
        </w:rPr>
        <w:t>kliendi</w:t>
      </w:r>
      <w:r>
        <w:rPr>
          <w:color w:val="000000" w:themeColor="text1"/>
          <w:sz w:val="22"/>
          <w:szCs w:val="22"/>
        </w:rPr>
        <w:t xml:space="preserve"> ja teenuseosutaja vahel</w:t>
      </w:r>
      <w:r w:rsidRPr="005A55CA">
        <w:rPr>
          <w:color w:val="000000" w:themeColor="text1"/>
          <w:sz w:val="22"/>
          <w:szCs w:val="22"/>
        </w:rPr>
        <w:t xml:space="preserve">, et viimasel oleks rohkem motivatsiooni valida klientideks selliseid rahastuse taotlejad, kelle krediidi- või maksevõimelisuses teenuseosutaja on veendunud, ning kelle mainet </w:t>
      </w:r>
      <w:r>
        <w:rPr>
          <w:color w:val="000000" w:themeColor="text1"/>
          <w:sz w:val="22"/>
          <w:szCs w:val="22"/>
        </w:rPr>
        <w:t>ja</w:t>
      </w:r>
      <w:r w:rsidRPr="005A55CA">
        <w:rPr>
          <w:color w:val="000000" w:themeColor="text1"/>
          <w:sz w:val="22"/>
          <w:szCs w:val="22"/>
        </w:rPr>
        <w:t xml:space="preserve"> senist ettevõtluskäiku on teenuseosutaja </w:t>
      </w:r>
      <w:r>
        <w:rPr>
          <w:color w:val="000000" w:themeColor="text1"/>
          <w:sz w:val="22"/>
          <w:szCs w:val="22"/>
        </w:rPr>
        <w:t xml:space="preserve">põhjalikult </w:t>
      </w:r>
      <w:r w:rsidRPr="005A55CA">
        <w:rPr>
          <w:color w:val="000000" w:themeColor="text1"/>
          <w:sz w:val="22"/>
          <w:szCs w:val="22"/>
        </w:rPr>
        <w:t>kontrollinud (vt ka § 4</w:t>
      </w:r>
      <w:r w:rsidR="00C86A00">
        <w:rPr>
          <w:color w:val="000000" w:themeColor="text1"/>
          <w:sz w:val="22"/>
          <w:szCs w:val="22"/>
        </w:rPr>
        <w:t>6</w:t>
      </w:r>
      <w:r w:rsidRPr="005A55CA">
        <w:rPr>
          <w:color w:val="000000" w:themeColor="text1"/>
          <w:sz w:val="22"/>
          <w:szCs w:val="22"/>
        </w:rPr>
        <w:t xml:space="preserve"> lg </w:t>
      </w:r>
      <w:r w:rsidR="00C86A00">
        <w:rPr>
          <w:color w:val="000000" w:themeColor="text1"/>
          <w:sz w:val="22"/>
          <w:szCs w:val="22"/>
        </w:rPr>
        <w:t>1</w:t>
      </w:r>
      <w:r w:rsidRPr="005A55CA">
        <w:rPr>
          <w:color w:val="000000" w:themeColor="text1"/>
          <w:sz w:val="22"/>
          <w:szCs w:val="22"/>
        </w:rPr>
        <w:t xml:space="preserve"> p-d </w:t>
      </w:r>
      <w:r w:rsidR="00C86A00">
        <w:rPr>
          <w:color w:val="000000" w:themeColor="text1"/>
          <w:sz w:val="22"/>
          <w:szCs w:val="22"/>
        </w:rPr>
        <w:t>2</w:t>
      </w:r>
      <w:r w:rsidRPr="005A55CA">
        <w:rPr>
          <w:color w:val="000000" w:themeColor="text1"/>
          <w:sz w:val="22"/>
          <w:szCs w:val="22"/>
        </w:rPr>
        <w:t xml:space="preserve">). </w:t>
      </w:r>
    </w:p>
    <w:p w14:paraId="0E0781B5" w14:textId="77777777" w:rsidR="00D22615" w:rsidRPr="00B3086F" w:rsidRDefault="00D22615" w:rsidP="00B82E7B">
      <w:pPr>
        <w:spacing w:before="0"/>
        <w:rPr>
          <w:bCs/>
          <w:sz w:val="22"/>
          <w:szCs w:val="22"/>
        </w:rPr>
      </w:pPr>
    </w:p>
    <w:p w14:paraId="3FDBE9C8" w14:textId="43880596" w:rsidR="00C86A00" w:rsidRDefault="00C86A00" w:rsidP="00C86A00">
      <w:pPr>
        <w:spacing w:before="0"/>
        <w:rPr>
          <w:sz w:val="22"/>
          <w:szCs w:val="22"/>
        </w:rPr>
      </w:pPr>
      <w:r w:rsidRPr="00BC36C5">
        <w:rPr>
          <w:b/>
          <w:sz w:val="22"/>
          <w:szCs w:val="22"/>
        </w:rPr>
        <w:t xml:space="preserve">Lõike </w:t>
      </w:r>
      <w:r>
        <w:rPr>
          <w:b/>
          <w:sz w:val="22"/>
          <w:szCs w:val="22"/>
        </w:rPr>
        <w:t>6</w:t>
      </w:r>
      <w:r>
        <w:rPr>
          <w:sz w:val="22"/>
          <w:szCs w:val="22"/>
        </w:rPr>
        <w:t xml:space="preserve"> </w:t>
      </w:r>
      <w:r w:rsidRPr="005C7572">
        <w:rPr>
          <w:sz w:val="22"/>
          <w:szCs w:val="22"/>
        </w:rPr>
        <w:t xml:space="preserve">kohaselt võib </w:t>
      </w:r>
      <w:proofErr w:type="spellStart"/>
      <w:r>
        <w:rPr>
          <w:sz w:val="22"/>
          <w:szCs w:val="22"/>
        </w:rPr>
        <w:t>ühisrahastusteenuse</w:t>
      </w:r>
      <w:proofErr w:type="spellEnd"/>
      <w:r>
        <w:rPr>
          <w:sz w:val="22"/>
          <w:szCs w:val="22"/>
        </w:rPr>
        <w:t xml:space="preserve"> osutaja </w:t>
      </w:r>
      <w:r w:rsidRPr="005C7572">
        <w:rPr>
          <w:sz w:val="22"/>
          <w:szCs w:val="22"/>
        </w:rPr>
        <w:t>kasutada</w:t>
      </w:r>
      <w:r w:rsidRPr="00BC36C5">
        <w:rPr>
          <w:sz w:val="22"/>
          <w:szCs w:val="22"/>
        </w:rPr>
        <w:t xml:space="preserve"> oma klien</w:t>
      </w:r>
      <w:r>
        <w:rPr>
          <w:sz w:val="22"/>
          <w:szCs w:val="22"/>
        </w:rPr>
        <w:t>di</w:t>
      </w:r>
      <w:r w:rsidRPr="00BC36C5">
        <w:rPr>
          <w:sz w:val="22"/>
          <w:szCs w:val="22"/>
        </w:rPr>
        <w:t xml:space="preserve"> nimel otsustusõigust seoses klien</w:t>
      </w:r>
      <w:r>
        <w:rPr>
          <w:sz w:val="22"/>
          <w:szCs w:val="22"/>
        </w:rPr>
        <w:t>di</w:t>
      </w:r>
      <w:r w:rsidRPr="00BC36C5">
        <w:rPr>
          <w:sz w:val="22"/>
          <w:szCs w:val="22"/>
        </w:rPr>
        <w:t xml:space="preserve"> korralduste täitmise </w:t>
      </w:r>
      <w:r w:rsidRPr="005D2F67">
        <w:rPr>
          <w:sz w:val="22"/>
          <w:szCs w:val="22"/>
        </w:rPr>
        <w:t>kriteeriumidega, avaldades klien</w:t>
      </w:r>
      <w:r>
        <w:rPr>
          <w:sz w:val="22"/>
          <w:szCs w:val="22"/>
        </w:rPr>
        <w:t>di</w:t>
      </w:r>
      <w:r w:rsidRPr="005D2F67">
        <w:rPr>
          <w:sz w:val="22"/>
          <w:szCs w:val="22"/>
        </w:rPr>
        <w:t>le otsustusõiguse täpse meetodi ja kriteeriumid ning võttes kõik vajalikud meetmed klien</w:t>
      </w:r>
      <w:r>
        <w:rPr>
          <w:sz w:val="22"/>
          <w:szCs w:val="22"/>
        </w:rPr>
        <w:t>di</w:t>
      </w:r>
      <w:r w:rsidRPr="005D2F67">
        <w:rPr>
          <w:sz w:val="22"/>
          <w:szCs w:val="22"/>
        </w:rPr>
        <w:t xml:space="preserve"> jaoks parima võimaliku tulemuse saamiseks. </w:t>
      </w:r>
      <w:r>
        <w:rPr>
          <w:sz w:val="22"/>
          <w:szCs w:val="22"/>
        </w:rPr>
        <w:t xml:space="preserve">Nimetatud lõikes on eeskätt mõeldud üldsättena kõikide korralduste täitmiseks, mille klient edastab </w:t>
      </w:r>
      <w:r>
        <w:rPr>
          <w:sz w:val="22"/>
          <w:szCs w:val="22"/>
        </w:rPr>
        <w:lastRenderedPageBreak/>
        <w:t xml:space="preserve">teenuseosutajale, kuid seda tuleb kohaldada ka eelseadistatud investeerimise ehk </w:t>
      </w:r>
      <w:proofErr w:type="spellStart"/>
      <w:r w:rsidRPr="005C7572">
        <w:rPr>
          <w:i/>
          <w:sz w:val="22"/>
          <w:szCs w:val="22"/>
        </w:rPr>
        <w:t>autoinvest</w:t>
      </w:r>
      <w:r>
        <w:rPr>
          <w:sz w:val="22"/>
          <w:szCs w:val="22"/>
        </w:rPr>
        <w:t>’i</w:t>
      </w:r>
      <w:proofErr w:type="spellEnd"/>
      <w:r>
        <w:rPr>
          <w:sz w:val="22"/>
          <w:szCs w:val="22"/>
        </w:rPr>
        <w:t xml:space="preserve"> korral (vt ka § 64). </w:t>
      </w:r>
      <w:r w:rsidRPr="005C7572">
        <w:rPr>
          <w:sz w:val="22"/>
          <w:szCs w:val="22"/>
        </w:rPr>
        <w:t>Sarnaselt</w:t>
      </w:r>
      <w:r w:rsidRPr="005D2F67">
        <w:rPr>
          <w:sz w:val="22"/>
          <w:szCs w:val="22"/>
        </w:rPr>
        <w:t xml:space="preserve"> sellele on ka EL </w:t>
      </w:r>
      <w:proofErr w:type="spellStart"/>
      <w:r w:rsidRPr="005D2F67">
        <w:rPr>
          <w:sz w:val="22"/>
          <w:szCs w:val="22"/>
        </w:rPr>
        <w:t>ühisrahastusmääruse</w:t>
      </w:r>
      <w:proofErr w:type="spellEnd"/>
      <w:r w:rsidRPr="005D2F67">
        <w:rPr>
          <w:sz w:val="22"/>
          <w:szCs w:val="22"/>
        </w:rPr>
        <w:t xml:space="preserve"> artikli 3 lõike 4 teises lõigus sätestatud, et „</w:t>
      </w:r>
      <w:proofErr w:type="spellStart"/>
      <w:r w:rsidRPr="005D2F67">
        <w:rPr>
          <w:sz w:val="22"/>
          <w:szCs w:val="22"/>
        </w:rPr>
        <w:t>ühisrahastusteenuse</w:t>
      </w:r>
      <w:proofErr w:type="spellEnd"/>
      <w:r w:rsidRPr="005D2F67">
        <w:rPr>
          <w:sz w:val="22"/>
          <w:szCs w:val="22"/>
        </w:rPr>
        <w:t xml:space="preserve"> osutajad, kes pakuvad individuaalset laenuportfelli valitsemist, peavad järgima investorite esitatud parameetreid ja võtma kõik vajalikud meetmed, et saavutada investorite jaoks parim võimalik tulemus. </w:t>
      </w:r>
      <w:proofErr w:type="spellStart"/>
      <w:r w:rsidRPr="005D2F67">
        <w:rPr>
          <w:sz w:val="22"/>
          <w:szCs w:val="22"/>
        </w:rPr>
        <w:t>Ühisrahastusteenuse</w:t>
      </w:r>
      <w:proofErr w:type="spellEnd"/>
      <w:r w:rsidRPr="005D2F67">
        <w:rPr>
          <w:sz w:val="22"/>
          <w:szCs w:val="22"/>
        </w:rPr>
        <w:t xml:space="preserve"> osutajad avalikustavad investoritele otsustusprotsessi, mille alusel täidetakse investori enda äranägemisel antud volitusi.“</w:t>
      </w:r>
    </w:p>
    <w:p w14:paraId="544B1E10" w14:textId="60CD2C18" w:rsidR="00C86A00" w:rsidRDefault="00C86A00" w:rsidP="00C86A00">
      <w:pPr>
        <w:spacing w:before="0"/>
        <w:rPr>
          <w:sz w:val="22"/>
          <w:szCs w:val="22"/>
        </w:rPr>
      </w:pPr>
    </w:p>
    <w:p w14:paraId="3A217E38" w14:textId="56F0D888" w:rsidR="00C86A00" w:rsidRPr="00C86A00" w:rsidRDefault="00C86A00" w:rsidP="00C86A00">
      <w:pPr>
        <w:spacing w:before="0"/>
        <w:rPr>
          <w:sz w:val="22"/>
          <w:szCs w:val="22"/>
        </w:rPr>
      </w:pPr>
      <w:r>
        <w:rPr>
          <w:b/>
          <w:bCs/>
          <w:sz w:val="22"/>
          <w:szCs w:val="22"/>
        </w:rPr>
        <w:t xml:space="preserve">Paragrahv 61 </w:t>
      </w:r>
      <w:r>
        <w:rPr>
          <w:sz w:val="22"/>
          <w:szCs w:val="22"/>
        </w:rPr>
        <w:t xml:space="preserve">sätestab täiendavad teabe avalikustamise nõuded riskide suurenemise või realiseerumise korral seoses krediidipõhise </w:t>
      </w:r>
      <w:proofErr w:type="spellStart"/>
      <w:r>
        <w:rPr>
          <w:sz w:val="22"/>
          <w:szCs w:val="22"/>
        </w:rPr>
        <w:t>ühisrahastusega</w:t>
      </w:r>
      <w:proofErr w:type="spellEnd"/>
      <w:r>
        <w:rPr>
          <w:sz w:val="22"/>
          <w:szCs w:val="22"/>
        </w:rPr>
        <w:t xml:space="preserve">. </w:t>
      </w:r>
    </w:p>
    <w:p w14:paraId="2BC5019F" w14:textId="1F703980" w:rsidR="00C86A00" w:rsidRDefault="00C86A00" w:rsidP="00B82E7B">
      <w:pPr>
        <w:spacing w:before="0"/>
        <w:rPr>
          <w:b/>
          <w:sz w:val="22"/>
          <w:szCs w:val="22"/>
        </w:rPr>
      </w:pPr>
    </w:p>
    <w:p w14:paraId="4352EFFD" w14:textId="2A688A2F" w:rsidR="00986294" w:rsidRPr="005A55CA" w:rsidRDefault="00986294" w:rsidP="00986294">
      <w:pPr>
        <w:spacing w:before="0"/>
        <w:rPr>
          <w:color w:val="000000" w:themeColor="text1"/>
          <w:sz w:val="22"/>
          <w:szCs w:val="22"/>
        </w:rPr>
      </w:pPr>
      <w:r w:rsidRPr="005D2F67">
        <w:rPr>
          <w:b/>
          <w:color w:val="000000" w:themeColor="text1"/>
          <w:sz w:val="22"/>
          <w:szCs w:val="22"/>
        </w:rPr>
        <w:t xml:space="preserve">Lõige </w:t>
      </w:r>
      <w:r>
        <w:rPr>
          <w:b/>
          <w:color w:val="000000" w:themeColor="text1"/>
          <w:sz w:val="22"/>
          <w:szCs w:val="22"/>
        </w:rPr>
        <w:t>1</w:t>
      </w:r>
      <w:r w:rsidRPr="005D2F67">
        <w:rPr>
          <w:b/>
          <w:color w:val="000000" w:themeColor="text1"/>
          <w:sz w:val="22"/>
          <w:szCs w:val="22"/>
        </w:rPr>
        <w:t xml:space="preserve"> </w:t>
      </w:r>
      <w:r w:rsidRPr="005D2F67">
        <w:rPr>
          <w:color w:val="000000" w:themeColor="text1"/>
          <w:sz w:val="22"/>
          <w:szCs w:val="22"/>
        </w:rPr>
        <w:t>s</w:t>
      </w:r>
      <w:r>
        <w:rPr>
          <w:color w:val="000000" w:themeColor="text1"/>
          <w:sz w:val="22"/>
          <w:szCs w:val="22"/>
        </w:rPr>
        <w:t>ätestab</w:t>
      </w:r>
      <w:r w:rsidRPr="005D2F67">
        <w:rPr>
          <w:color w:val="000000" w:themeColor="text1"/>
          <w:sz w:val="22"/>
          <w:szCs w:val="22"/>
        </w:rPr>
        <w:t xml:space="preserve">, et </w:t>
      </w:r>
      <w:r>
        <w:rPr>
          <w:color w:val="000000" w:themeColor="text1"/>
          <w:sz w:val="22"/>
          <w:szCs w:val="22"/>
        </w:rPr>
        <w:t xml:space="preserve">krediidipõhise </w:t>
      </w:r>
      <w:proofErr w:type="spellStart"/>
      <w:r>
        <w:rPr>
          <w:color w:val="000000" w:themeColor="text1"/>
          <w:sz w:val="22"/>
          <w:szCs w:val="22"/>
        </w:rPr>
        <w:t>ühisrahastusteenuse</w:t>
      </w:r>
      <w:proofErr w:type="spellEnd"/>
      <w:r>
        <w:rPr>
          <w:color w:val="000000" w:themeColor="text1"/>
          <w:sz w:val="22"/>
          <w:szCs w:val="22"/>
        </w:rPr>
        <w:t xml:space="preserve"> osutaja või rahastuse taotleja avalikustab oma veebilehel </w:t>
      </w:r>
      <w:r w:rsidRPr="005D2F67">
        <w:rPr>
          <w:color w:val="000000" w:themeColor="text1"/>
          <w:sz w:val="22"/>
          <w:szCs w:val="22"/>
        </w:rPr>
        <w:t>investeerimis</w:t>
      </w:r>
      <w:r>
        <w:rPr>
          <w:color w:val="000000" w:themeColor="text1"/>
          <w:sz w:val="22"/>
          <w:szCs w:val="22"/>
        </w:rPr>
        <w:t xml:space="preserve">projektiga </w:t>
      </w:r>
      <w:r w:rsidRPr="005D2F67">
        <w:rPr>
          <w:color w:val="000000" w:themeColor="text1"/>
          <w:sz w:val="22"/>
          <w:szCs w:val="22"/>
        </w:rPr>
        <w:t xml:space="preserve">seotud riskide suurenemise või realiseerumise kohta teavituse, kui </w:t>
      </w:r>
      <w:r>
        <w:rPr>
          <w:color w:val="000000" w:themeColor="text1"/>
          <w:sz w:val="22"/>
          <w:szCs w:val="22"/>
        </w:rPr>
        <w:t xml:space="preserve">investeerimisprojekti lubatud intressimäär </w:t>
      </w:r>
      <w:r w:rsidRPr="005D2F67">
        <w:rPr>
          <w:color w:val="000000" w:themeColor="text1"/>
          <w:sz w:val="22"/>
          <w:szCs w:val="22"/>
        </w:rPr>
        <w:t xml:space="preserve">ei vasta tegelikkusele või kui on tõenäoline, et </w:t>
      </w:r>
      <w:r>
        <w:rPr>
          <w:color w:val="000000" w:themeColor="text1"/>
          <w:sz w:val="22"/>
          <w:szCs w:val="22"/>
        </w:rPr>
        <w:t>teenuseosutajal, rahastuse taotlejal</w:t>
      </w:r>
      <w:r w:rsidRPr="005D2F67">
        <w:rPr>
          <w:color w:val="000000" w:themeColor="text1"/>
          <w:sz w:val="22"/>
          <w:szCs w:val="22"/>
        </w:rPr>
        <w:t xml:space="preserve"> või muul kohustatud isikul ei ole võimalik kokkulepitud tähtajaks </w:t>
      </w:r>
      <w:r>
        <w:rPr>
          <w:color w:val="000000" w:themeColor="text1"/>
          <w:sz w:val="22"/>
          <w:szCs w:val="22"/>
        </w:rPr>
        <w:t xml:space="preserve">kliendile </w:t>
      </w:r>
      <w:r w:rsidRPr="005D2F67">
        <w:rPr>
          <w:color w:val="000000" w:themeColor="text1"/>
          <w:sz w:val="22"/>
          <w:szCs w:val="22"/>
        </w:rPr>
        <w:t xml:space="preserve">tasuda </w:t>
      </w:r>
      <w:r>
        <w:rPr>
          <w:color w:val="000000" w:themeColor="text1"/>
          <w:sz w:val="22"/>
          <w:szCs w:val="22"/>
        </w:rPr>
        <w:t xml:space="preserve">investeerimisprojektis märgitud </w:t>
      </w:r>
      <w:r w:rsidRPr="005D2F67">
        <w:rPr>
          <w:color w:val="000000" w:themeColor="text1"/>
          <w:sz w:val="22"/>
          <w:szCs w:val="22"/>
        </w:rPr>
        <w:t>intressimäära (</w:t>
      </w:r>
      <w:r w:rsidRPr="005D2F67">
        <w:rPr>
          <w:b/>
          <w:color w:val="000000" w:themeColor="text1"/>
          <w:sz w:val="22"/>
          <w:szCs w:val="22"/>
        </w:rPr>
        <w:t>punkt 1</w:t>
      </w:r>
      <w:r w:rsidRPr="005D2F67">
        <w:rPr>
          <w:color w:val="000000" w:themeColor="text1"/>
          <w:sz w:val="22"/>
          <w:szCs w:val="22"/>
        </w:rPr>
        <w:t>)</w:t>
      </w:r>
      <w:r>
        <w:rPr>
          <w:color w:val="000000" w:themeColor="text1"/>
          <w:sz w:val="22"/>
          <w:szCs w:val="22"/>
        </w:rPr>
        <w:t xml:space="preserve"> või</w:t>
      </w:r>
      <w:r w:rsidRPr="005D2F67">
        <w:rPr>
          <w:color w:val="000000" w:themeColor="text1"/>
          <w:sz w:val="22"/>
          <w:szCs w:val="22"/>
        </w:rPr>
        <w:t xml:space="preserve"> kui rahastuse taotleja ei o</w:t>
      </w:r>
      <w:r w:rsidRPr="005A55CA">
        <w:rPr>
          <w:color w:val="000000" w:themeColor="text1"/>
          <w:sz w:val="22"/>
          <w:szCs w:val="22"/>
        </w:rPr>
        <w:t>le ette nähtud ajaks krediiti tagasi maksnud (</w:t>
      </w:r>
      <w:r w:rsidRPr="005D2F67">
        <w:rPr>
          <w:b/>
          <w:color w:val="000000" w:themeColor="text1"/>
          <w:sz w:val="22"/>
          <w:szCs w:val="22"/>
        </w:rPr>
        <w:t>punkt 2</w:t>
      </w:r>
      <w:r w:rsidRPr="005A55CA">
        <w:rPr>
          <w:color w:val="000000" w:themeColor="text1"/>
          <w:sz w:val="22"/>
          <w:szCs w:val="22"/>
        </w:rPr>
        <w:t xml:space="preserve">). </w:t>
      </w:r>
    </w:p>
    <w:p w14:paraId="5FCDA223" w14:textId="77777777" w:rsidR="00986294" w:rsidRPr="005A55CA" w:rsidRDefault="00986294" w:rsidP="00986294">
      <w:pPr>
        <w:spacing w:before="0"/>
        <w:rPr>
          <w:color w:val="000000" w:themeColor="text1"/>
          <w:sz w:val="22"/>
          <w:szCs w:val="22"/>
        </w:rPr>
      </w:pPr>
    </w:p>
    <w:p w14:paraId="6ED201C3" w14:textId="729A71F5" w:rsidR="00986294" w:rsidRPr="005A55CA" w:rsidRDefault="00986294" w:rsidP="00986294">
      <w:pPr>
        <w:spacing w:before="0"/>
        <w:rPr>
          <w:color w:val="000000" w:themeColor="text1"/>
          <w:sz w:val="22"/>
          <w:szCs w:val="22"/>
        </w:rPr>
      </w:pPr>
      <w:r w:rsidRPr="005A55CA">
        <w:rPr>
          <w:b/>
          <w:color w:val="000000" w:themeColor="text1"/>
          <w:sz w:val="22"/>
          <w:szCs w:val="22"/>
        </w:rPr>
        <w:t xml:space="preserve">Lõige </w:t>
      </w:r>
      <w:r>
        <w:rPr>
          <w:b/>
          <w:color w:val="000000" w:themeColor="text1"/>
          <w:sz w:val="22"/>
          <w:szCs w:val="22"/>
        </w:rPr>
        <w:t>2</w:t>
      </w:r>
      <w:r w:rsidRPr="005A55CA">
        <w:rPr>
          <w:b/>
          <w:color w:val="000000" w:themeColor="text1"/>
          <w:sz w:val="22"/>
          <w:szCs w:val="22"/>
        </w:rPr>
        <w:t xml:space="preserve"> </w:t>
      </w:r>
      <w:r w:rsidRPr="005A55CA">
        <w:rPr>
          <w:color w:val="000000" w:themeColor="text1"/>
          <w:sz w:val="22"/>
          <w:szCs w:val="22"/>
        </w:rPr>
        <w:t xml:space="preserve">täpsustab eelmises lõikes sätestatut selles osas, mis puudutab teavituse ajalisi ja sisulisi nõudeid. Nimelt tuleb riskide suurenemise või realiseerumise teavitus avalikustada esimesel võimalusel, kuid hiljemalt </w:t>
      </w:r>
      <w:r>
        <w:rPr>
          <w:color w:val="000000" w:themeColor="text1"/>
          <w:sz w:val="22"/>
          <w:szCs w:val="22"/>
        </w:rPr>
        <w:t xml:space="preserve">esimesel </w:t>
      </w:r>
      <w:r w:rsidRPr="005A55CA">
        <w:rPr>
          <w:color w:val="000000" w:themeColor="text1"/>
          <w:sz w:val="22"/>
          <w:szCs w:val="22"/>
        </w:rPr>
        <w:t>tööpäeva</w:t>
      </w:r>
      <w:r>
        <w:rPr>
          <w:color w:val="000000" w:themeColor="text1"/>
          <w:sz w:val="22"/>
          <w:szCs w:val="22"/>
        </w:rPr>
        <w:t>l pärast asjaolude ilmnemist.</w:t>
      </w:r>
      <w:r w:rsidRPr="005A55CA">
        <w:rPr>
          <w:color w:val="000000" w:themeColor="text1"/>
          <w:sz w:val="22"/>
          <w:szCs w:val="22"/>
        </w:rPr>
        <w:t xml:space="preserve"> Teavitus ise peab sisaldama teavituse aluseks olevate asjaolude kirjeldust </w:t>
      </w:r>
      <w:r>
        <w:rPr>
          <w:color w:val="000000" w:themeColor="text1"/>
          <w:sz w:val="22"/>
          <w:szCs w:val="22"/>
        </w:rPr>
        <w:t>ja infot</w:t>
      </w:r>
      <w:r w:rsidRPr="005A55CA">
        <w:rPr>
          <w:color w:val="000000" w:themeColor="text1"/>
          <w:sz w:val="22"/>
          <w:szCs w:val="22"/>
        </w:rPr>
        <w:t xml:space="preserve"> riskide kõrvaldamise või vähendamise </w:t>
      </w:r>
      <w:r>
        <w:rPr>
          <w:color w:val="000000" w:themeColor="text1"/>
          <w:sz w:val="22"/>
          <w:szCs w:val="22"/>
        </w:rPr>
        <w:t xml:space="preserve">võimaluste </w:t>
      </w:r>
      <w:r w:rsidRPr="005A55CA">
        <w:rPr>
          <w:color w:val="000000" w:themeColor="text1"/>
          <w:sz w:val="22"/>
          <w:szCs w:val="22"/>
        </w:rPr>
        <w:t>kohta</w:t>
      </w:r>
      <w:r>
        <w:rPr>
          <w:color w:val="000000" w:themeColor="text1"/>
          <w:sz w:val="22"/>
          <w:szCs w:val="22"/>
        </w:rPr>
        <w:t>.</w:t>
      </w:r>
    </w:p>
    <w:p w14:paraId="0886CC40" w14:textId="77777777" w:rsidR="00986294" w:rsidRPr="005A55CA" w:rsidRDefault="00986294" w:rsidP="00986294">
      <w:pPr>
        <w:spacing w:before="0"/>
        <w:rPr>
          <w:color w:val="000000" w:themeColor="text1"/>
          <w:sz w:val="22"/>
          <w:szCs w:val="22"/>
        </w:rPr>
      </w:pPr>
    </w:p>
    <w:p w14:paraId="2F5AA404" w14:textId="498D63C0" w:rsidR="00986294" w:rsidRPr="005928AC" w:rsidRDefault="00986294" w:rsidP="00B82E7B">
      <w:pPr>
        <w:spacing w:before="0"/>
        <w:rPr>
          <w:color w:val="000000" w:themeColor="text1"/>
          <w:sz w:val="22"/>
          <w:szCs w:val="22"/>
        </w:rPr>
      </w:pPr>
      <w:r w:rsidRPr="005A55CA">
        <w:rPr>
          <w:b/>
          <w:color w:val="000000" w:themeColor="text1"/>
          <w:sz w:val="22"/>
          <w:szCs w:val="22"/>
        </w:rPr>
        <w:t xml:space="preserve">Lõige </w:t>
      </w:r>
      <w:r>
        <w:rPr>
          <w:b/>
          <w:color w:val="000000" w:themeColor="text1"/>
          <w:sz w:val="22"/>
          <w:szCs w:val="22"/>
        </w:rPr>
        <w:t>3</w:t>
      </w:r>
      <w:r w:rsidRPr="005A55CA">
        <w:rPr>
          <w:b/>
          <w:color w:val="000000" w:themeColor="text1"/>
          <w:sz w:val="22"/>
          <w:szCs w:val="22"/>
        </w:rPr>
        <w:t xml:space="preserve"> </w:t>
      </w:r>
      <w:r w:rsidRPr="005A55CA">
        <w:rPr>
          <w:color w:val="000000" w:themeColor="text1"/>
          <w:sz w:val="22"/>
          <w:szCs w:val="22"/>
        </w:rPr>
        <w:t>s</w:t>
      </w:r>
      <w:r>
        <w:rPr>
          <w:color w:val="000000" w:themeColor="text1"/>
          <w:sz w:val="22"/>
          <w:szCs w:val="22"/>
        </w:rPr>
        <w:t>ätestab</w:t>
      </w:r>
      <w:r w:rsidRPr="005A55CA">
        <w:rPr>
          <w:color w:val="000000" w:themeColor="text1"/>
          <w:sz w:val="22"/>
          <w:szCs w:val="22"/>
        </w:rPr>
        <w:t xml:space="preserve">, et kui </w:t>
      </w:r>
      <w:r>
        <w:rPr>
          <w:color w:val="000000" w:themeColor="text1"/>
          <w:sz w:val="22"/>
          <w:szCs w:val="22"/>
        </w:rPr>
        <w:t>krediidi</w:t>
      </w:r>
      <w:r w:rsidRPr="005A55CA">
        <w:rPr>
          <w:color w:val="000000" w:themeColor="text1"/>
          <w:sz w:val="22"/>
          <w:szCs w:val="22"/>
        </w:rPr>
        <w:t xml:space="preserve">põhise </w:t>
      </w:r>
      <w:proofErr w:type="spellStart"/>
      <w:r w:rsidRPr="005A55CA">
        <w:rPr>
          <w:color w:val="000000" w:themeColor="text1"/>
          <w:sz w:val="22"/>
          <w:szCs w:val="22"/>
        </w:rPr>
        <w:t>ühisrahastusteenuse</w:t>
      </w:r>
      <w:proofErr w:type="spellEnd"/>
      <w:r w:rsidRPr="005A55CA">
        <w:rPr>
          <w:color w:val="000000" w:themeColor="text1"/>
          <w:sz w:val="22"/>
          <w:szCs w:val="22"/>
        </w:rPr>
        <w:t xml:space="preserve"> osutaja kasutab rahastuse taotleja makseviivituse puhul teatud jaotusi, peab </w:t>
      </w:r>
      <w:proofErr w:type="spellStart"/>
      <w:r>
        <w:rPr>
          <w:color w:val="000000" w:themeColor="text1"/>
          <w:sz w:val="22"/>
          <w:szCs w:val="22"/>
        </w:rPr>
        <w:t>ühisrahastus</w:t>
      </w:r>
      <w:r w:rsidRPr="005A55CA">
        <w:rPr>
          <w:color w:val="000000" w:themeColor="text1"/>
          <w:sz w:val="22"/>
          <w:szCs w:val="22"/>
        </w:rPr>
        <w:t>teenuse</w:t>
      </w:r>
      <w:proofErr w:type="spellEnd"/>
      <w:r>
        <w:rPr>
          <w:color w:val="000000" w:themeColor="text1"/>
          <w:sz w:val="22"/>
          <w:szCs w:val="22"/>
        </w:rPr>
        <w:t xml:space="preserve"> </w:t>
      </w:r>
      <w:r w:rsidRPr="005A55CA">
        <w:rPr>
          <w:color w:val="000000" w:themeColor="text1"/>
          <w:sz w:val="22"/>
          <w:szCs w:val="22"/>
        </w:rPr>
        <w:t xml:space="preserve">osutaja tagama, et kasutatud jaotuste nimetused on asjakohased ja vastavad tegelikkusele. Nimetatud makseviivituste jaotuste all on mõeldud erinevaid termineid, mida teenuseosutajad kasutavad või võivad kasutada selleks, et märkida põhjuseid, miks </w:t>
      </w:r>
      <w:r>
        <w:rPr>
          <w:color w:val="000000" w:themeColor="text1"/>
          <w:sz w:val="22"/>
          <w:szCs w:val="22"/>
        </w:rPr>
        <w:t>klient</w:t>
      </w:r>
      <w:r w:rsidRPr="005A55CA">
        <w:rPr>
          <w:color w:val="000000" w:themeColor="text1"/>
          <w:sz w:val="22"/>
          <w:szCs w:val="22"/>
        </w:rPr>
        <w:t xml:space="preserve"> ei ole saanud oma rahalisi vahendeid kokkulepitud ajaks tagasi, sealhulgas </w:t>
      </w:r>
      <w:r>
        <w:rPr>
          <w:color w:val="000000" w:themeColor="text1"/>
          <w:sz w:val="22"/>
          <w:szCs w:val="22"/>
        </w:rPr>
        <w:t xml:space="preserve">näiteks </w:t>
      </w:r>
      <w:r w:rsidRPr="005A55CA">
        <w:rPr>
          <w:color w:val="000000" w:themeColor="text1"/>
          <w:sz w:val="22"/>
          <w:szCs w:val="22"/>
        </w:rPr>
        <w:t xml:space="preserve">terminid „ootel“, „60 päeva viivises“ või „pankrotistunud“. Lisaks sellele on teenuseosutaja kohustatud esimesel võimalusel ajakohastama makseviivituse jaotuste nimetusi, et tagada vastavalt asjaolude muutumisele ajakohane teave selle kohta, miks teenuseosutaja on makseviivituses </w:t>
      </w:r>
      <w:r>
        <w:rPr>
          <w:color w:val="000000" w:themeColor="text1"/>
          <w:sz w:val="22"/>
          <w:szCs w:val="22"/>
        </w:rPr>
        <w:t>klientide</w:t>
      </w:r>
      <w:r w:rsidRPr="005A55CA">
        <w:rPr>
          <w:color w:val="000000" w:themeColor="text1"/>
          <w:sz w:val="22"/>
          <w:szCs w:val="22"/>
        </w:rPr>
        <w:t xml:space="preserve"> ees.</w:t>
      </w:r>
    </w:p>
    <w:p w14:paraId="66B3EBF6" w14:textId="77777777" w:rsidR="00986294" w:rsidRDefault="00986294" w:rsidP="00B82E7B">
      <w:pPr>
        <w:spacing w:before="0"/>
        <w:rPr>
          <w:b/>
          <w:sz w:val="22"/>
          <w:szCs w:val="22"/>
        </w:rPr>
      </w:pPr>
    </w:p>
    <w:p w14:paraId="31734D35" w14:textId="69111821" w:rsidR="00AF4D3E" w:rsidRPr="005A55CA" w:rsidRDefault="00AF4D3E" w:rsidP="00AF4D3E">
      <w:pPr>
        <w:spacing w:before="0"/>
        <w:rPr>
          <w:sz w:val="22"/>
          <w:szCs w:val="22"/>
        </w:rPr>
      </w:pPr>
      <w:r w:rsidRPr="005A55CA">
        <w:rPr>
          <w:b/>
          <w:sz w:val="22"/>
          <w:szCs w:val="22"/>
        </w:rPr>
        <w:t xml:space="preserve">Paragrahv </w:t>
      </w:r>
      <w:r>
        <w:rPr>
          <w:b/>
          <w:sz w:val="22"/>
          <w:szCs w:val="22"/>
        </w:rPr>
        <w:t>62</w:t>
      </w:r>
      <w:r w:rsidRPr="005A55CA">
        <w:rPr>
          <w:b/>
          <w:sz w:val="22"/>
          <w:szCs w:val="22"/>
        </w:rPr>
        <w:t xml:space="preserve"> </w:t>
      </w:r>
      <w:r w:rsidRPr="005A55CA">
        <w:rPr>
          <w:sz w:val="22"/>
          <w:szCs w:val="22"/>
        </w:rPr>
        <w:t xml:space="preserve">käsitleb lepingueelset järelemõtlemisaega </w:t>
      </w:r>
      <w:r>
        <w:rPr>
          <w:sz w:val="22"/>
          <w:szCs w:val="22"/>
        </w:rPr>
        <w:t xml:space="preserve">mittekogenud klientidele </w:t>
      </w:r>
      <w:proofErr w:type="spellStart"/>
      <w:r>
        <w:rPr>
          <w:sz w:val="22"/>
          <w:szCs w:val="22"/>
        </w:rPr>
        <w:t>ühisrahastusprojekti</w:t>
      </w:r>
      <w:proofErr w:type="spellEnd"/>
      <w:r w:rsidRPr="005A55CA">
        <w:rPr>
          <w:sz w:val="22"/>
          <w:szCs w:val="22"/>
        </w:rPr>
        <w:t xml:space="preserve"> pakkumisel. Paragrahvi keskne idee on suurendada mittekogenud </w:t>
      </w:r>
      <w:r>
        <w:rPr>
          <w:sz w:val="22"/>
          <w:szCs w:val="22"/>
        </w:rPr>
        <w:t>klientide</w:t>
      </w:r>
      <w:r w:rsidRPr="005A55CA">
        <w:rPr>
          <w:sz w:val="22"/>
          <w:szCs w:val="22"/>
        </w:rPr>
        <w:t xml:space="preserve"> võimalus</w:t>
      </w:r>
      <w:r>
        <w:rPr>
          <w:sz w:val="22"/>
          <w:szCs w:val="22"/>
        </w:rPr>
        <w:t>t</w:t>
      </w:r>
      <w:r w:rsidRPr="005A55CA">
        <w:rPr>
          <w:sz w:val="22"/>
          <w:szCs w:val="22"/>
        </w:rPr>
        <w:t xml:space="preserve"> tagasi võtta tahteavaldus, mis on suunatud </w:t>
      </w:r>
      <w:proofErr w:type="spellStart"/>
      <w:r>
        <w:rPr>
          <w:sz w:val="22"/>
          <w:szCs w:val="22"/>
        </w:rPr>
        <w:t>ühisrahastusprojekti</w:t>
      </w:r>
      <w:proofErr w:type="spellEnd"/>
      <w:r>
        <w:rPr>
          <w:sz w:val="22"/>
          <w:szCs w:val="22"/>
        </w:rPr>
        <w:t xml:space="preserve"> ostmisele,</w:t>
      </w:r>
      <w:r w:rsidRPr="005A55CA">
        <w:rPr>
          <w:sz w:val="22"/>
          <w:szCs w:val="22"/>
        </w:rPr>
        <w:t xml:space="preserve"> ning seeläbi anda </w:t>
      </w:r>
      <w:r>
        <w:rPr>
          <w:sz w:val="22"/>
          <w:szCs w:val="22"/>
        </w:rPr>
        <w:t>kliendile</w:t>
      </w:r>
      <w:r w:rsidRPr="005A55CA">
        <w:rPr>
          <w:sz w:val="22"/>
          <w:szCs w:val="22"/>
        </w:rPr>
        <w:t xml:space="preserve"> võimalus taganeda </w:t>
      </w:r>
      <w:proofErr w:type="spellStart"/>
      <w:r>
        <w:rPr>
          <w:sz w:val="22"/>
          <w:szCs w:val="22"/>
        </w:rPr>
        <w:t>ühisrahastusprojektiga</w:t>
      </w:r>
      <w:proofErr w:type="spellEnd"/>
      <w:r>
        <w:rPr>
          <w:sz w:val="22"/>
          <w:szCs w:val="22"/>
        </w:rPr>
        <w:t xml:space="preserve"> seotud</w:t>
      </w:r>
      <w:r w:rsidRPr="005A55CA">
        <w:rPr>
          <w:sz w:val="22"/>
          <w:szCs w:val="22"/>
        </w:rPr>
        <w:t xml:space="preserve"> lepingust sarnasel viisil, mis oleks tarbija</w:t>
      </w:r>
      <w:r w:rsidR="005928AC">
        <w:rPr>
          <w:sz w:val="22"/>
          <w:szCs w:val="22"/>
        </w:rPr>
        <w:t>le</w:t>
      </w:r>
      <w:r w:rsidRPr="005A55CA">
        <w:rPr>
          <w:sz w:val="22"/>
          <w:szCs w:val="22"/>
        </w:rPr>
        <w:t xml:space="preserve"> ette nähtud kaupade </w:t>
      </w:r>
      <w:proofErr w:type="spellStart"/>
      <w:r w:rsidRPr="005A55CA">
        <w:rPr>
          <w:sz w:val="22"/>
          <w:szCs w:val="22"/>
        </w:rPr>
        <w:t>kaugmüügi</w:t>
      </w:r>
      <w:proofErr w:type="spellEnd"/>
      <w:r w:rsidRPr="005A55CA">
        <w:rPr>
          <w:sz w:val="22"/>
          <w:szCs w:val="22"/>
        </w:rPr>
        <w:t xml:space="preserve"> puhul tarbijaõiguse alusel. Sätte eesmärk on vältida ka olukorda, kus </w:t>
      </w:r>
      <w:r w:rsidR="005928AC">
        <w:rPr>
          <w:sz w:val="22"/>
          <w:szCs w:val="22"/>
        </w:rPr>
        <w:t>klient</w:t>
      </w:r>
      <w:r w:rsidRPr="005A55CA">
        <w:rPr>
          <w:sz w:val="22"/>
          <w:szCs w:val="22"/>
        </w:rPr>
        <w:t xml:space="preserve">, kes nõustub pakkumisega, on automaatselt väljendanud nõusolekut ka olla seotud õiguslikke tagajärgi omava lepinguga, omamata sealjuures võimalust mõistliku aja jooksul lepingust taganeda. Samas tasub märkida, et järelemõtlemisaega ei ole vaja kohaldada, kui </w:t>
      </w:r>
      <w:r w:rsidR="005928AC">
        <w:rPr>
          <w:sz w:val="22"/>
          <w:szCs w:val="22"/>
        </w:rPr>
        <w:t>klient v</w:t>
      </w:r>
      <w:r w:rsidRPr="005A55CA">
        <w:rPr>
          <w:sz w:val="22"/>
          <w:szCs w:val="22"/>
        </w:rPr>
        <w:t xml:space="preserve">õib väljendada huvi </w:t>
      </w:r>
      <w:proofErr w:type="spellStart"/>
      <w:r w:rsidR="005928AC">
        <w:rPr>
          <w:sz w:val="22"/>
          <w:szCs w:val="22"/>
        </w:rPr>
        <w:t>ühisrahastusprojekti</w:t>
      </w:r>
      <w:proofErr w:type="spellEnd"/>
      <w:r w:rsidRPr="005A55CA">
        <w:rPr>
          <w:sz w:val="22"/>
          <w:szCs w:val="22"/>
        </w:rPr>
        <w:t xml:space="preserve"> pakkumise suhtes, kui sellisel moel ei seo ta end lepinguga. </w:t>
      </w:r>
      <w:proofErr w:type="spellStart"/>
      <w:r w:rsidR="005928AC">
        <w:rPr>
          <w:sz w:val="22"/>
          <w:szCs w:val="22"/>
        </w:rPr>
        <w:t>Ühisrahastus</w:t>
      </w:r>
      <w:r>
        <w:rPr>
          <w:sz w:val="22"/>
          <w:szCs w:val="22"/>
        </w:rPr>
        <w:t>teenuse</w:t>
      </w:r>
      <w:proofErr w:type="spellEnd"/>
      <w:r>
        <w:rPr>
          <w:sz w:val="22"/>
          <w:szCs w:val="22"/>
        </w:rPr>
        <w:t xml:space="preserve"> osutaja</w:t>
      </w:r>
      <w:r w:rsidRPr="005A55CA">
        <w:rPr>
          <w:sz w:val="22"/>
          <w:szCs w:val="22"/>
        </w:rPr>
        <w:t xml:space="preserve"> peaks </w:t>
      </w:r>
      <w:proofErr w:type="spellStart"/>
      <w:r w:rsidR="005928AC">
        <w:rPr>
          <w:sz w:val="22"/>
          <w:szCs w:val="22"/>
        </w:rPr>
        <w:t>ühisrahastusprojekti</w:t>
      </w:r>
      <w:proofErr w:type="spellEnd"/>
      <w:r>
        <w:rPr>
          <w:sz w:val="22"/>
          <w:szCs w:val="22"/>
        </w:rPr>
        <w:t xml:space="preserve"> pakkumise puhul </w:t>
      </w:r>
      <w:r w:rsidRPr="005A55CA">
        <w:rPr>
          <w:sz w:val="22"/>
          <w:szCs w:val="22"/>
        </w:rPr>
        <w:t xml:space="preserve">talitama selliselt, et </w:t>
      </w:r>
      <w:r w:rsidR="005928AC">
        <w:rPr>
          <w:sz w:val="22"/>
          <w:szCs w:val="22"/>
        </w:rPr>
        <w:t>kliendilt</w:t>
      </w:r>
      <w:r w:rsidRPr="005A55CA">
        <w:rPr>
          <w:sz w:val="22"/>
          <w:szCs w:val="22"/>
        </w:rPr>
        <w:t xml:space="preserve"> kogut</w:t>
      </w:r>
      <w:r>
        <w:rPr>
          <w:sz w:val="22"/>
          <w:szCs w:val="22"/>
        </w:rPr>
        <w:t>ud</w:t>
      </w:r>
      <w:r w:rsidRPr="005A55CA">
        <w:rPr>
          <w:sz w:val="22"/>
          <w:szCs w:val="22"/>
        </w:rPr>
        <w:t xml:space="preserve"> raha </w:t>
      </w:r>
      <w:r>
        <w:rPr>
          <w:sz w:val="22"/>
          <w:szCs w:val="22"/>
        </w:rPr>
        <w:t xml:space="preserve">ei anta </w:t>
      </w:r>
      <w:r w:rsidRPr="005A55CA">
        <w:rPr>
          <w:sz w:val="22"/>
          <w:szCs w:val="22"/>
        </w:rPr>
        <w:t>enne järelemõtlemisperioodi lõppu</w:t>
      </w:r>
      <w:r>
        <w:rPr>
          <w:sz w:val="22"/>
          <w:szCs w:val="22"/>
        </w:rPr>
        <w:t xml:space="preserve"> rahastuse taotleja käsutusse, või muul sarnasel moel, mis tagaks </w:t>
      </w:r>
      <w:r w:rsidR="005928AC">
        <w:rPr>
          <w:sz w:val="22"/>
          <w:szCs w:val="22"/>
        </w:rPr>
        <w:t>kliendi</w:t>
      </w:r>
      <w:r>
        <w:rPr>
          <w:sz w:val="22"/>
          <w:szCs w:val="22"/>
        </w:rPr>
        <w:t xml:space="preserve"> võimaluse </w:t>
      </w:r>
      <w:proofErr w:type="spellStart"/>
      <w:r>
        <w:rPr>
          <w:sz w:val="22"/>
          <w:szCs w:val="22"/>
        </w:rPr>
        <w:t>oferdi</w:t>
      </w:r>
      <w:proofErr w:type="spellEnd"/>
      <w:r>
        <w:rPr>
          <w:sz w:val="22"/>
          <w:szCs w:val="22"/>
        </w:rPr>
        <w:t xml:space="preserve"> või huviavalduse tagasivõtmisel saada tagasi ka omapoolne sooritus (sh investeeritud raha)</w:t>
      </w:r>
      <w:r w:rsidRPr="005A55CA">
        <w:rPr>
          <w:sz w:val="22"/>
          <w:szCs w:val="22"/>
        </w:rPr>
        <w:t xml:space="preserve">. </w:t>
      </w:r>
    </w:p>
    <w:p w14:paraId="2F65A659" w14:textId="77777777" w:rsidR="00AF4D3E" w:rsidRDefault="00AF4D3E" w:rsidP="00AF4D3E">
      <w:pPr>
        <w:spacing w:before="0"/>
        <w:rPr>
          <w:sz w:val="22"/>
          <w:szCs w:val="22"/>
        </w:rPr>
      </w:pPr>
    </w:p>
    <w:p w14:paraId="69AB71BB" w14:textId="77777777" w:rsidR="00AF4D3E" w:rsidRPr="005A55CA" w:rsidRDefault="00AF4D3E" w:rsidP="00AF4D3E">
      <w:pPr>
        <w:spacing w:before="0"/>
        <w:rPr>
          <w:sz w:val="22"/>
          <w:szCs w:val="22"/>
        </w:rPr>
      </w:pPr>
      <w:r>
        <w:rPr>
          <w:sz w:val="22"/>
          <w:szCs w:val="22"/>
        </w:rPr>
        <w:t xml:space="preserve">EL </w:t>
      </w:r>
      <w:proofErr w:type="spellStart"/>
      <w:r>
        <w:rPr>
          <w:sz w:val="22"/>
          <w:szCs w:val="22"/>
        </w:rPr>
        <w:t>ühisrahastusmääruse</w:t>
      </w:r>
      <w:proofErr w:type="spellEnd"/>
      <w:r>
        <w:rPr>
          <w:sz w:val="22"/>
          <w:szCs w:val="22"/>
        </w:rPr>
        <w:t xml:space="preserve"> põhjenduspunkti 47 kohaselt „s</w:t>
      </w:r>
      <w:r w:rsidRPr="004B7853">
        <w:rPr>
          <w:sz w:val="22"/>
          <w:szCs w:val="22"/>
        </w:rPr>
        <w:t xml:space="preserve">elleks et tugevdada mittekogenud investorite kaitset, on vaja sätestada järelemõtlemisaeg, mille jooksul potentsiaalne mittekogenud investor võib põhjenduste ja tagajärgedeta tühistada investeerimispakkumuse või huvi avaldamise konkreetse </w:t>
      </w:r>
      <w:proofErr w:type="spellStart"/>
      <w:r w:rsidRPr="004B7853">
        <w:rPr>
          <w:sz w:val="22"/>
          <w:szCs w:val="22"/>
        </w:rPr>
        <w:t>ühisrahastuspakkumise</w:t>
      </w:r>
      <w:proofErr w:type="spellEnd"/>
      <w:r w:rsidRPr="004B7853">
        <w:rPr>
          <w:sz w:val="22"/>
          <w:szCs w:val="22"/>
        </w:rPr>
        <w:t xml:space="preserve"> vastu. See on vajalik vältimaks olukorda, kus potentsiaalne mittekogenud investor võtab koos </w:t>
      </w:r>
      <w:proofErr w:type="spellStart"/>
      <w:r w:rsidRPr="004B7853">
        <w:rPr>
          <w:sz w:val="22"/>
          <w:szCs w:val="22"/>
        </w:rPr>
        <w:t>ühisrahastuspakkumisega</w:t>
      </w:r>
      <w:proofErr w:type="spellEnd"/>
      <w:r w:rsidRPr="004B7853">
        <w:rPr>
          <w:sz w:val="22"/>
          <w:szCs w:val="22"/>
        </w:rPr>
        <w:t xml:space="preserve"> vastu ka pakkumise sõlmida õiguslikult siduv leping, millest ei ole võimalik mõistliku aja jooksul taganeda. Järelemõtlemisaeg ei ole vajalik, kui potentsiaalne mittekogenud investor saab avaldada huvi konkreetse </w:t>
      </w:r>
      <w:proofErr w:type="spellStart"/>
      <w:r w:rsidRPr="004B7853">
        <w:rPr>
          <w:sz w:val="22"/>
          <w:szCs w:val="22"/>
        </w:rPr>
        <w:t>ühisrahastuspakkumise</w:t>
      </w:r>
      <w:proofErr w:type="spellEnd"/>
      <w:r w:rsidRPr="004B7853">
        <w:rPr>
          <w:sz w:val="22"/>
          <w:szCs w:val="22"/>
        </w:rPr>
        <w:t xml:space="preserve"> vastu, ilma et ta seoks end seeläbi lepinguga, välja arvatud juhul, kui investeerimispakkumine tehti või huvi avaldati pakkumise kavandatud lõppkuupäeva või rahastamise sihteesmärgi saavutamise kuupäeva lähedal. </w:t>
      </w:r>
      <w:proofErr w:type="spellStart"/>
      <w:r w:rsidRPr="004B7853">
        <w:rPr>
          <w:sz w:val="22"/>
          <w:szCs w:val="22"/>
        </w:rPr>
        <w:t>Ühisrahastusteenuse</w:t>
      </w:r>
      <w:proofErr w:type="spellEnd"/>
      <w:r w:rsidRPr="004B7853">
        <w:rPr>
          <w:sz w:val="22"/>
          <w:szCs w:val="22"/>
        </w:rPr>
        <w:t xml:space="preserve"> osutajad peaksid tagama, et enne järelemõtlemisaja lõppemist ei koguta investorilt raha ega kanta seda üle projektiomanikule</w:t>
      </w:r>
      <w:r>
        <w:rPr>
          <w:sz w:val="22"/>
          <w:szCs w:val="22"/>
        </w:rPr>
        <w:t>“</w:t>
      </w:r>
      <w:r w:rsidRPr="004B7853">
        <w:rPr>
          <w:sz w:val="22"/>
          <w:szCs w:val="22"/>
        </w:rPr>
        <w:t>.</w:t>
      </w:r>
    </w:p>
    <w:p w14:paraId="7137051F" w14:textId="77777777" w:rsidR="00AF4D3E" w:rsidRPr="005A55CA" w:rsidRDefault="00AF4D3E" w:rsidP="00AF4D3E">
      <w:pPr>
        <w:pStyle w:val="Heading2"/>
        <w:spacing w:before="0"/>
        <w:jc w:val="both"/>
        <w:rPr>
          <w:rFonts w:eastAsia="Calibri"/>
          <w:sz w:val="22"/>
          <w:szCs w:val="22"/>
        </w:rPr>
      </w:pPr>
    </w:p>
    <w:p w14:paraId="66CC6F92" w14:textId="1E2AA58B" w:rsidR="00AF4D3E" w:rsidRPr="005A55CA" w:rsidRDefault="00AF4D3E" w:rsidP="00AF4D3E">
      <w:pPr>
        <w:spacing w:before="0"/>
        <w:contextualSpacing/>
        <w:rPr>
          <w:rFonts w:eastAsia="Calibri"/>
          <w:sz w:val="22"/>
          <w:szCs w:val="22"/>
        </w:rPr>
      </w:pPr>
      <w:r w:rsidRPr="005A55CA">
        <w:rPr>
          <w:rFonts w:eastAsia="Calibri"/>
          <w:b/>
          <w:sz w:val="22"/>
          <w:szCs w:val="22"/>
        </w:rPr>
        <w:t xml:space="preserve">Lõike 1 </w:t>
      </w:r>
      <w:r w:rsidRPr="005A55CA">
        <w:rPr>
          <w:rFonts w:eastAsia="Calibri"/>
          <w:sz w:val="22"/>
          <w:szCs w:val="22"/>
        </w:rPr>
        <w:t xml:space="preserve">kohaselt peab </w:t>
      </w:r>
      <w:proofErr w:type="spellStart"/>
      <w:r w:rsidR="003679E5">
        <w:rPr>
          <w:rFonts w:eastAsia="Calibri"/>
          <w:sz w:val="22"/>
          <w:szCs w:val="22"/>
        </w:rPr>
        <w:t>ühisrahastus</w:t>
      </w:r>
      <w:r w:rsidRPr="005A55CA">
        <w:rPr>
          <w:rFonts w:eastAsia="Calibri"/>
          <w:sz w:val="22"/>
          <w:szCs w:val="22"/>
        </w:rPr>
        <w:t>teenuse</w:t>
      </w:r>
      <w:proofErr w:type="spellEnd"/>
      <w:r>
        <w:rPr>
          <w:rFonts w:eastAsia="Calibri"/>
          <w:sz w:val="22"/>
          <w:szCs w:val="22"/>
        </w:rPr>
        <w:t xml:space="preserve"> </w:t>
      </w:r>
      <w:r w:rsidRPr="005A55CA">
        <w:rPr>
          <w:rFonts w:eastAsia="Calibri"/>
          <w:sz w:val="22"/>
          <w:szCs w:val="22"/>
        </w:rPr>
        <w:t xml:space="preserve">osutaja ette nägema </w:t>
      </w:r>
      <w:r w:rsidR="003679E5">
        <w:rPr>
          <w:rFonts w:eastAsia="Calibri"/>
          <w:sz w:val="22"/>
          <w:szCs w:val="22"/>
        </w:rPr>
        <w:t xml:space="preserve">mõistliku </w:t>
      </w:r>
      <w:r w:rsidRPr="005A55CA">
        <w:rPr>
          <w:rFonts w:eastAsia="Calibri"/>
          <w:sz w:val="22"/>
          <w:szCs w:val="22"/>
        </w:rPr>
        <w:t xml:space="preserve">lepingueelse järelemõtlemisaja, mille jooksul </w:t>
      </w:r>
      <w:r w:rsidR="003679E5">
        <w:rPr>
          <w:rFonts w:eastAsia="Calibri"/>
          <w:sz w:val="22"/>
          <w:szCs w:val="22"/>
        </w:rPr>
        <w:t>klient</w:t>
      </w:r>
      <w:r w:rsidRPr="005A55CA">
        <w:rPr>
          <w:rFonts w:eastAsia="Calibri"/>
          <w:sz w:val="22"/>
          <w:szCs w:val="22"/>
        </w:rPr>
        <w:t xml:space="preserve"> võib oma pakkumisega seotud </w:t>
      </w:r>
      <w:proofErr w:type="spellStart"/>
      <w:r w:rsidRPr="005A55CA">
        <w:rPr>
          <w:rFonts w:eastAsia="Calibri"/>
          <w:sz w:val="22"/>
          <w:szCs w:val="22"/>
        </w:rPr>
        <w:t>oferdi</w:t>
      </w:r>
      <w:proofErr w:type="spellEnd"/>
      <w:r w:rsidRPr="005A55CA">
        <w:rPr>
          <w:rFonts w:eastAsia="Calibri"/>
          <w:sz w:val="22"/>
          <w:szCs w:val="22"/>
        </w:rPr>
        <w:t xml:space="preserve"> või huviavalduse ilma põhjuseta tagasi võtta</w:t>
      </w:r>
      <w:r>
        <w:rPr>
          <w:rFonts w:eastAsia="Calibri"/>
          <w:sz w:val="22"/>
          <w:szCs w:val="22"/>
        </w:rPr>
        <w:t xml:space="preserve">, </w:t>
      </w:r>
      <w:r w:rsidRPr="00CE6EA3">
        <w:rPr>
          <w:rFonts w:eastAsia="Calibri"/>
          <w:sz w:val="22"/>
          <w:szCs w:val="22"/>
        </w:rPr>
        <w:t xml:space="preserve">kui </w:t>
      </w:r>
      <w:r w:rsidR="003679E5">
        <w:rPr>
          <w:rFonts w:eastAsia="Calibri"/>
          <w:sz w:val="22"/>
          <w:szCs w:val="22"/>
        </w:rPr>
        <w:t>mittekogenud kliendi poolt ühte investeerimisprojekti investeeritud summa</w:t>
      </w:r>
      <w:r w:rsidRPr="00CE6EA3">
        <w:rPr>
          <w:rFonts w:eastAsia="Calibri"/>
          <w:sz w:val="22"/>
          <w:szCs w:val="22"/>
        </w:rPr>
        <w:t xml:space="preserve"> on suurem kui 200 eurot</w:t>
      </w:r>
      <w:r w:rsidRPr="005A55CA">
        <w:rPr>
          <w:rFonts w:eastAsia="Calibri"/>
          <w:sz w:val="22"/>
          <w:szCs w:val="22"/>
        </w:rPr>
        <w:t xml:space="preserve">. Nimetatud õiguse kasutamine ei tohi põhjustada </w:t>
      </w:r>
      <w:r w:rsidR="003679E5">
        <w:rPr>
          <w:rFonts w:eastAsia="Calibri"/>
          <w:sz w:val="22"/>
          <w:szCs w:val="22"/>
        </w:rPr>
        <w:t>kliendile</w:t>
      </w:r>
      <w:r w:rsidRPr="005A55CA">
        <w:rPr>
          <w:rFonts w:eastAsia="Calibri"/>
          <w:sz w:val="22"/>
          <w:szCs w:val="22"/>
        </w:rPr>
        <w:t xml:space="preserve"> kulusid ega põhjendamatuid ebamugavusi. Põhjendamatu ebamugavusena antud lõike tähenduses tuleks käsitleda iga toimingut või tegevust, mis ei ole sarnane esialgselt antud </w:t>
      </w:r>
      <w:proofErr w:type="spellStart"/>
      <w:r w:rsidRPr="005A55CA">
        <w:rPr>
          <w:rFonts w:eastAsia="Calibri"/>
          <w:sz w:val="22"/>
          <w:szCs w:val="22"/>
        </w:rPr>
        <w:t>oferdi</w:t>
      </w:r>
      <w:proofErr w:type="spellEnd"/>
      <w:r w:rsidRPr="005A55CA">
        <w:rPr>
          <w:rFonts w:eastAsia="Calibri"/>
          <w:sz w:val="22"/>
          <w:szCs w:val="22"/>
        </w:rPr>
        <w:t xml:space="preserve"> tegemisele </w:t>
      </w:r>
      <w:r w:rsidR="003679E5">
        <w:rPr>
          <w:rFonts w:eastAsia="Calibri"/>
          <w:sz w:val="22"/>
          <w:szCs w:val="22"/>
        </w:rPr>
        <w:t>kliendi</w:t>
      </w:r>
      <w:r w:rsidRPr="005A55CA">
        <w:rPr>
          <w:rFonts w:eastAsia="Calibri"/>
          <w:sz w:val="22"/>
          <w:szCs w:val="22"/>
        </w:rPr>
        <w:t xml:space="preserve"> poolt, sealhulgas, kuid mitte ainult, muu suhtlus- või vahenduskanali kasutamise kohustus, isiklikult kohale ilmumise kohustus (kui </w:t>
      </w:r>
      <w:proofErr w:type="spellStart"/>
      <w:r w:rsidRPr="005A55CA">
        <w:rPr>
          <w:rFonts w:eastAsia="Calibri"/>
          <w:sz w:val="22"/>
          <w:szCs w:val="22"/>
        </w:rPr>
        <w:t>ofert</w:t>
      </w:r>
      <w:proofErr w:type="spellEnd"/>
      <w:r w:rsidRPr="005A55CA">
        <w:rPr>
          <w:rFonts w:eastAsia="Calibri"/>
          <w:sz w:val="22"/>
          <w:szCs w:val="22"/>
        </w:rPr>
        <w:t xml:space="preserve"> edastati algselt elektroonilisi kanaleid kasutades), täiendavate andmete edastamise kohustus (kui täiendavad andmed ei ole suunatud isikutuvastamisele), jne.</w:t>
      </w:r>
      <w:r>
        <w:rPr>
          <w:rFonts w:eastAsia="Calibri"/>
          <w:sz w:val="22"/>
          <w:szCs w:val="22"/>
        </w:rPr>
        <w:t xml:space="preserve"> </w:t>
      </w:r>
      <w:r w:rsidRPr="008278AA">
        <w:rPr>
          <w:rFonts w:eastAsia="Calibri"/>
          <w:sz w:val="22"/>
          <w:szCs w:val="22"/>
        </w:rPr>
        <w:t xml:space="preserve">Sätte alguses toodud 200 </w:t>
      </w:r>
      <w:proofErr w:type="spellStart"/>
      <w:r w:rsidRPr="008278AA">
        <w:rPr>
          <w:rFonts w:eastAsia="Calibri"/>
          <w:sz w:val="22"/>
          <w:szCs w:val="22"/>
        </w:rPr>
        <w:t>eurone</w:t>
      </w:r>
      <w:proofErr w:type="spellEnd"/>
      <w:r w:rsidRPr="008278AA">
        <w:rPr>
          <w:rFonts w:eastAsia="Calibri"/>
          <w:sz w:val="22"/>
          <w:szCs w:val="22"/>
        </w:rPr>
        <w:t xml:space="preserve"> investeeritud summa piirmäär põhineb direktiivil 2008/48/EÜ ning on lisatud seetõttu, et väga väikes</w:t>
      </w:r>
      <w:r w:rsidR="003679E5">
        <w:rPr>
          <w:rFonts w:eastAsia="Calibri"/>
          <w:sz w:val="22"/>
          <w:szCs w:val="22"/>
        </w:rPr>
        <w:t>t</w:t>
      </w:r>
      <w:r w:rsidRPr="008278AA">
        <w:rPr>
          <w:rFonts w:eastAsia="Calibri"/>
          <w:sz w:val="22"/>
          <w:szCs w:val="22"/>
        </w:rPr>
        <w:t xml:space="preserve">e </w:t>
      </w:r>
      <w:r w:rsidR="003679E5">
        <w:rPr>
          <w:rFonts w:eastAsia="Calibri"/>
          <w:sz w:val="22"/>
          <w:szCs w:val="22"/>
        </w:rPr>
        <w:t>investeeritud</w:t>
      </w:r>
      <w:r w:rsidRPr="008278AA">
        <w:rPr>
          <w:rFonts w:eastAsia="Calibri"/>
          <w:sz w:val="22"/>
          <w:szCs w:val="22"/>
        </w:rPr>
        <w:t xml:space="preserve"> </w:t>
      </w:r>
      <w:r w:rsidR="003679E5">
        <w:rPr>
          <w:rFonts w:eastAsia="Calibri"/>
          <w:sz w:val="22"/>
          <w:szCs w:val="22"/>
        </w:rPr>
        <w:t>summade</w:t>
      </w:r>
      <w:r w:rsidRPr="008278AA">
        <w:rPr>
          <w:rFonts w:eastAsia="Calibri"/>
          <w:sz w:val="22"/>
          <w:szCs w:val="22"/>
        </w:rPr>
        <w:t xml:space="preserve"> puhul võib olla </w:t>
      </w:r>
      <w:r w:rsidR="003679E5">
        <w:rPr>
          <w:rFonts w:eastAsia="Calibri"/>
          <w:sz w:val="22"/>
          <w:szCs w:val="22"/>
        </w:rPr>
        <w:t>igakordne taganemisõiguse kasutamine teenuseosutajale</w:t>
      </w:r>
      <w:r w:rsidRPr="008278AA">
        <w:rPr>
          <w:rFonts w:eastAsia="Calibri"/>
          <w:sz w:val="22"/>
          <w:szCs w:val="22"/>
        </w:rPr>
        <w:t xml:space="preserve"> liialt koormav ning liialt aeglustada väikese koguväärtustega pakkumiste peatamise protsessi.</w:t>
      </w:r>
    </w:p>
    <w:p w14:paraId="4BE110E0" w14:textId="77777777" w:rsidR="00AF4D3E" w:rsidRPr="005A55CA" w:rsidRDefault="00AF4D3E" w:rsidP="00AF4D3E">
      <w:pPr>
        <w:spacing w:before="0"/>
        <w:contextualSpacing/>
        <w:rPr>
          <w:rFonts w:eastAsia="Calibri"/>
          <w:sz w:val="22"/>
          <w:szCs w:val="22"/>
        </w:rPr>
      </w:pPr>
    </w:p>
    <w:p w14:paraId="14513D3D" w14:textId="57672262" w:rsidR="00AF4D3E" w:rsidRPr="005A55CA" w:rsidRDefault="003679E5" w:rsidP="00AF4D3E">
      <w:pPr>
        <w:spacing w:before="0"/>
        <w:rPr>
          <w:rFonts w:eastAsia="Calibri"/>
          <w:sz w:val="22"/>
          <w:szCs w:val="22"/>
        </w:rPr>
      </w:pPr>
      <w:r w:rsidRPr="00D25CE5">
        <w:rPr>
          <w:rFonts w:eastAsia="Calibri"/>
          <w:bCs/>
          <w:sz w:val="22"/>
          <w:szCs w:val="22"/>
        </w:rPr>
        <w:t>Mõistliku lepingueelse järelemõtlemisaja puhul peetakse silmas seda, et klientidel</w:t>
      </w:r>
      <w:r w:rsidR="00AF4D3E" w:rsidRPr="00D25CE5">
        <w:rPr>
          <w:rFonts w:eastAsia="Calibri"/>
          <w:sz w:val="22"/>
          <w:szCs w:val="22"/>
        </w:rPr>
        <w:t>, kes paigutavad raha investeerimisprojekti vahetult enne raha kaasamise tähtaja lõppu</w:t>
      </w:r>
      <w:r w:rsidR="00D25CE5">
        <w:rPr>
          <w:rFonts w:eastAsia="Calibri"/>
          <w:sz w:val="22"/>
          <w:szCs w:val="22"/>
        </w:rPr>
        <w:t>, oleks võimalik mõistliku aja jooksul lepingust taganeda.</w:t>
      </w:r>
      <w:r w:rsidR="00AF4D3E" w:rsidRPr="005A55CA">
        <w:rPr>
          <w:rFonts w:eastAsia="Calibri"/>
          <w:sz w:val="22"/>
          <w:szCs w:val="22"/>
        </w:rPr>
        <w:t xml:space="preserve"> </w:t>
      </w:r>
      <w:r w:rsidR="00F135EB">
        <w:rPr>
          <w:rFonts w:eastAsia="Calibri"/>
          <w:sz w:val="22"/>
          <w:szCs w:val="22"/>
        </w:rPr>
        <w:t xml:space="preserve">Kui varasemas eelnõu versioonis oli selleks määratletud 4 kalendripäeva, siis uues eelnõu versioonis on täpse </w:t>
      </w:r>
      <w:r w:rsidR="006C4528">
        <w:rPr>
          <w:rFonts w:eastAsia="Calibri"/>
          <w:sz w:val="22"/>
          <w:szCs w:val="22"/>
        </w:rPr>
        <w:t>aja</w:t>
      </w:r>
      <w:r w:rsidR="00F135EB">
        <w:rPr>
          <w:rFonts w:eastAsia="Calibri"/>
          <w:sz w:val="22"/>
          <w:szCs w:val="22"/>
        </w:rPr>
        <w:t xml:space="preserve">perioodi määratlemisest </w:t>
      </w:r>
      <w:r w:rsidR="006C4528">
        <w:rPr>
          <w:rFonts w:eastAsia="Calibri"/>
          <w:sz w:val="22"/>
          <w:szCs w:val="22"/>
        </w:rPr>
        <w:t xml:space="preserve">suurema paindlikkuse huvides </w:t>
      </w:r>
      <w:r w:rsidR="00F135EB">
        <w:rPr>
          <w:rFonts w:eastAsia="Calibri"/>
          <w:sz w:val="22"/>
          <w:szCs w:val="22"/>
        </w:rPr>
        <w:t>loobutud. Siiski võiks eeldada, et mõistlik lepingueelne järelemõtlemisaeg ei saa olla nö loetud</w:t>
      </w:r>
      <w:r w:rsidR="006C4528">
        <w:rPr>
          <w:rFonts w:eastAsia="Calibri"/>
          <w:sz w:val="22"/>
          <w:szCs w:val="22"/>
        </w:rPr>
        <w:t xml:space="preserve"> minutites ega ka</w:t>
      </w:r>
      <w:r w:rsidR="00F135EB">
        <w:rPr>
          <w:rFonts w:eastAsia="Calibri"/>
          <w:sz w:val="22"/>
          <w:szCs w:val="22"/>
        </w:rPr>
        <w:t xml:space="preserve"> tundides, vaid pigem tuleks anda järelemõtlemisajaks vähemalt ü</w:t>
      </w:r>
      <w:r w:rsidR="006C4528">
        <w:rPr>
          <w:rFonts w:eastAsia="Calibri"/>
          <w:sz w:val="22"/>
          <w:szCs w:val="22"/>
        </w:rPr>
        <w:t>ks</w:t>
      </w:r>
      <w:r w:rsidR="00F135EB">
        <w:rPr>
          <w:rFonts w:eastAsia="Calibri"/>
          <w:sz w:val="22"/>
          <w:szCs w:val="22"/>
        </w:rPr>
        <w:t xml:space="preserve"> ööpäev või isegi </w:t>
      </w:r>
      <w:r w:rsidR="006C4528">
        <w:rPr>
          <w:rFonts w:eastAsia="Calibri"/>
          <w:sz w:val="22"/>
          <w:szCs w:val="22"/>
        </w:rPr>
        <w:t>pikem periood</w:t>
      </w:r>
      <w:r w:rsidR="00F135EB">
        <w:rPr>
          <w:rFonts w:eastAsia="Calibri"/>
          <w:sz w:val="22"/>
          <w:szCs w:val="22"/>
        </w:rPr>
        <w:t>.</w:t>
      </w:r>
      <w:r w:rsidR="00D35580">
        <w:rPr>
          <w:rFonts w:eastAsia="Calibri"/>
          <w:sz w:val="22"/>
          <w:szCs w:val="22"/>
        </w:rPr>
        <w:t xml:space="preserve"> </w:t>
      </w:r>
    </w:p>
    <w:p w14:paraId="0BA71B2A" w14:textId="77777777" w:rsidR="00AF4D3E" w:rsidRPr="005A55CA" w:rsidRDefault="00AF4D3E" w:rsidP="00AF4D3E">
      <w:pPr>
        <w:spacing w:before="0"/>
        <w:contextualSpacing/>
        <w:rPr>
          <w:rFonts w:eastAsia="Calibri"/>
          <w:sz w:val="22"/>
          <w:szCs w:val="22"/>
        </w:rPr>
      </w:pPr>
    </w:p>
    <w:p w14:paraId="24C9D11B" w14:textId="3CEC925F" w:rsidR="00AF4D3E" w:rsidRDefault="00AF4D3E" w:rsidP="00AF4D3E">
      <w:pPr>
        <w:spacing w:before="0"/>
        <w:contextualSpacing/>
        <w:rPr>
          <w:rFonts w:eastAsia="Calibri"/>
          <w:sz w:val="22"/>
          <w:szCs w:val="22"/>
        </w:rPr>
      </w:pPr>
      <w:r w:rsidRPr="005A55CA">
        <w:rPr>
          <w:rFonts w:eastAsia="Calibri"/>
          <w:b/>
          <w:sz w:val="22"/>
          <w:szCs w:val="22"/>
        </w:rPr>
        <w:t xml:space="preserve">Lõike </w:t>
      </w:r>
      <w:r w:rsidR="007C70D6">
        <w:rPr>
          <w:rFonts w:eastAsia="Calibri"/>
          <w:b/>
          <w:sz w:val="22"/>
          <w:szCs w:val="22"/>
        </w:rPr>
        <w:t>2</w:t>
      </w:r>
      <w:r w:rsidRPr="005A55CA">
        <w:rPr>
          <w:rFonts w:eastAsia="Calibri"/>
          <w:sz w:val="22"/>
          <w:szCs w:val="22"/>
        </w:rPr>
        <w:t xml:space="preserve"> järgi peab </w:t>
      </w:r>
      <w:proofErr w:type="spellStart"/>
      <w:r w:rsidR="007C70D6">
        <w:rPr>
          <w:rFonts w:eastAsia="Calibri"/>
          <w:sz w:val="22"/>
          <w:szCs w:val="22"/>
        </w:rPr>
        <w:t>ühisrahastus</w:t>
      </w:r>
      <w:r w:rsidRPr="005A55CA">
        <w:rPr>
          <w:rFonts w:eastAsia="Calibri"/>
          <w:sz w:val="22"/>
          <w:szCs w:val="22"/>
        </w:rPr>
        <w:t>teenuse</w:t>
      </w:r>
      <w:proofErr w:type="spellEnd"/>
      <w:r w:rsidR="007C70D6">
        <w:rPr>
          <w:rFonts w:eastAsia="Calibri"/>
          <w:sz w:val="22"/>
          <w:szCs w:val="22"/>
        </w:rPr>
        <w:t xml:space="preserve"> </w:t>
      </w:r>
      <w:r w:rsidRPr="005A55CA">
        <w:rPr>
          <w:rFonts w:eastAsia="Calibri"/>
          <w:sz w:val="22"/>
          <w:szCs w:val="22"/>
        </w:rPr>
        <w:t xml:space="preserve">osutaja arvestust talle esitatud </w:t>
      </w:r>
      <w:proofErr w:type="spellStart"/>
      <w:r w:rsidRPr="005A55CA">
        <w:rPr>
          <w:rFonts w:eastAsia="Calibri"/>
          <w:sz w:val="22"/>
          <w:szCs w:val="22"/>
        </w:rPr>
        <w:t>ofertide</w:t>
      </w:r>
      <w:proofErr w:type="spellEnd"/>
      <w:r w:rsidRPr="005A55CA">
        <w:rPr>
          <w:rFonts w:eastAsia="Calibri"/>
          <w:sz w:val="22"/>
          <w:szCs w:val="22"/>
        </w:rPr>
        <w:t xml:space="preserve"> ja huviavalduste ning nende saamise aja kohta. </w:t>
      </w:r>
      <w:r w:rsidR="007C70D6">
        <w:rPr>
          <w:rFonts w:eastAsia="Calibri"/>
          <w:sz w:val="22"/>
          <w:szCs w:val="22"/>
        </w:rPr>
        <w:t>Vastav k</w:t>
      </w:r>
      <w:r w:rsidRPr="005A55CA">
        <w:rPr>
          <w:rFonts w:eastAsia="Calibri"/>
          <w:sz w:val="22"/>
          <w:szCs w:val="22"/>
        </w:rPr>
        <w:t xml:space="preserve">ohustus </w:t>
      </w:r>
      <w:r w:rsidR="007C70D6">
        <w:rPr>
          <w:rFonts w:eastAsia="Calibri"/>
          <w:sz w:val="22"/>
          <w:szCs w:val="22"/>
        </w:rPr>
        <w:t>on sätestatud ka</w:t>
      </w:r>
      <w:r w:rsidRPr="005A55CA">
        <w:rPr>
          <w:rFonts w:eastAsia="Calibri"/>
          <w:sz w:val="22"/>
          <w:szCs w:val="22"/>
        </w:rPr>
        <w:t xml:space="preserve"> </w:t>
      </w:r>
      <w:r>
        <w:rPr>
          <w:rFonts w:eastAsia="Calibri"/>
          <w:sz w:val="22"/>
          <w:szCs w:val="22"/>
        </w:rPr>
        <w:t xml:space="preserve">EL </w:t>
      </w:r>
      <w:proofErr w:type="spellStart"/>
      <w:r w:rsidRPr="005A55CA">
        <w:rPr>
          <w:rFonts w:eastAsia="Calibri"/>
          <w:sz w:val="22"/>
          <w:szCs w:val="22"/>
        </w:rPr>
        <w:t>ühisrahastusmääruse</w:t>
      </w:r>
      <w:proofErr w:type="spellEnd"/>
      <w:r w:rsidRPr="005A55CA">
        <w:rPr>
          <w:rFonts w:eastAsia="Calibri"/>
          <w:sz w:val="22"/>
          <w:szCs w:val="22"/>
        </w:rPr>
        <w:t xml:space="preserve"> artikli 22 punktis 4.</w:t>
      </w:r>
    </w:p>
    <w:p w14:paraId="5AB81E2D" w14:textId="646A921E" w:rsidR="007C70D6" w:rsidRDefault="007C70D6" w:rsidP="00AF4D3E">
      <w:pPr>
        <w:spacing w:before="0"/>
        <w:contextualSpacing/>
        <w:rPr>
          <w:rFonts w:eastAsia="Calibri"/>
          <w:sz w:val="22"/>
          <w:szCs w:val="22"/>
        </w:rPr>
      </w:pPr>
    </w:p>
    <w:p w14:paraId="42CF7E90" w14:textId="3DED161B" w:rsidR="00AF4D3E" w:rsidRPr="005A55CA" w:rsidRDefault="00AF4D3E" w:rsidP="00AF4D3E">
      <w:pPr>
        <w:spacing w:before="0"/>
        <w:contextualSpacing/>
        <w:rPr>
          <w:rFonts w:eastAsia="Calibri"/>
          <w:sz w:val="22"/>
          <w:szCs w:val="22"/>
        </w:rPr>
      </w:pPr>
      <w:r w:rsidRPr="005A55CA">
        <w:rPr>
          <w:rFonts w:eastAsia="Calibri"/>
          <w:b/>
          <w:sz w:val="22"/>
          <w:szCs w:val="22"/>
        </w:rPr>
        <w:t xml:space="preserve">Lõike </w:t>
      </w:r>
      <w:r w:rsidR="007C70D6">
        <w:rPr>
          <w:rFonts w:eastAsia="Calibri"/>
          <w:b/>
          <w:sz w:val="22"/>
          <w:szCs w:val="22"/>
        </w:rPr>
        <w:t>3</w:t>
      </w:r>
      <w:r w:rsidRPr="005A55CA">
        <w:rPr>
          <w:rFonts w:eastAsia="Calibri"/>
          <w:b/>
          <w:sz w:val="22"/>
          <w:szCs w:val="22"/>
        </w:rPr>
        <w:t xml:space="preserve"> </w:t>
      </w:r>
      <w:r w:rsidRPr="005A55CA">
        <w:rPr>
          <w:rFonts w:eastAsia="Calibri"/>
          <w:sz w:val="22"/>
          <w:szCs w:val="22"/>
        </w:rPr>
        <w:t xml:space="preserve">alusel peab </w:t>
      </w:r>
      <w:proofErr w:type="spellStart"/>
      <w:r w:rsidR="007C70D6">
        <w:rPr>
          <w:rFonts w:eastAsia="Calibri"/>
          <w:sz w:val="22"/>
          <w:szCs w:val="22"/>
        </w:rPr>
        <w:t>ühisrahastus</w:t>
      </w:r>
      <w:r w:rsidRPr="005A55CA">
        <w:rPr>
          <w:rFonts w:eastAsia="Calibri"/>
          <w:sz w:val="22"/>
          <w:szCs w:val="22"/>
        </w:rPr>
        <w:t>teenuse</w:t>
      </w:r>
      <w:proofErr w:type="spellEnd"/>
      <w:r w:rsidR="007C70D6">
        <w:rPr>
          <w:rFonts w:eastAsia="Calibri"/>
          <w:sz w:val="22"/>
          <w:szCs w:val="22"/>
        </w:rPr>
        <w:t xml:space="preserve"> </w:t>
      </w:r>
      <w:r w:rsidRPr="005A55CA">
        <w:rPr>
          <w:rFonts w:eastAsia="Calibri"/>
          <w:sz w:val="22"/>
          <w:szCs w:val="22"/>
        </w:rPr>
        <w:t xml:space="preserve">osutaja selgelt ja õigeaegselt avalikustama käesoleva paragrahvi lõikes </w:t>
      </w:r>
      <w:r>
        <w:rPr>
          <w:rFonts w:eastAsia="Calibri"/>
          <w:sz w:val="22"/>
          <w:szCs w:val="22"/>
        </w:rPr>
        <w:t>1</w:t>
      </w:r>
      <w:r w:rsidRPr="005A55CA">
        <w:rPr>
          <w:rFonts w:eastAsia="Calibri"/>
          <w:sz w:val="22"/>
          <w:szCs w:val="22"/>
        </w:rPr>
        <w:t xml:space="preserve"> nimetatud järelemõtlemisajast, selle kestusest ning </w:t>
      </w:r>
      <w:proofErr w:type="spellStart"/>
      <w:r w:rsidRPr="005A55CA">
        <w:rPr>
          <w:rFonts w:eastAsia="Calibri"/>
          <w:sz w:val="22"/>
          <w:szCs w:val="22"/>
        </w:rPr>
        <w:t>oferdi</w:t>
      </w:r>
      <w:proofErr w:type="spellEnd"/>
      <w:r w:rsidRPr="005A55CA">
        <w:rPr>
          <w:rFonts w:eastAsia="Calibri"/>
          <w:sz w:val="22"/>
          <w:szCs w:val="22"/>
        </w:rPr>
        <w:t xml:space="preserve"> või huviavalduse tagasivõtmisega seotud tingimustest. Selguse huvides tasub märkida, et järelemõtlemisajaga seotud tingimused tuleb avaldada nähtaval kohal teenuseosutaja veebilehel või muus kohas, kaasa arvatud asjakohasel juhul teenuseosutaja mobiilirakenduses. Lisaks kohustub </w:t>
      </w:r>
      <w:proofErr w:type="spellStart"/>
      <w:r w:rsidR="007C70D6">
        <w:rPr>
          <w:rFonts w:eastAsia="Calibri"/>
          <w:sz w:val="22"/>
          <w:szCs w:val="22"/>
        </w:rPr>
        <w:t>ühisrahastus</w:t>
      </w:r>
      <w:r w:rsidRPr="005A55CA">
        <w:rPr>
          <w:rFonts w:eastAsia="Calibri"/>
          <w:sz w:val="22"/>
          <w:szCs w:val="22"/>
        </w:rPr>
        <w:t>teenuse</w:t>
      </w:r>
      <w:proofErr w:type="spellEnd"/>
      <w:r w:rsidR="007C70D6">
        <w:rPr>
          <w:rFonts w:eastAsia="Calibri"/>
          <w:sz w:val="22"/>
          <w:szCs w:val="22"/>
        </w:rPr>
        <w:t xml:space="preserve"> </w:t>
      </w:r>
      <w:r w:rsidRPr="005A55CA">
        <w:rPr>
          <w:rFonts w:eastAsia="Calibri"/>
          <w:sz w:val="22"/>
          <w:szCs w:val="22"/>
        </w:rPr>
        <w:t xml:space="preserve">osutaja teavitama </w:t>
      </w:r>
      <w:r w:rsidR="007C70D6">
        <w:rPr>
          <w:rFonts w:eastAsia="Calibri"/>
          <w:sz w:val="22"/>
          <w:szCs w:val="22"/>
        </w:rPr>
        <w:t>klienti</w:t>
      </w:r>
      <w:r w:rsidRPr="005A55CA">
        <w:rPr>
          <w:rFonts w:eastAsia="Calibri"/>
          <w:sz w:val="22"/>
          <w:szCs w:val="22"/>
        </w:rPr>
        <w:t xml:space="preserve"> järelemõtlemisaja tingimustest kohe pärast seda, kui teenuseosutaja on </w:t>
      </w:r>
      <w:r w:rsidR="007C70D6">
        <w:rPr>
          <w:rFonts w:eastAsia="Calibri"/>
          <w:sz w:val="22"/>
          <w:szCs w:val="22"/>
        </w:rPr>
        <w:t>kliendilt</w:t>
      </w:r>
      <w:r w:rsidRPr="005A55CA">
        <w:rPr>
          <w:rFonts w:eastAsia="Calibri"/>
          <w:sz w:val="22"/>
          <w:szCs w:val="22"/>
        </w:rPr>
        <w:t xml:space="preserve"> saanud </w:t>
      </w:r>
      <w:proofErr w:type="spellStart"/>
      <w:r w:rsidRPr="005A55CA">
        <w:rPr>
          <w:rFonts w:eastAsia="Calibri"/>
          <w:sz w:val="22"/>
          <w:szCs w:val="22"/>
        </w:rPr>
        <w:t>oferdi</w:t>
      </w:r>
      <w:proofErr w:type="spellEnd"/>
      <w:r w:rsidRPr="005A55CA">
        <w:rPr>
          <w:rFonts w:eastAsia="Calibri"/>
          <w:sz w:val="22"/>
          <w:szCs w:val="22"/>
        </w:rPr>
        <w:t xml:space="preserve"> või huviavalduse.</w:t>
      </w:r>
    </w:p>
    <w:p w14:paraId="2D37398C" w14:textId="77777777" w:rsidR="00AF4D3E" w:rsidRPr="005A55CA" w:rsidRDefault="00AF4D3E" w:rsidP="00AF4D3E">
      <w:pPr>
        <w:spacing w:before="0"/>
        <w:contextualSpacing/>
        <w:rPr>
          <w:rFonts w:eastAsia="Calibri"/>
          <w:sz w:val="22"/>
          <w:szCs w:val="22"/>
        </w:rPr>
      </w:pPr>
    </w:p>
    <w:p w14:paraId="3AA78487" w14:textId="5B8115E9" w:rsidR="00AF4D3E" w:rsidRPr="005A55CA" w:rsidRDefault="00AF4D3E" w:rsidP="00AF4D3E">
      <w:pPr>
        <w:spacing w:before="0"/>
        <w:contextualSpacing/>
        <w:rPr>
          <w:rFonts w:eastAsia="Calibri"/>
          <w:sz w:val="22"/>
          <w:szCs w:val="22"/>
        </w:rPr>
      </w:pPr>
      <w:r w:rsidRPr="005A55CA">
        <w:rPr>
          <w:rFonts w:eastAsia="Calibri"/>
          <w:b/>
          <w:sz w:val="22"/>
          <w:szCs w:val="22"/>
        </w:rPr>
        <w:t xml:space="preserve">Lõike </w:t>
      </w:r>
      <w:r w:rsidR="007C70D6">
        <w:rPr>
          <w:rFonts w:eastAsia="Calibri"/>
          <w:b/>
          <w:sz w:val="22"/>
          <w:szCs w:val="22"/>
        </w:rPr>
        <w:t>4</w:t>
      </w:r>
      <w:r w:rsidRPr="005A55CA">
        <w:rPr>
          <w:rFonts w:eastAsia="Calibri"/>
          <w:sz w:val="22"/>
          <w:szCs w:val="22"/>
        </w:rPr>
        <w:t xml:space="preserve"> järgi peab </w:t>
      </w:r>
      <w:proofErr w:type="spellStart"/>
      <w:r w:rsidRPr="005A55CA">
        <w:rPr>
          <w:rFonts w:eastAsia="Calibri"/>
          <w:sz w:val="22"/>
          <w:szCs w:val="22"/>
        </w:rPr>
        <w:t>oferdi</w:t>
      </w:r>
      <w:proofErr w:type="spellEnd"/>
      <w:r w:rsidRPr="005A55CA">
        <w:rPr>
          <w:rFonts w:eastAsia="Calibri"/>
          <w:sz w:val="22"/>
          <w:szCs w:val="22"/>
        </w:rPr>
        <w:t xml:space="preserve"> või huvi avaldamise tagasivõtmise kord olema teostatav vähemalt samal viisil, millega </w:t>
      </w:r>
      <w:r w:rsidR="007C70D6">
        <w:rPr>
          <w:rFonts w:eastAsia="Calibri"/>
          <w:sz w:val="22"/>
          <w:szCs w:val="22"/>
        </w:rPr>
        <w:t>klient</w:t>
      </w:r>
      <w:r w:rsidRPr="005A55CA">
        <w:rPr>
          <w:rFonts w:eastAsia="Calibri"/>
          <w:sz w:val="22"/>
          <w:szCs w:val="22"/>
        </w:rPr>
        <w:t xml:space="preserve"> saab teha </w:t>
      </w:r>
      <w:proofErr w:type="spellStart"/>
      <w:r w:rsidRPr="005A55CA">
        <w:rPr>
          <w:rFonts w:eastAsia="Calibri"/>
          <w:sz w:val="22"/>
          <w:szCs w:val="22"/>
        </w:rPr>
        <w:t>oferdi</w:t>
      </w:r>
      <w:proofErr w:type="spellEnd"/>
      <w:r w:rsidRPr="005A55CA">
        <w:rPr>
          <w:rFonts w:eastAsia="Calibri"/>
          <w:sz w:val="22"/>
          <w:szCs w:val="22"/>
        </w:rPr>
        <w:t xml:space="preserve"> või avaldada huvi </w:t>
      </w:r>
      <w:r w:rsidR="007C70D6">
        <w:rPr>
          <w:rFonts w:eastAsia="Calibri"/>
          <w:sz w:val="22"/>
          <w:szCs w:val="22"/>
        </w:rPr>
        <w:t xml:space="preserve">investeerimisprojekti </w:t>
      </w:r>
      <w:r w:rsidRPr="005A55CA">
        <w:rPr>
          <w:rFonts w:eastAsia="Calibri"/>
          <w:sz w:val="22"/>
          <w:szCs w:val="22"/>
        </w:rPr>
        <w:t>pakkumise vastu. Teisisõnu ei tohi olla järelemõtlemisaja kasutamine ja seejärgne lepingust taganemine põhjendamatult keerukam, kui enda lepinguliste suhetega sidumine.</w:t>
      </w:r>
    </w:p>
    <w:p w14:paraId="4794129F" w14:textId="77777777" w:rsidR="00AF4D3E" w:rsidRPr="005A55CA" w:rsidRDefault="00AF4D3E" w:rsidP="00AF4D3E">
      <w:pPr>
        <w:spacing w:before="0"/>
        <w:rPr>
          <w:rFonts w:eastAsia="Calibri"/>
          <w:sz w:val="22"/>
          <w:szCs w:val="22"/>
        </w:rPr>
      </w:pPr>
    </w:p>
    <w:p w14:paraId="169B46F7" w14:textId="58B16641" w:rsidR="00AF4D3E" w:rsidRPr="005D2F67" w:rsidRDefault="00AF4D3E" w:rsidP="00AF4D3E">
      <w:pPr>
        <w:spacing w:before="0"/>
        <w:rPr>
          <w:rFonts w:eastAsia="Calibri"/>
          <w:sz w:val="22"/>
          <w:szCs w:val="22"/>
        </w:rPr>
      </w:pPr>
      <w:r w:rsidRPr="005A55CA">
        <w:rPr>
          <w:rFonts w:eastAsia="Calibri"/>
          <w:b/>
          <w:sz w:val="22"/>
          <w:szCs w:val="22"/>
        </w:rPr>
        <w:t xml:space="preserve">Lõike </w:t>
      </w:r>
      <w:r w:rsidR="007C70D6">
        <w:rPr>
          <w:rFonts w:eastAsia="Calibri"/>
          <w:b/>
          <w:sz w:val="22"/>
          <w:szCs w:val="22"/>
        </w:rPr>
        <w:t>5</w:t>
      </w:r>
      <w:r w:rsidRPr="005A55CA">
        <w:rPr>
          <w:rFonts w:eastAsia="Calibri"/>
          <w:b/>
          <w:sz w:val="22"/>
          <w:szCs w:val="22"/>
        </w:rPr>
        <w:t xml:space="preserve"> </w:t>
      </w:r>
      <w:r w:rsidRPr="005A55CA">
        <w:rPr>
          <w:rFonts w:eastAsia="Calibri"/>
          <w:sz w:val="22"/>
          <w:szCs w:val="22"/>
        </w:rPr>
        <w:t xml:space="preserve">kohaselt on tühine selline lepingutingimus, mis raskendab käesoleva paragrahvi lõikes 1 sätestatud õiguse kasutamist, </w:t>
      </w:r>
      <w:r>
        <w:rPr>
          <w:rFonts w:eastAsia="Calibri"/>
          <w:sz w:val="22"/>
          <w:szCs w:val="22"/>
        </w:rPr>
        <w:t>sealhulgas</w:t>
      </w:r>
      <w:r w:rsidRPr="005A55CA">
        <w:rPr>
          <w:rFonts w:eastAsia="Calibri"/>
          <w:sz w:val="22"/>
          <w:szCs w:val="22"/>
        </w:rPr>
        <w:t xml:space="preserve"> kokkulepe, millega taganemine seotakse käsiraha või leppetrahvi maksmisega. Antud lõige on laiendus võlaõigusseaduses sätestatud tarbijaregulatsioonile, mida kohaldatakse ka </w:t>
      </w:r>
      <w:proofErr w:type="spellStart"/>
      <w:r w:rsidR="00174D76">
        <w:rPr>
          <w:rFonts w:eastAsia="Calibri"/>
          <w:sz w:val="22"/>
          <w:szCs w:val="22"/>
        </w:rPr>
        <w:t>ühisrahastusprojekti</w:t>
      </w:r>
      <w:proofErr w:type="spellEnd"/>
      <w:r w:rsidRPr="005A55CA">
        <w:rPr>
          <w:rFonts w:eastAsia="Calibri"/>
          <w:sz w:val="22"/>
          <w:szCs w:val="22"/>
        </w:rPr>
        <w:t xml:space="preserve"> lepingust taganemisele, et tagada (mittekogenud) </w:t>
      </w:r>
      <w:r w:rsidR="00174D76">
        <w:rPr>
          <w:rFonts w:eastAsia="Calibri"/>
          <w:sz w:val="22"/>
          <w:szCs w:val="22"/>
        </w:rPr>
        <w:t>kliendile</w:t>
      </w:r>
      <w:r w:rsidRPr="005A55CA">
        <w:rPr>
          <w:rFonts w:eastAsia="Calibri"/>
          <w:sz w:val="22"/>
          <w:szCs w:val="22"/>
        </w:rPr>
        <w:t xml:space="preserve"> võimalus ilma suuremate takistusteta </w:t>
      </w:r>
      <w:r w:rsidRPr="005D2F67">
        <w:rPr>
          <w:rFonts w:eastAsia="Calibri"/>
          <w:sz w:val="22"/>
          <w:szCs w:val="22"/>
        </w:rPr>
        <w:t>vastavast lepingust taganeda.</w:t>
      </w:r>
    </w:p>
    <w:p w14:paraId="5DFE261B" w14:textId="77777777" w:rsidR="00AF4D3E" w:rsidRPr="005D2F67" w:rsidRDefault="00AF4D3E" w:rsidP="00AF4D3E">
      <w:pPr>
        <w:spacing w:before="0"/>
        <w:rPr>
          <w:rFonts w:eastAsia="Calibri"/>
          <w:sz w:val="22"/>
          <w:szCs w:val="22"/>
        </w:rPr>
      </w:pPr>
    </w:p>
    <w:p w14:paraId="7A08B25F" w14:textId="44882349" w:rsidR="00AF4D3E" w:rsidRPr="005A55CA" w:rsidRDefault="00AF4D3E" w:rsidP="00AF4D3E">
      <w:pPr>
        <w:spacing w:before="0"/>
        <w:rPr>
          <w:rFonts w:eastAsia="Calibri"/>
          <w:sz w:val="22"/>
          <w:szCs w:val="22"/>
        </w:rPr>
      </w:pPr>
      <w:r w:rsidRPr="005D2F67">
        <w:rPr>
          <w:rFonts w:eastAsia="Calibri"/>
          <w:b/>
          <w:sz w:val="22"/>
          <w:szCs w:val="22"/>
        </w:rPr>
        <w:t xml:space="preserve">Lõike </w:t>
      </w:r>
      <w:r w:rsidR="00174D76">
        <w:rPr>
          <w:rFonts w:eastAsia="Calibri"/>
          <w:b/>
          <w:sz w:val="22"/>
          <w:szCs w:val="22"/>
        </w:rPr>
        <w:t>6</w:t>
      </w:r>
      <w:r w:rsidRPr="005D2F67">
        <w:rPr>
          <w:rFonts w:eastAsia="Calibri"/>
          <w:b/>
          <w:sz w:val="22"/>
          <w:szCs w:val="22"/>
        </w:rPr>
        <w:t xml:space="preserve"> </w:t>
      </w:r>
      <w:r w:rsidRPr="005D2F67">
        <w:rPr>
          <w:rFonts w:eastAsia="Calibri"/>
          <w:sz w:val="22"/>
          <w:szCs w:val="22"/>
        </w:rPr>
        <w:t xml:space="preserve">järgi kohaldatakse käesoleva seaduse §-s </w:t>
      </w:r>
      <w:r w:rsidR="00174D76">
        <w:rPr>
          <w:rFonts w:eastAsia="Calibri"/>
          <w:sz w:val="22"/>
          <w:szCs w:val="22"/>
        </w:rPr>
        <w:t>64</w:t>
      </w:r>
      <w:r w:rsidRPr="005D2F67">
        <w:rPr>
          <w:rFonts w:eastAsia="Calibri"/>
          <w:sz w:val="22"/>
          <w:szCs w:val="22"/>
        </w:rPr>
        <w:t xml:space="preserve"> sätestatud eelseadistatud investeerimise korral käesolevas paragrahvis sätestatut üksnes </w:t>
      </w:r>
      <w:r w:rsidR="00174D76">
        <w:rPr>
          <w:rFonts w:eastAsia="Calibri"/>
          <w:sz w:val="22"/>
          <w:szCs w:val="22"/>
        </w:rPr>
        <w:t>kliendi</w:t>
      </w:r>
      <w:r w:rsidRPr="005D2F67">
        <w:rPr>
          <w:rFonts w:eastAsia="Calibri"/>
          <w:sz w:val="22"/>
          <w:szCs w:val="22"/>
        </w:rPr>
        <w:t xml:space="preserve"> antud algse investeerimisvolituse suhtes, mitte volituse alusel konkreetsetesse investeerimisprojektidesse tehtud investeeringute suhtes. Teisisõnu on järelemõtlemisaega võimalik kasutada ainult sellise volituse suhtes, millega </w:t>
      </w:r>
      <w:r w:rsidR="00174D76">
        <w:rPr>
          <w:rFonts w:eastAsia="Calibri"/>
          <w:sz w:val="22"/>
          <w:szCs w:val="22"/>
        </w:rPr>
        <w:t>klient</w:t>
      </w:r>
      <w:r w:rsidRPr="005D2F67">
        <w:rPr>
          <w:rFonts w:eastAsia="Calibri"/>
          <w:sz w:val="22"/>
          <w:szCs w:val="22"/>
        </w:rPr>
        <w:t xml:space="preserve"> on teenuseosutajale andnud õiguse tema varakogumit (st laenuportfelli) valitseda,</w:t>
      </w:r>
      <w:r w:rsidRPr="005A55CA">
        <w:rPr>
          <w:rFonts w:eastAsia="Calibri"/>
          <w:sz w:val="22"/>
          <w:szCs w:val="22"/>
        </w:rPr>
        <w:t xml:space="preserve"> mitte individuaalsete rahapaigutuste suhtes, mis teenuseosutaja </w:t>
      </w:r>
      <w:r w:rsidR="00174D76">
        <w:rPr>
          <w:rFonts w:eastAsia="Calibri"/>
          <w:sz w:val="22"/>
          <w:szCs w:val="22"/>
        </w:rPr>
        <w:t>kliendi</w:t>
      </w:r>
      <w:r w:rsidRPr="005A55CA">
        <w:rPr>
          <w:rFonts w:eastAsia="Calibri"/>
          <w:sz w:val="22"/>
          <w:szCs w:val="22"/>
        </w:rPr>
        <w:t xml:space="preserve"> varaga on teinud. Selline lahendus peaks tagama teenuseosutajale kindlustunde selles osas, et tema poolt tehtud igakordsest rahapaigutusest ei hakka </w:t>
      </w:r>
      <w:r w:rsidR="00174D76">
        <w:rPr>
          <w:rFonts w:eastAsia="Calibri"/>
          <w:sz w:val="22"/>
          <w:szCs w:val="22"/>
        </w:rPr>
        <w:t>klient</w:t>
      </w:r>
      <w:r w:rsidRPr="005A55CA">
        <w:rPr>
          <w:rFonts w:eastAsia="Calibri"/>
          <w:sz w:val="22"/>
          <w:szCs w:val="22"/>
        </w:rPr>
        <w:t xml:space="preserve"> järelemõtlemisaega kasutades taganema; küll aga peaks </w:t>
      </w:r>
      <w:r w:rsidR="00174D76">
        <w:rPr>
          <w:rFonts w:eastAsia="Calibri"/>
          <w:sz w:val="22"/>
          <w:szCs w:val="22"/>
        </w:rPr>
        <w:t>kliendil</w:t>
      </w:r>
      <w:r w:rsidRPr="005A55CA">
        <w:rPr>
          <w:rFonts w:eastAsia="Calibri"/>
          <w:sz w:val="22"/>
          <w:szCs w:val="22"/>
        </w:rPr>
        <w:t xml:space="preserve"> olema võimalik tagasi võtta tahteavaldus enne esimese rahapaigutuse tegemist teenuseosutaja poolt.</w:t>
      </w:r>
    </w:p>
    <w:p w14:paraId="3AAFDB2D" w14:textId="77777777" w:rsidR="00AF4D3E" w:rsidRDefault="00AF4D3E" w:rsidP="00AF4D3E">
      <w:pPr>
        <w:spacing w:before="0"/>
        <w:rPr>
          <w:sz w:val="22"/>
          <w:szCs w:val="22"/>
        </w:rPr>
      </w:pPr>
    </w:p>
    <w:p w14:paraId="07782026" w14:textId="70C04DEA" w:rsidR="00AF4D3E" w:rsidRDefault="00AF4D3E" w:rsidP="00AF4D3E">
      <w:pPr>
        <w:spacing w:before="0"/>
        <w:rPr>
          <w:sz w:val="22"/>
          <w:szCs w:val="22"/>
        </w:rPr>
      </w:pPr>
      <w:r w:rsidRPr="005A55CA">
        <w:rPr>
          <w:sz w:val="22"/>
          <w:szCs w:val="22"/>
        </w:rPr>
        <w:t xml:space="preserve">Lisaks on </w:t>
      </w:r>
      <w:r>
        <w:rPr>
          <w:b/>
          <w:sz w:val="22"/>
          <w:szCs w:val="22"/>
        </w:rPr>
        <w:t xml:space="preserve">lõikes 8 </w:t>
      </w:r>
      <w:r w:rsidRPr="005A55CA">
        <w:rPr>
          <w:sz w:val="22"/>
          <w:szCs w:val="22"/>
        </w:rPr>
        <w:t xml:space="preserve">vajalik täpsustada, et taganemisõigust on võimalik kasutada vaid esmapakkumise korral, st kui </w:t>
      </w:r>
      <w:r w:rsidR="00174D76">
        <w:rPr>
          <w:sz w:val="22"/>
          <w:szCs w:val="22"/>
        </w:rPr>
        <w:t xml:space="preserve">klient teeb investeeringu </w:t>
      </w:r>
      <w:proofErr w:type="spellStart"/>
      <w:r w:rsidR="00174D76">
        <w:rPr>
          <w:sz w:val="22"/>
          <w:szCs w:val="22"/>
        </w:rPr>
        <w:t>ühisrahastusprojekti</w:t>
      </w:r>
      <w:proofErr w:type="spellEnd"/>
      <w:r w:rsidRPr="005A55CA">
        <w:rPr>
          <w:sz w:val="22"/>
          <w:szCs w:val="22"/>
        </w:rPr>
        <w:t xml:space="preserve"> </w:t>
      </w:r>
      <w:r w:rsidR="00174D76">
        <w:rPr>
          <w:sz w:val="22"/>
          <w:szCs w:val="22"/>
        </w:rPr>
        <w:t xml:space="preserve">omandamiseks </w:t>
      </w:r>
      <w:r w:rsidRPr="005A55CA">
        <w:rPr>
          <w:sz w:val="22"/>
          <w:szCs w:val="22"/>
        </w:rPr>
        <w:t xml:space="preserve">rahastuse taotlejalt või </w:t>
      </w:r>
      <w:r w:rsidR="00174D76">
        <w:rPr>
          <w:sz w:val="22"/>
          <w:szCs w:val="22"/>
        </w:rPr>
        <w:t>teenuseosutajalt</w:t>
      </w:r>
      <w:r w:rsidRPr="005A55CA">
        <w:rPr>
          <w:sz w:val="22"/>
          <w:szCs w:val="22"/>
        </w:rPr>
        <w:t xml:space="preserve">, ning mitte juhul, kui </w:t>
      </w:r>
      <w:r w:rsidR="00174D76">
        <w:rPr>
          <w:sz w:val="22"/>
          <w:szCs w:val="22"/>
        </w:rPr>
        <w:t>klient</w:t>
      </w:r>
      <w:r w:rsidRPr="005A55CA">
        <w:rPr>
          <w:sz w:val="22"/>
          <w:szCs w:val="22"/>
        </w:rPr>
        <w:t xml:space="preserve"> omandab </w:t>
      </w:r>
      <w:proofErr w:type="spellStart"/>
      <w:r w:rsidR="00174D76">
        <w:rPr>
          <w:sz w:val="22"/>
          <w:szCs w:val="22"/>
        </w:rPr>
        <w:t>ühisrahastusprojekti</w:t>
      </w:r>
      <w:proofErr w:type="spellEnd"/>
      <w:r w:rsidRPr="005A55CA">
        <w:rPr>
          <w:sz w:val="22"/>
          <w:szCs w:val="22"/>
        </w:rPr>
        <w:t xml:space="preserve"> näiteks järelturult või teiselt </w:t>
      </w:r>
      <w:r w:rsidR="00174D76">
        <w:rPr>
          <w:sz w:val="22"/>
          <w:szCs w:val="22"/>
        </w:rPr>
        <w:lastRenderedPageBreak/>
        <w:t>kliendilt</w:t>
      </w:r>
      <w:r w:rsidRPr="005A55CA">
        <w:rPr>
          <w:sz w:val="22"/>
          <w:szCs w:val="22"/>
        </w:rPr>
        <w:t xml:space="preserve"> (kui just pooled pole kokku leppinud teisiti). Põhjus seisneb selles, et kahe </w:t>
      </w:r>
      <w:r w:rsidR="00174D76">
        <w:rPr>
          <w:sz w:val="22"/>
          <w:szCs w:val="22"/>
        </w:rPr>
        <w:t>kliendi</w:t>
      </w:r>
      <w:r w:rsidRPr="005A55CA">
        <w:rPr>
          <w:sz w:val="22"/>
          <w:szCs w:val="22"/>
        </w:rPr>
        <w:t xml:space="preserve"> kui võrdsete osapoolte puhul oleks ostja ja seejärgne taganemisõiguse kasutanud </w:t>
      </w:r>
      <w:proofErr w:type="spellStart"/>
      <w:r w:rsidR="00174D76">
        <w:rPr>
          <w:sz w:val="22"/>
          <w:szCs w:val="22"/>
        </w:rPr>
        <w:t>kliendt</w:t>
      </w:r>
      <w:proofErr w:type="spellEnd"/>
      <w:r w:rsidRPr="005A55CA">
        <w:rPr>
          <w:sz w:val="22"/>
          <w:szCs w:val="22"/>
        </w:rPr>
        <w:t xml:space="preserve"> eelisseisundis võrreldes müüjaga, kuivõrd ilma põhjuseta taganemine laieneks ka muu hulgas hinnakõikumistele, mille negatiivse muutuse korral peaks instrumendi müü</w:t>
      </w:r>
      <w:r w:rsidR="00174D76">
        <w:rPr>
          <w:sz w:val="22"/>
          <w:szCs w:val="22"/>
        </w:rPr>
        <w:t>j</w:t>
      </w:r>
      <w:r w:rsidRPr="005A55CA">
        <w:rPr>
          <w:sz w:val="22"/>
          <w:szCs w:val="22"/>
        </w:rPr>
        <w:t xml:space="preserve">a sisuliselt vastutama. </w:t>
      </w:r>
    </w:p>
    <w:p w14:paraId="29CF5028" w14:textId="77777777" w:rsidR="00526B6A" w:rsidRDefault="00526B6A">
      <w:pPr>
        <w:spacing w:before="0" w:after="160" w:line="259" w:lineRule="auto"/>
        <w:jc w:val="left"/>
        <w:rPr>
          <w:b/>
          <w:sz w:val="22"/>
          <w:szCs w:val="22"/>
        </w:rPr>
      </w:pPr>
    </w:p>
    <w:p w14:paraId="1142E779" w14:textId="080EF803" w:rsidR="00526B6A" w:rsidRPr="005A55CA" w:rsidRDefault="00526B6A" w:rsidP="00526B6A">
      <w:pPr>
        <w:spacing w:before="0"/>
        <w:rPr>
          <w:sz w:val="22"/>
          <w:szCs w:val="22"/>
        </w:rPr>
      </w:pPr>
      <w:r w:rsidRPr="005A55CA">
        <w:rPr>
          <w:b/>
          <w:sz w:val="22"/>
          <w:szCs w:val="22"/>
        </w:rPr>
        <w:t xml:space="preserve">Paragrahv </w:t>
      </w:r>
      <w:r>
        <w:rPr>
          <w:b/>
          <w:sz w:val="22"/>
          <w:szCs w:val="22"/>
        </w:rPr>
        <w:t>63</w:t>
      </w:r>
      <w:r w:rsidRPr="005A55CA">
        <w:rPr>
          <w:b/>
          <w:sz w:val="22"/>
          <w:szCs w:val="22"/>
        </w:rPr>
        <w:t xml:space="preserve"> </w:t>
      </w:r>
      <w:r w:rsidRPr="005A55CA">
        <w:rPr>
          <w:sz w:val="22"/>
          <w:szCs w:val="22"/>
        </w:rPr>
        <w:t>käsitleb tulususe või tootluse garanteerimist ning tagasiostugarantiid. Teisisõnu reguleerib nimetatud paragrahvis sätestatu selliseid investeerimis</w:t>
      </w:r>
      <w:r>
        <w:rPr>
          <w:sz w:val="22"/>
          <w:szCs w:val="22"/>
        </w:rPr>
        <w:t>projektide</w:t>
      </w:r>
      <w:r w:rsidRPr="005A55CA">
        <w:rPr>
          <w:sz w:val="22"/>
          <w:szCs w:val="22"/>
        </w:rPr>
        <w:t xml:space="preserve"> pakkumisi, mille puhul on pakkumises osalenud </w:t>
      </w:r>
      <w:r>
        <w:rPr>
          <w:sz w:val="22"/>
          <w:szCs w:val="22"/>
        </w:rPr>
        <w:t>kliendile lubatud</w:t>
      </w:r>
      <w:r w:rsidRPr="005A55CA">
        <w:rPr>
          <w:sz w:val="22"/>
          <w:szCs w:val="22"/>
        </w:rPr>
        <w:t xml:space="preserve"> teatud tootlust või tulusust või on luba</w:t>
      </w:r>
      <w:r>
        <w:rPr>
          <w:sz w:val="22"/>
          <w:szCs w:val="22"/>
        </w:rPr>
        <w:t>t</w:t>
      </w:r>
      <w:r w:rsidRPr="005A55CA">
        <w:rPr>
          <w:sz w:val="22"/>
          <w:szCs w:val="22"/>
        </w:rPr>
        <w:t xml:space="preserve">ud </w:t>
      </w:r>
      <w:r>
        <w:rPr>
          <w:sz w:val="22"/>
          <w:szCs w:val="22"/>
        </w:rPr>
        <w:t>investeerimisprojekt</w:t>
      </w:r>
      <w:r w:rsidRPr="005A55CA">
        <w:rPr>
          <w:sz w:val="22"/>
          <w:szCs w:val="22"/>
        </w:rPr>
        <w:t xml:space="preserve"> teatud ajaperioodi jooksul tagasi osta</w:t>
      </w:r>
      <w:r>
        <w:rPr>
          <w:sz w:val="22"/>
          <w:szCs w:val="22"/>
        </w:rPr>
        <w:t>. Vastava garantii andmisel tuleb kohaldada käesolevas</w:t>
      </w:r>
      <w:r w:rsidRPr="005A55CA">
        <w:rPr>
          <w:sz w:val="22"/>
          <w:szCs w:val="22"/>
        </w:rPr>
        <w:t xml:space="preserve"> paragrahvis sätestatu</w:t>
      </w:r>
      <w:r>
        <w:rPr>
          <w:sz w:val="22"/>
          <w:szCs w:val="22"/>
        </w:rPr>
        <w:t>t</w:t>
      </w:r>
      <w:r w:rsidRPr="005A55CA">
        <w:rPr>
          <w:sz w:val="22"/>
          <w:szCs w:val="22"/>
        </w:rPr>
        <w:t xml:space="preserve">. </w:t>
      </w:r>
    </w:p>
    <w:p w14:paraId="4EB6D7BC" w14:textId="77777777" w:rsidR="00526B6A" w:rsidRPr="005A55CA" w:rsidRDefault="00526B6A" w:rsidP="00526B6A">
      <w:pPr>
        <w:tabs>
          <w:tab w:val="left" w:pos="0"/>
        </w:tabs>
        <w:spacing w:before="0"/>
        <w:rPr>
          <w:sz w:val="22"/>
          <w:szCs w:val="22"/>
        </w:rPr>
      </w:pPr>
    </w:p>
    <w:p w14:paraId="577F2BC6" w14:textId="7A0746F4" w:rsidR="00526B6A" w:rsidRDefault="00526B6A" w:rsidP="00526B6A">
      <w:pPr>
        <w:tabs>
          <w:tab w:val="left" w:pos="0"/>
        </w:tabs>
        <w:spacing w:before="0"/>
        <w:rPr>
          <w:sz w:val="22"/>
          <w:szCs w:val="22"/>
        </w:rPr>
      </w:pPr>
      <w:r w:rsidRPr="005A55CA">
        <w:rPr>
          <w:b/>
          <w:sz w:val="22"/>
          <w:szCs w:val="22"/>
        </w:rPr>
        <w:t xml:space="preserve">Lõikes </w:t>
      </w:r>
      <w:r>
        <w:rPr>
          <w:b/>
          <w:sz w:val="22"/>
          <w:szCs w:val="22"/>
        </w:rPr>
        <w:t>1</w:t>
      </w:r>
      <w:r w:rsidRPr="005A55CA">
        <w:rPr>
          <w:sz w:val="22"/>
          <w:szCs w:val="22"/>
        </w:rPr>
        <w:t xml:space="preserve"> on sätestatud võimalus investeerimis</w:t>
      </w:r>
      <w:r w:rsidR="00040414">
        <w:rPr>
          <w:sz w:val="22"/>
          <w:szCs w:val="22"/>
        </w:rPr>
        <w:t>projekti</w:t>
      </w:r>
      <w:r w:rsidRPr="005A55CA">
        <w:rPr>
          <w:sz w:val="22"/>
          <w:szCs w:val="22"/>
        </w:rPr>
        <w:t xml:space="preserve"> pakkumisel garanteerida investeerimis</w:t>
      </w:r>
      <w:r w:rsidR="00040414">
        <w:rPr>
          <w:sz w:val="22"/>
          <w:szCs w:val="22"/>
        </w:rPr>
        <w:t>projekti</w:t>
      </w:r>
      <w:r w:rsidRPr="005A55CA">
        <w:rPr>
          <w:sz w:val="22"/>
          <w:szCs w:val="22"/>
        </w:rPr>
        <w:t xml:space="preserve"> tootlust või tulusust, või pakkuda tagasiostugarantiid. </w:t>
      </w:r>
      <w:r>
        <w:rPr>
          <w:sz w:val="22"/>
          <w:szCs w:val="22"/>
        </w:rPr>
        <w:t xml:space="preserve">Tagasiostugarantii pakkumine on muutunud teenuseosutajate poolt viimastel aastatel väga populaarseks. See peaks oma olemuselt pakkuma </w:t>
      </w:r>
      <w:r w:rsidR="00040414">
        <w:rPr>
          <w:sz w:val="22"/>
          <w:szCs w:val="22"/>
        </w:rPr>
        <w:t>klientidele</w:t>
      </w:r>
      <w:r>
        <w:rPr>
          <w:sz w:val="22"/>
          <w:szCs w:val="22"/>
        </w:rPr>
        <w:t xml:space="preserve"> kindlust ja tõstma omakorda investeeringu usaldusväärsust. Samas on leidnud aset mitmeid juhtumeid, kus tagasiostugarantiid, mida on lubatud, ei rakendata. Lisaks on senini olnud tagasiostugarantii sisustamine teenuseosutajate pärusmaa, mis ei anna </w:t>
      </w:r>
      <w:r w:rsidR="00040414">
        <w:rPr>
          <w:sz w:val="22"/>
          <w:szCs w:val="22"/>
        </w:rPr>
        <w:t>klientidele</w:t>
      </w:r>
      <w:r>
        <w:rPr>
          <w:sz w:val="22"/>
          <w:szCs w:val="22"/>
        </w:rPr>
        <w:t xml:space="preserve"> aga selgust ja võimalusi nimetatud garantiitingimusi võrrelda. Seetõttu näeb seadusandja vajadust tagasiostugarantii kasutamisel näha ette konkreetsed tingimused.</w:t>
      </w:r>
    </w:p>
    <w:p w14:paraId="44BF3B06" w14:textId="77777777" w:rsidR="00526B6A" w:rsidRPr="005A55CA" w:rsidRDefault="00526B6A" w:rsidP="00526B6A">
      <w:pPr>
        <w:tabs>
          <w:tab w:val="left" w:pos="0"/>
        </w:tabs>
        <w:spacing w:before="0"/>
        <w:rPr>
          <w:sz w:val="22"/>
          <w:szCs w:val="22"/>
        </w:rPr>
      </w:pPr>
    </w:p>
    <w:p w14:paraId="774824D3" w14:textId="335174BF" w:rsidR="00526B6A" w:rsidRPr="005A55CA" w:rsidRDefault="00526B6A" w:rsidP="00526B6A">
      <w:pPr>
        <w:spacing w:before="0"/>
        <w:rPr>
          <w:sz w:val="22"/>
          <w:szCs w:val="22"/>
        </w:rPr>
      </w:pPr>
      <w:r w:rsidRPr="005A55CA">
        <w:rPr>
          <w:b/>
          <w:sz w:val="22"/>
          <w:szCs w:val="22"/>
        </w:rPr>
        <w:t xml:space="preserve">Lõikes </w:t>
      </w:r>
      <w:r>
        <w:rPr>
          <w:b/>
          <w:sz w:val="22"/>
          <w:szCs w:val="22"/>
        </w:rPr>
        <w:t>2</w:t>
      </w:r>
      <w:r w:rsidRPr="005A55CA">
        <w:rPr>
          <w:sz w:val="22"/>
          <w:szCs w:val="22"/>
        </w:rPr>
        <w:t xml:space="preserve"> on lahti seletatud garantii mõiste, milleks on </w:t>
      </w:r>
      <w:r>
        <w:rPr>
          <w:sz w:val="22"/>
          <w:szCs w:val="22"/>
        </w:rPr>
        <w:t>kohustus</w:t>
      </w:r>
      <w:r w:rsidRPr="005A55CA">
        <w:rPr>
          <w:sz w:val="22"/>
          <w:szCs w:val="22"/>
        </w:rPr>
        <w:t xml:space="preserve"> osta </w:t>
      </w:r>
      <w:r w:rsidR="00040414">
        <w:rPr>
          <w:sz w:val="22"/>
          <w:szCs w:val="22"/>
        </w:rPr>
        <w:t xml:space="preserve">tagastada osaliselt või täielikult kliendile rahalised vahendid juhul, </w:t>
      </w:r>
      <w:r w:rsidRPr="005A55CA">
        <w:rPr>
          <w:sz w:val="22"/>
          <w:szCs w:val="22"/>
        </w:rPr>
        <w:t xml:space="preserve">kui </w:t>
      </w:r>
      <w:r w:rsidR="00040414">
        <w:rPr>
          <w:sz w:val="22"/>
          <w:szCs w:val="22"/>
        </w:rPr>
        <w:t>maksed või kliendile lubatud tootlust või tulu ei laeku</w:t>
      </w:r>
      <w:r w:rsidRPr="005A55CA">
        <w:rPr>
          <w:sz w:val="22"/>
          <w:szCs w:val="22"/>
        </w:rPr>
        <w:t xml:space="preserve">. Nimetatud maksete all on silmas peetud kõiki makseid, mida kas </w:t>
      </w:r>
      <w:r>
        <w:rPr>
          <w:sz w:val="22"/>
          <w:szCs w:val="22"/>
        </w:rPr>
        <w:t>teenuseosutaja</w:t>
      </w:r>
      <w:r w:rsidRPr="005A55CA">
        <w:rPr>
          <w:sz w:val="22"/>
          <w:szCs w:val="22"/>
        </w:rPr>
        <w:t xml:space="preserve"> või rahastuse taotleja peaks lepingule vastavalt tegema </w:t>
      </w:r>
      <w:r w:rsidR="00040414">
        <w:rPr>
          <w:sz w:val="22"/>
          <w:szCs w:val="22"/>
        </w:rPr>
        <w:t>kliendile</w:t>
      </w:r>
      <w:r w:rsidRPr="005A55CA">
        <w:rPr>
          <w:sz w:val="22"/>
          <w:szCs w:val="22"/>
        </w:rPr>
        <w:t xml:space="preserve">. </w:t>
      </w:r>
    </w:p>
    <w:p w14:paraId="25B9B614" w14:textId="77777777" w:rsidR="00526B6A" w:rsidRPr="005A55CA" w:rsidRDefault="00526B6A" w:rsidP="00526B6A">
      <w:pPr>
        <w:spacing w:before="0"/>
        <w:rPr>
          <w:color w:val="5B9BD5" w:themeColor="accent1"/>
          <w:sz w:val="22"/>
          <w:szCs w:val="22"/>
        </w:rPr>
      </w:pPr>
    </w:p>
    <w:p w14:paraId="608AE7D1" w14:textId="406D76A0" w:rsidR="00526B6A" w:rsidRPr="005A55CA" w:rsidRDefault="00526B6A" w:rsidP="00526B6A">
      <w:pPr>
        <w:spacing w:before="0"/>
        <w:rPr>
          <w:sz w:val="22"/>
          <w:szCs w:val="22"/>
        </w:rPr>
      </w:pPr>
      <w:r w:rsidRPr="005A55CA">
        <w:rPr>
          <w:b/>
          <w:sz w:val="22"/>
          <w:szCs w:val="22"/>
        </w:rPr>
        <w:t xml:space="preserve">Lõike </w:t>
      </w:r>
      <w:r>
        <w:rPr>
          <w:b/>
          <w:sz w:val="22"/>
          <w:szCs w:val="22"/>
        </w:rPr>
        <w:t>3</w:t>
      </w:r>
      <w:r w:rsidRPr="005A55CA">
        <w:rPr>
          <w:b/>
          <w:sz w:val="22"/>
          <w:szCs w:val="22"/>
        </w:rPr>
        <w:t xml:space="preserve"> </w:t>
      </w:r>
      <w:r w:rsidRPr="005A55CA">
        <w:rPr>
          <w:sz w:val="22"/>
          <w:szCs w:val="22"/>
        </w:rPr>
        <w:t xml:space="preserve">järgi võib garantii andjaks olla </w:t>
      </w:r>
      <w:r w:rsidR="00040414">
        <w:rPr>
          <w:sz w:val="22"/>
          <w:szCs w:val="22"/>
        </w:rPr>
        <w:t>kolmas isik või teenuseosutaja ise</w:t>
      </w:r>
      <w:r w:rsidRPr="005A55CA">
        <w:rPr>
          <w:sz w:val="22"/>
          <w:szCs w:val="22"/>
        </w:rPr>
        <w:t xml:space="preserve">. Nimetatud sätte eesmärgiks on ühelt poolt laiendada </w:t>
      </w:r>
      <w:r>
        <w:rPr>
          <w:sz w:val="22"/>
          <w:szCs w:val="22"/>
        </w:rPr>
        <w:t>teenuseosutaja</w:t>
      </w:r>
      <w:r w:rsidRPr="005A55CA">
        <w:rPr>
          <w:sz w:val="22"/>
          <w:szCs w:val="22"/>
        </w:rPr>
        <w:t xml:space="preserve"> võimalusi kas võtta ise garantii andja roll või määrata garantii andja</w:t>
      </w:r>
      <w:r w:rsidR="00040414">
        <w:rPr>
          <w:sz w:val="22"/>
          <w:szCs w:val="22"/>
        </w:rPr>
        <w:t>ks kolmas isik.</w:t>
      </w:r>
      <w:r>
        <w:rPr>
          <w:sz w:val="22"/>
          <w:szCs w:val="22"/>
        </w:rPr>
        <w:t xml:space="preserve"> </w:t>
      </w:r>
    </w:p>
    <w:p w14:paraId="4BEC32DD" w14:textId="77777777" w:rsidR="00526B6A" w:rsidRPr="005A55CA" w:rsidRDefault="00526B6A" w:rsidP="00526B6A">
      <w:pPr>
        <w:spacing w:before="0"/>
        <w:rPr>
          <w:color w:val="5B9BD5" w:themeColor="accent1"/>
          <w:sz w:val="22"/>
          <w:szCs w:val="22"/>
        </w:rPr>
      </w:pPr>
    </w:p>
    <w:p w14:paraId="24917B90" w14:textId="7FF64766" w:rsidR="004A5C3A" w:rsidRDefault="00526B6A" w:rsidP="00526B6A">
      <w:pPr>
        <w:spacing w:before="0"/>
        <w:rPr>
          <w:sz w:val="22"/>
          <w:szCs w:val="22"/>
        </w:rPr>
      </w:pPr>
      <w:r w:rsidRPr="005A55CA">
        <w:rPr>
          <w:b/>
          <w:sz w:val="22"/>
          <w:szCs w:val="22"/>
        </w:rPr>
        <w:t xml:space="preserve">Lõike </w:t>
      </w:r>
      <w:r>
        <w:rPr>
          <w:b/>
          <w:sz w:val="22"/>
          <w:szCs w:val="22"/>
        </w:rPr>
        <w:t>4</w:t>
      </w:r>
      <w:r w:rsidRPr="005A55CA">
        <w:rPr>
          <w:sz w:val="22"/>
          <w:szCs w:val="22"/>
        </w:rPr>
        <w:t xml:space="preserve"> kohaselt peab </w:t>
      </w:r>
      <w:r>
        <w:rPr>
          <w:sz w:val="22"/>
          <w:szCs w:val="22"/>
        </w:rPr>
        <w:t>teenuseosutaja</w:t>
      </w:r>
      <w:r w:rsidRPr="005A55CA">
        <w:rPr>
          <w:sz w:val="22"/>
          <w:szCs w:val="22"/>
        </w:rPr>
        <w:t xml:space="preserve"> moodustama garantiifondi, kui garantii andjaks on </w:t>
      </w:r>
      <w:r>
        <w:rPr>
          <w:sz w:val="22"/>
          <w:szCs w:val="22"/>
        </w:rPr>
        <w:t>teenuseosutaja</w:t>
      </w:r>
      <w:r w:rsidRPr="005A55CA">
        <w:rPr>
          <w:sz w:val="22"/>
          <w:szCs w:val="22"/>
        </w:rPr>
        <w:t xml:space="preserve"> ise, ning koguma nimetatud garantiifondi regulaarselt makseid. Nimetatud piirang on seatud seetõttu, et </w:t>
      </w:r>
      <w:r>
        <w:rPr>
          <w:sz w:val="22"/>
          <w:szCs w:val="22"/>
        </w:rPr>
        <w:t>teenuseosutaja</w:t>
      </w:r>
      <w:r w:rsidRPr="005A55CA">
        <w:rPr>
          <w:sz w:val="22"/>
          <w:szCs w:val="22"/>
        </w:rPr>
        <w:t xml:space="preserve">le kehtivad madalamad kapitali- ja vastutuse nõuded kui </w:t>
      </w:r>
      <w:r w:rsidR="00040414">
        <w:rPr>
          <w:sz w:val="22"/>
          <w:szCs w:val="22"/>
        </w:rPr>
        <w:t xml:space="preserve">näiteks </w:t>
      </w:r>
      <w:r w:rsidRPr="005A55CA">
        <w:rPr>
          <w:sz w:val="22"/>
          <w:szCs w:val="22"/>
        </w:rPr>
        <w:t xml:space="preserve">krediidiasutustele või kindlustusandjatele, mistõttu peaks </w:t>
      </w:r>
      <w:r>
        <w:rPr>
          <w:sz w:val="22"/>
          <w:szCs w:val="22"/>
        </w:rPr>
        <w:t>teenuseosutaja</w:t>
      </w:r>
      <w:r w:rsidRPr="005A55CA">
        <w:rPr>
          <w:sz w:val="22"/>
          <w:szCs w:val="22"/>
        </w:rPr>
        <w:t xml:space="preserve"> poolt antud garantii puhul olema nö kõrvale pandud ka garantiifondina raha, millest on võimalik vajaduse korral rahuldada </w:t>
      </w:r>
      <w:r w:rsidR="004A5F19">
        <w:rPr>
          <w:sz w:val="22"/>
          <w:szCs w:val="22"/>
        </w:rPr>
        <w:t>klientide</w:t>
      </w:r>
      <w:r w:rsidRPr="005A55CA">
        <w:rPr>
          <w:sz w:val="22"/>
          <w:szCs w:val="22"/>
        </w:rPr>
        <w:t xml:space="preserve"> kui võlausaldajate nõudeid. </w:t>
      </w:r>
      <w:r>
        <w:rPr>
          <w:sz w:val="22"/>
          <w:szCs w:val="22"/>
        </w:rPr>
        <w:t xml:space="preserve">Vt ka käesoleva seaduse § 74 lõike 6 (vara hoidmise nõuded) selgitusi. </w:t>
      </w:r>
      <w:r w:rsidR="004A5C3A">
        <w:rPr>
          <w:sz w:val="22"/>
          <w:szCs w:val="22"/>
        </w:rPr>
        <w:t xml:space="preserve">Reservi moodustamise puhul on eeskujuks võetud ka EL </w:t>
      </w:r>
      <w:proofErr w:type="spellStart"/>
      <w:r w:rsidR="004A5C3A">
        <w:rPr>
          <w:sz w:val="22"/>
          <w:szCs w:val="22"/>
        </w:rPr>
        <w:t>ühisrahastusmääruse</w:t>
      </w:r>
      <w:proofErr w:type="spellEnd"/>
      <w:r w:rsidR="004A5C3A">
        <w:rPr>
          <w:sz w:val="22"/>
          <w:szCs w:val="22"/>
        </w:rPr>
        <w:t xml:space="preserve"> artikkel 6 lõiget 5.</w:t>
      </w:r>
    </w:p>
    <w:p w14:paraId="261E1B74" w14:textId="77777777" w:rsidR="00EC47C6" w:rsidRDefault="00EC47C6" w:rsidP="00526B6A">
      <w:pPr>
        <w:spacing w:before="0"/>
        <w:rPr>
          <w:sz w:val="22"/>
          <w:szCs w:val="22"/>
        </w:rPr>
      </w:pPr>
    </w:p>
    <w:p w14:paraId="71090B5A" w14:textId="040D3CB4" w:rsidR="004A5C3A" w:rsidRDefault="004A5C3A" w:rsidP="00526B6A">
      <w:pPr>
        <w:spacing w:before="0"/>
        <w:rPr>
          <w:sz w:val="22"/>
          <w:szCs w:val="22"/>
        </w:rPr>
      </w:pPr>
      <w:r w:rsidRPr="00567189">
        <w:rPr>
          <w:b/>
          <w:sz w:val="22"/>
          <w:szCs w:val="22"/>
        </w:rPr>
        <w:t xml:space="preserve">Lõike </w:t>
      </w:r>
      <w:r>
        <w:rPr>
          <w:b/>
          <w:sz w:val="22"/>
          <w:szCs w:val="22"/>
        </w:rPr>
        <w:t>5</w:t>
      </w:r>
      <w:r>
        <w:rPr>
          <w:sz w:val="22"/>
          <w:szCs w:val="22"/>
        </w:rPr>
        <w:t xml:space="preserve"> </w:t>
      </w:r>
      <w:r w:rsidRPr="005A55CA">
        <w:rPr>
          <w:sz w:val="22"/>
          <w:szCs w:val="22"/>
        </w:rPr>
        <w:t xml:space="preserve">kohaselt </w:t>
      </w:r>
      <w:r>
        <w:rPr>
          <w:sz w:val="22"/>
          <w:szCs w:val="22"/>
        </w:rPr>
        <w:t>tehakse garantiifondist või reservist väljamakseid, kui garantii tingimused on realiseerunud</w:t>
      </w:r>
      <w:r w:rsidRPr="005A55CA">
        <w:rPr>
          <w:sz w:val="22"/>
          <w:szCs w:val="22"/>
        </w:rPr>
        <w:t>.</w:t>
      </w:r>
      <w:r>
        <w:rPr>
          <w:sz w:val="22"/>
          <w:szCs w:val="22"/>
        </w:rPr>
        <w:t xml:space="preserve"> Garantii tingimused on eelnõuga jäetud teenuseosutaja enda otsustada.</w:t>
      </w:r>
    </w:p>
    <w:p w14:paraId="663B4BB7" w14:textId="4CAAD1F4" w:rsidR="004A5C3A" w:rsidRPr="005A55CA" w:rsidRDefault="004A5C3A" w:rsidP="004A5C3A">
      <w:pPr>
        <w:spacing w:before="0"/>
        <w:rPr>
          <w:sz w:val="22"/>
          <w:szCs w:val="22"/>
        </w:rPr>
      </w:pPr>
    </w:p>
    <w:p w14:paraId="1A39E193" w14:textId="6DDD3DB8" w:rsidR="004A5C3A" w:rsidRPr="005A55CA" w:rsidRDefault="004A5C3A" w:rsidP="004A5C3A">
      <w:pPr>
        <w:spacing w:before="0"/>
        <w:rPr>
          <w:sz w:val="22"/>
          <w:szCs w:val="22"/>
        </w:rPr>
      </w:pPr>
      <w:r>
        <w:rPr>
          <w:b/>
          <w:bCs/>
          <w:sz w:val="22"/>
          <w:szCs w:val="22"/>
        </w:rPr>
        <w:t xml:space="preserve">Lõike 6 </w:t>
      </w:r>
      <w:r>
        <w:rPr>
          <w:sz w:val="22"/>
          <w:szCs w:val="22"/>
        </w:rPr>
        <w:t>järgi tuleb teenuseosutajal esitada kliendile kliendi nõudmisel sama lõike punktides 1-4 nimetatud teavet.</w:t>
      </w:r>
      <w:r>
        <w:rPr>
          <w:b/>
          <w:bCs/>
          <w:sz w:val="22"/>
          <w:szCs w:val="22"/>
        </w:rPr>
        <w:t xml:space="preserve"> </w:t>
      </w:r>
      <w:r w:rsidRPr="005A55CA">
        <w:rPr>
          <w:sz w:val="22"/>
          <w:szCs w:val="22"/>
        </w:rPr>
        <w:t>Sama lõike punktide 1-</w:t>
      </w:r>
      <w:r>
        <w:rPr>
          <w:sz w:val="22"/>
          <w:szCs w:val="22"/>
        </w:rPr>
        <w:t>4</w:t>
      </w:r>
      <w:r w:rsidRPr="005A55CA">
        <w:rPr>
          <w:sz w:val="22"/>
          <w:szCs w:val="22"/>
        </w:rPr>
        <w:t xml:space="preserve"> kohaselt tuleb </w:t>
      </w:r>
      <w:r>
        <w:rPr>
          <w:sz w:val="22"/>
          <w:szCs w:val="22"/>
        </w:rPr>
        <w:t>kliendile</w:t>
      </w:r>
      <w:r w:rsidRPr="005A55CA">
        <w:rPr>
          <w:sz w:val="22"/>
          <w:szCs w:val="22"/>
        </w:rPr>
        <w:t xml:space="preserve"> anda teavet </w:t>
      </w:r>
      <w:r>
        <w:rPr>
          <w:sz w:val="22"/>
          <w:szCs w:val="22"/>
        </w:rPr>
        <w:t>selle</w:t>
      </w:r>
      <w:r w:rsidRPr="005A55CA">
        <w:rPr>
          <w:sz w:val="22"/>
          <w:szCs w:val="22"/>
        </w:rPr>
        <w:t xml:space="preserve"> kohta, kuidas reservi rahastatakse ja kes omab õigust reservis olevale rahale (</w:t>
      </w:r>
      <w:r w:rsidRPr="005D2F67">
        <w:rPr>
          <w:b/>
          <w:sz w:val="22"/>
          <w:szCs w:val="22"/>
        </w:rPr>
        <w:t>punkt 1</w:t>
      </w:r>
      <w:r w:rsidRPr="005A55CA">
        <w:rPr>
          <w:sz w:val="22"/>
          <w:szCs w:val="22"/>
        </w:rPr>
        <w:t>), tingimusi, mille alusel teenuseosutaja otsustab, kas ja kellele tehakse väljamakseid koos näidetega (</w:t>
      </w:r>
      <w:r w:rsidRPr="005D2F67">
        <w:rPr>
          <w:b/>
          <w:sz w:val="22"/>
          <w:szCs w:val="22"/>
        </w:rPr>
        <w:t xml:space="preserve">punkt </w:t>
      </w:r>
      <w:r w:rsidR="00F86E3D">
        <w:rPr>
          <w:b/>
          <w:sz w:val="22"/>
          <w:szCs w:val="22"/>
        </w:rPr>
        <w:t>2</w:t>
      </w:r>
      <w:r w:rsidRPr="005A55CA">
        <w:rPr>
          <w:sz w:val="22"/>
          <w:szCs w:val="22"/>
        </w:rPr>
        <w:t xml:space="preserve">), teavet selle kohta, kas </w:t>
      </w:r>
      <w:r w:rsidRPr="005D2F67">
        <w:rPr>
          <w:sz w:val="22"/>
          <w:szCs w:val="22"/>
        </w:rPr>
        <w:t>reservil on piisavalt raha väljamakse tegemiseks (</w:t>
      </w:r>
      <w:r w:rsidRPr="005D2F67">
        <w:rPr>
          <w:b/>
          <w:sz w:val="22"/>
          <w:szCs w:val="22"/>
        </w:rPr>
        <w:t xml:space="preserve">punkt </w:t>
      </w:r>
      <w:r w:rsidR="00F86E3D">
        <w:rPr>
          <w:b/>
          <w:sz w:val="22"/>
          <w:szCs w:val="22"/>
        </w:rPr>
        <w:t>3</w:t>
      </w:r>
      <w:r w:rsidRPr="005D2F67">
        <w:rPr>
          <w:sz w:val="22"/>
          <w:szCs w:val="22"/>
        </w:rPr>
        <w:t>), ning kirjeldus selle kohta, kuidas käsitatakse reservi kogutud raha teenuseosutaja maksejõuetuse korral (</w:t>
      </w:r>
      <w:r w:rsidRPr="005D2F67">
        <w:rPr>
          <w:b/>
          <w:sz w:val="22"/>
          <w:szCs w:val="22"/>
        </w:rPr>
        <w:t xml:space="preserve">punkt </w:t>
      </w:r>
      <w:r w:rsidR="00F86E3D">
        <w:rPr>
          <w:b/>
          <w:sz w:val="22"/>
          <w:szCs w:val="22"/>
        </w:rPr>
        <w:t>4</w:t>
      </w:r>
      <w:r w:rsidRPr="005D2F67">
        <w:rPr>
          <w:sz w:val="22"/>
          <w:szCs w:val="22"/>
        </w:rPr>
        <w:t xml:space="preserve">). </w:t>
      </w:r>
    </w:p>
    <w:p w14:paraId="72955CA7" w14:textId="77777777" w:rsidR="004A5C3A" w:rsidRPr="005A55CA" w:rsidRDefault="004A5C3A" w:rsidP="004A5C3A">
      <w:pPr>
        <w:spacing w:before="0"/>
        <w:rPr>
          <w:color w:val="0070C0"/>
          <w:sz w:val="22"/>
          <w:szCs w:val="22"/>
        </w:rPr>
      </w:pPr>
    </w:p>
    <w:p w14:paraId="671056FF" w14:textId="6C0FED4E" w:rsidR="004A5C3A" w:rsidRDefault="004A5C3A" w:rsidP="004A5C3A">
      <w:pPr>
        <w:tabs>
          <w:tab w:val="left" w:pos="0"/>
        </w:tabs>
        <w:spacing w:before="0"/>
        <w:rPr>
          <w:sz w:val="22"/>
          <w:szCs w:val="22"/>
        </w:rPr>
      </w:pPr>
      <w:r w:rsidRPr="005A55CA">
        <w:rPr>
          <w:rFonts w:eastAsia="Calibri"/>
          <w:b/>
          <w:sz w:val="22"/>
          <w:szCs w:val="22"/>
        </w:rPr>
        <w:t xml:space="preserve">Lõike </w:t>
      </w:r>
      <w:r w:rsidR="00F86E3D">
        <w:rPr>
          <w:rFonts w:eastAsia="Calibri"/>
          <w:b/>
          <w:sz w:val="22"/>
          <w:szCs w:val="22"/>
        </w:rPr>
        <w:t>7</w:t>
      </w:r>
      <w:r w:rsidRPr="005A55CA">
        <w:rPr>
          <w:rFonts w:eastAsia="Calibri"/>
          <w:b/>
          <w:sz w:val="22"/>
          <w:szCs w:val="22"/>
        </w:rPr>
        <w:t xml:space="preserve"> </w:t>
      </w:r>
      <w:r w:rsidRPr="005A55CA">
        <w:rPr>
          <w:rFonts w:eastAsia="Calibri"/>
          <w:sz w:val="22"/>
          <w:szCs w:val="22"/>
        </w:rPr>
        <w:t xml:space="preserve">alusel kohustub </w:t>
      </w:r>
      <w:r w:rsidRPr="005A55CA">
        <w:rPr>
          <w:sz w:val="22"/>
          <w:szCs w:val="22"/>
        </w:rPr>
        <w:t xml:space="preserve">teenuseosutaja avalikustama vähemalt kord </w:t>
      </w:r>
      <w:r w:rsidR="006C4528">
        <w:rPr>
          <w:sz w:val="22"/>
          <w:szCs w:val="22"/>
        </w:rPr>
        <w:t>aastas</w:t>
      </w:r>
      <w:r w:rsidRPr="005A55CA">
        <w:rPr>
          <w:sz w:val="22"/>
          <w:szCs w:val="22"/>
        </w:rPr>
        <w:t xml:space="preserve"> </w:t>
      </w:r>
      <w:r>
        <w:rPr>
          <w:sz w:val="22"/>
          <w:szCs w:val="22"/>
        </w:rPr>
        <w:t xml:space="preserve">oma veebilehel </w:t>
      </w:r>
      <w:r w:rsidRPr="005A55CA">
        <w:rPr>
          <w:color w:val="000000" w:themeColor="text1"/>
          <w:sz w:val="22"/>
          <w:szCs w:val="22"/>
        </w:rPr>
        <w:t>e</w:t>
      </w:r>
      <w:r w:rsidRPr="005A55CA">
        <w:rPr>
          <w:sz w:val="22"/>
          <w:szCs w:val="22"/>
        </w:rPr>
        <w:t xml:space="preserve">ttenägematute kulude reservi suuruse võrreldes selle jaoks oluliste lepingute täitmata jäävate summadega ja teabe selle kohta, kui suurt osa krediitidest on tasutud ettenägematute kulude reservi kaudu. </w:t>
      </w:r>
      <w:r w:rsidR="00142F3D">
        <w:rPr>
          <w:sz w:val="22"/>
          <w:szCs w:val="22"/>
        </w:rPr>
        <w:t xml:space="preserve">„Reservi suuruse võrreldes selle jaoks oluliste lepingu täitmata jäävate summadega“ all on mõeldud seda, millises osas on teenuseosutaja reservist võimalik katta summasid, kui lepingut (st investeerimisprojektist tulenevaid kohustusi) kohaselt ei täideta. </w:t>
      </w:r>
      <w:r w:rsidR="0057569D">
        <w:rPr>
          <w:sz w:val="22"/>
          <w:szCs w:val="22"/>
        </w:rPr>
        <w:t xml:space="preserve">Lõikes märgitud „teabe selle kohta, kui suurt osa krediitidest on tasutud </w:t>
      </w:r>
      <w:r w:rsidR="00142F3D">
        <w:rPr>
          <w:sz w:val="22"/>
          <w:szCs w:val="22"/>
        </w:rPr>
        <w:t xml:space="preserve">ettenägematute kulude </w:t>
      </w:r>
      <w:r w:rsidR="0057569D">
        <w:rPr>
          <w:sz w:val="22"/>
          <w:szCs w:val="22"/>
        </w:rPr>
        <w:t xml:space="preserve">reservi kaudu“ all on mõeldud seda, </w:t>
      </w:r>
      <w:r w:rsidR="00142F3D">
        <w:rPr>
          <w:sz w:val="22"/>
          <w:szCs w:val="22"/>
        </w:rPr>
        <w:t xml:space="preserve">et milline on osakaal krediitide tasumisel reservist (st mitte rahastuse taotleja poolt tehtud maksetest). </w:t>
      </w:r>
    </w:p>
    <w:p w14:paraId="7E63FA9B" w14:textId="5C9200AC" w:rsidR="00142F3D" w:rsidRDefault="00142F3D" w:rsidP="004A5C3A">
      <w:pPr>
        <w:tabs>
          <w:tab w:val="left" w:pos="0"/>
        </w:tabs>
        <w:spacing w:before="0"/>
        <w:rPr>
          <w:sz w:val="22"/>
          <w:szCs w:val="22"/>
        </w:rPr>
      </w:pPr>
    </w:p>
    <w:p w14:paraId="6830A3C5" w14:textId="396DFFD0" w:rsidR="00142F3D" w:rsidRPr="00142F3D" w:rsidRDefault="00142F3D" w:rsidP="004A5C3A">
      <w:pPr>
        <w:tabs>
          <w:tab w:val="left" w:pos="0"/>
        </w:tabs>
        <w:spacing w:before="0"/>
        <w:rPr>
          <w:sz w:val="22"/>
          <w:szCs w:val="22"/>
        </w:rPr>
      </w:pPr>
      <w:r>
        <w:rPr>
          <w:b/>
          <w:bCs/>
          <w:sz w:val="22"/>
          <w:szCs w:val="22"/>
        </w:rPr>
        <w:lastRenderedPageBreak/>
        <w:t xml:space="preserve">Lõikes 8 </w:t>
      </w:r>
      <w:r>
        <w:rPr>
          <w:sz w:val="22"/>
          <w:szCs w:val="22"/>
        </w:rPr>
        <w:t>on sätestatud volitusnorm valdkonna eest vastutavale ministrile kehtestada täiendavad nõuded investeerimisprojekti tulususe või tootluse garanteerimisele või tagasiostugarantii rakendamisele, sealhulgas garantiifondi või reservi tingimuste kohta.</w:t>
      </w:r>
    </w:p>
    <w:p w14:paraId="3799FB4F" w14:textId="77777777" w:rsidR="00526B6A" w:rsidRPr="005A55CA" w:rsidRDefault="00526B6A" w:rsidP="00526B6A">
      <w:pPr>
        <w:spacing w:before="0"/>
        <w:rPr>
          <w:sz w:val="22"/>
          <w:szCs w:val="22"/>
        </w:rPr>
      </w:pPr>
    </w:p>
    <w:p w14:paraId="294AD5A6" w14:textId="1D3AAE5A" w:rsidR="00526B6A" w:rsidRPr="005A55CA" w:rsidRDefault="00526B6A" w:rsidP="00526B6A">
      <w:pPr>
        <w:spacing w:before="0"/>
        <w:rPr>
          <w:sz w:val="22"/>
          <w:szCs w:val="22"/>
        </w:rPr>
      </w:pPr>
      <w:r w:rsidRPr="005A55CA">
        <w:rPr>
          <w:b/>
          <w:sz w:val="22"/>
          <w:szCs w:val="22"/>
        </w:rPr>
        <w:t xml:space="preserve">Paragrahv </w:t>
      </w:r>
      <w:r w:rsidR="00142F3D">
        <w:rPr>
          <w:b/>
          <w:sz w:val="22"/>
          <w:szCs w:val="22"/>
        </w:rPr>
        <w:t>64</w:t>
      </w:r>
      <w:r w:rsidRPr="005A55CA">
        <w:rPr>
          <w:b/>
          <w:sz w:val="22"/>
          <w:szCs w:val="22"/>
        </w:rPr>
        <w:t xml:space="preserve"> </w:t>
      </w:r>
      <w:r w:rsidRPr="005A55CA">
        <w:rPr>
          <w:sz w:val="22"/>
          <w:szCs w:val="22"/>
        </w:rPr>
        <w:t xml:space="preserve">sätestab üldnõuded eelseadistatud investeerimisele </w:t>
      </w:r>
      <w:proofErr w:type="spellStart"/>
      <w:r w:rsidRPr="005A55CA">
        <w:rPr>
          <w:sz w:val="22"/>
          <w:szCs w:val="22"/>
        </w:rPr>
        <w:t>ühisrahastusteenuse</w:t>
      </w:r>
      <w:proofErr w:type="spellEnd"/>
      <w:r w:rsidRPr="005A55CA">
        <w:rPr>
          <w:sz w:val="22"/>
          <w:szCs w:val="22"/>
        </w:rPr>
        <w:t xml:space="preserve"> korral.</w:t>
      </w:r>
      <w:r>
        <w:rPr>
          <w:sz w:val="22"/>
          <w:szCs w:val="22"/>
        </w:rPr>
        <w:t xml:space="preserve"> Säte tugineb peaasjalikult EL </w:t>
      </w:r>
      <w:proofErr w:type="spellStart"/>
      <w:r>
        <w:rPr>
          <w:sz w:val="22"/>
          <w:szCs w:val="22"/>
        </w:rPr>
        <w:t>ühisrahastusmääruse</w:t>
      </w:r>
      <w:proofErr w:type="spellEnd"/>
      <w:r>
        <w:rPr>
          <w:sz w:val="22"/>
          <w:szCs w:val="22"/>
        </w:rPr>
        <w:t xml:space="preserve"> artiklile 6 (</w:t>
      </w:r>
      <w:r w:rsidRPr="00567189">
        <w:rPr>
          <w:bCs/>
          <w:sz w:val="22"/>
          <w:szCs w:val="22"/>
        </w:rPr>
        <w:t>individuaalne laenuportfelli valitsemine</w:t>
      </w:r>
      <w:r>
        <w:rPr>
          <w:sz w:val="22"/>
          <w:szCs w:val="22"/>
        </w:rPr>
        <w:t>).</w:t>
      </w:r>
    </w:p>
    <w:p w14:paraId="36F313E0" w14:textId="77777777" w:rsidR="00526B6A" w:rsidRPr="005A55CA" w:rsidRDefault="00526B6A" w:rsidP="00526B6A">
      <w:pPr>
        <w:spacing w:before="0"/>
        <w:rPr>
          <w:sz w:val="22"/>
          <w:szCs w:val="22"/>
        </w:rPr>
      </w:pPr>
    </w:p>
    <w:p w14:paraId="264E58A9" w14:textId="72F3E177" w:rsidR="00526B6A" w:rsidRPr="005A55CA" w:rsidRDefault="00526B6A" w:rsidP="00526B6A">
      <w:pPr>
        <w:spacing w:before="0"/>
        <w:rPr>
          <w:sz w:val="22"/>
          <w:szCs w:val="22"/>
        </w:rPr>
      </w:pPr>
      <w:r w:rsidRPr="005A55CA">
        <w:rPr>
          <w:b/>
          <w:sz w:val="22"/>
          <w:szCs w:val="22"/>
        </w:rPr>
        <w:t xml:space="preserve">Lõike 1 </w:t>
      </w:r>
      <w:r w:rsidRPr="005A55CA">
        <w:rPr>
          <w:sz w:val="22"/>
          <w:szCs w:val="22"/>
        </w:rPr>
        <w:t xml:space="preserve">järgi on eelseadistatud investeerimine </w:t>
      </w:r>
      <w:r w:rsidR="00142F3D">
        <w:rPr>
          <w:sz w:val="22"/>
          <w:szCs w:val="22"/>
        </w:rPr>
        <w:t>kliendi</w:t>
      </w:r>
      <w:r w:rsidRPr="005A55CA">
        <w:rPr>
          <w:sz w:val="22"/>
          <w:szCs w:val="22"/>
        </w:rPr>
        <w:t xml:space="preserve"> poolt </w:t>
      </w:r>
      <w:proofErr w:type="spellStart"/>
      <w:r w:rsidRPr="005A55CA">
        <w:rPr>
          <w:sz w:val="22"/>
          <w:szCs w:val="22"/>
        </w:rPr>
        <w:t>ühisrahastusteenuse</w:t>
      </w:r>
      <w:proofErr w:type="spellEnd"/>
      <w:r w:rsidRPr="005A55CA">
        <w:rPr>
          <w:sz w:val="22"/>
          <w:szCs w:val="22"/>
        </w:rPr>
        <w:t xml:space="preserve"> osutajale volituse andmine, mille kohaselt </w:t>
      </w:r>
      <w:proofErr w:type="spellStart"/>
      <w:r w:rsidRPr="005A55CA">
        <w:rPr>
          <w:sz w:val="22"/>
          <w:szCs w:val="22"/>
        </w:rPr>
        <w:t>ühisrahastusteenuse</w:t>
      </w:r>
      <w:proofErr w:type="spellEnd"/>
      <w:r w:rsidRPr="005A55CA">
        <w:rPr>
          <w:sz w:val="22"/>
          <w:szCs w:val="22"/>
        </w:rPr>
        <w:t xml:space="preserve"> osutaja teeb enda nimel ja arvel tehinguid krediidipõhise investeerimis</w:t>
      </w:r>
      <w:r w:rsidR="00142F3D">
        <w:rPr>
          <w:sz w:val="22"/>
          <w:szCs w:val="22"/>
        </w:rPr>
        <w:t>projekti</w:t>
      </w:r>
      <w:r w:rsidRPr="005A55CA">
        <w:rPr>
          <w:sz w:val="22"/>
          <w:szCs w:val="22"/>
        </w:rPr>
        <w:t xml:space="preserve"> omandamiseks või võõrandamiseks ühe või mitme investeerimisprojekti rahastamiseks (edaspidi käesolevas paragrahvis </w:t>
      </w:r>
      <w:r w:rsidRPr="005A55CA">
        <w:rPr>
          <w:i/>
          <w:sz w:val="22"/>
          <w:szCs w:val="22"/>
        </w:rPr>
        <w:t>krediidiportfell</w:t>
      </w:r>
      <w:r w:rsidRPr="005A55CA">
        <w:rPr>
          <w:sz w:val="22"/>
          <w:szCs w:val="22"/>
        </w:rPr>
        <w:t>).</w:t>
      </w:r>
    </w:p>
    <w:p w14:paraId="26AC0E88" w14:textId="77777777" w:rsidR="00526B6A" w:rsidRPr="005A55CA" w:rsidRDefault="00526B6A" w:rsidP="00526B6A">
      <w:pPr>
        <w:spacing w:before="0"/>
        <w:rPr>
          <w:sz w:val="22"/>
          <w:szCs w:val="22"/>
        </w:rPr>
      </w:pPr>
    </w:p>
    <w:p w14:paraId="31B647A8" w14:textId="111D91B0" w:rsidR="00526B6A" w:rsidRPr="005A55CA" w:rsidRDefault="00526B6A" w:rsidP="00526B6A">
      <w:pPr>
        <w:spacing w:before="0"/>
        <w:rPr>
          <w:sz w:val="22"/>
          <w:szCs w:val="22"/>
        </w:rPr>
      </w:pPr>
      <w:r w:rsidRPr="005A55CA">
        <w:rPr>
          <w:b/>
          <w:sz w:val="22"/>
          <w:szCs w:val="22"/>
        </w:rPr>
        <w:t xml:space="preserve">Lõikes 2 </w:t>
      </w:r>
      <w:r w:rsidRPr="005A55CA">
        <w:rPr>
          <w:sz w:val="22"/>
          <w:szCs w:val="22"/>
        </w:rPr>
        <w:t xml:space="preserve">on märgitud nimekiri kriteeriumidest, mida </w:t>
      </w:r>
      <w:r w:rsidR="00142F3D">
        <w:rPr>
          <w:sz w:val="22"/>
          <w:szCs w:val="22"/>
        </w:rPr>
        <w:t>klient</w:t>
      </w:r>
      <w:r w:rsidRPr="005A55CA">
        <w:rPr>
          <w:sz w:val="22"/>
          <w:szCs w:val="22"/>
        </w:rPr>
        <w:t xml:space="preserve"> peab kindlaks määrama eelseadistatud investeerimise volitust andes. Nimetatud kriteeriumite hulka kuuluvad krediidi tähtaeg ja intressimäära soovitud vahemik (</w:t>
      </w:r>
      <w:r w:rsidRPr="004D73B1">
        <w:rPr>
          <w:b/>
          <w:sz w:val="22"/>
          <w:szCs w:val="22"/>
        </w:rPr>
        <w:t>punkt 1</w:t>
      </w:r>
      <w:r w:rsidRPr="005A55CA">
        <w:rPr>
          <w:sz w:val="22"/>
          <w:szCs w:val="22"/>
        </w:rPr>
        <w:t>), krediidi riskikategooria lubatud ulatus ja jaotus (</w:t>
      </w:r>
      <w:r w:rsidRPr="004D73B1">
        <w:rPr>
          <w:b/>
          <w:sz w:val="22"/>
          <w:szCs w:val="22"/>
        </w:rPr>
        <w:t>punkt 2</w:t>
      </w:r>
      <w:r w:rsidRPr="005A55CA">
        <w:rPr>
          <w:sz w:val="22"/>
          <w:szCs w:val="22"/>
        </w:rPr>
        <w:t>), aastase intressimäära või muu investeeringu tulususe või intressimäära pakkumise</w:t>
      </w:r>
      <w:r>
        <w:rPr>
          <w:sz w:val="22"/>
          <w:szCs w:val="22"/>
        </w:rPr>
        <w:t xml:space="preserve"> või lubamise korral</w:t>
      </w:r>
      <w:r w:rsidRPr="005A55CA">
        <w:rPr>
          <w:sz w:val="22"/>
          <w:szCs w:val="22"/>
        </w:rPr>
        <w:t xml:space="preserve"> selle saavutamise tõenäosus (</w:t>
      </w:r>
      <w:r w:rsidRPr="004D73B1">
        <w:rPr>
          <w:b/>
          <w:sz w:val="22"/>
          <w:szCs w:val="22"/>
        </w:rPr>
        <w:t>punkt 3</w:t>
      </w:r>
      <w:r w:rsidRPr="005A55CA">
        <w:rPr>
          <w:sz w:val="22"/>
          <w:szCs w:val="22"/>
        </w:rPr>
        <w:t xml:space="preserve">) ning intressitulu </w:t>
      </w:r>
      <w:proofErr w:type="spellStart"/>
      <w:r w:rsidRPr="005A55CA">
        <w:rPr>
          <w:sz w:val="22"/>
          <w:szCs w:val="22"/>
        </w:rPr>
        <w:t>taasinvesteerimise</w:t>
      </w:r>
      <w:proofErr w:type="spellEnd"/>
      <w:r w:rsidRPr="005A55CA">
        <w:rPr>
          <w:sz w:val="22"/>
          <w:szCs w:val="22"/>
        </w:rPr>
        <w:t xml:space="preserve"> tingimused (</w:t>
      </w:r>
      <w:r w:rsidRPr="004D73B1">
        <w:rPr>
          <w:b/>
          <w:sz w:val="22"/>
          <w:szCs w:val="22"/>
        </w:rPr>
        <w:t>punkt 4</w:t>
      </w:r>
      <w:r w:rsidRPr="005A55CA">
        <w:rPr>
          <w:sz w:val="22"/>
          <w:szCs w:val="22"/>
        </w:rPr>
        <w:t xml:space="preserve">). Seoses eeltoodud punktiga 3 tasub märkida, et tulususe või intressimäära pakkumisel või lubamisel selle saavutamise tõenäosust tuleks väljendada protsentides või protsentide vahemikus, ning nimetatud näitaja peaks põhinema </w:t>
      </w:r>
      <w:proofErr w:type="spellStart"/>
      <w:r w:rsidRPr="005A55CA">
        <w:rPr>
          <w:sz w:val="22"/>
          <w:szCs w:val="22"/>
        </w:rPr>
        <w:t>ühisrahastusteenuse</w:t>
      </w:r>
      <w:proofErr w:type="spellEnd"/>
      <w:r w:rsidRPr="005A55CA">
        <w:rPr>
          <w:sz w:val="22"/>
          <w:szCs w:val="22"/>
        </w:rPr>
        <w:t xml:space="preserve"> osutaja poolt väljatöötatud metoodikal ning </w:t>
      </w:r>
      <w:proofErr w:type="spellStart"/>
      <w:r w:rsidRPr="005A55CA">
        <w:rPr>
          <w:sz w:val="22"/>
          <w:szCs w:val="22"/>
        </w:rPr>
        <w:t>sise</w:t>
      </w:r>
      <w:proofErr w:type="spellEnd"/>
      <w:r w:rsidRPr="005A55CA">
        <w:rPr>
          <w:sz w:val="22"/>
          <w:szCs w:val="22"/>
        </w:rPr>
        <w:t>-eeskirjadel.</w:t>
      </w:r>
    </w:p>
    <w:p w14:paraId="38E7C01D" w14:textId="77777777" w:rsidR="00526B6A" w:rsidRPr="005A55CA" w:rsidRDefault="00526B6A" w:rsidP="00526B6A">
      <w:pPr>
        <w:spacing w:before="0"/>
        <w:rPr>
          <w:sz w:val="22"/>
          <w:szCs w:val="22"/>
        </w:rPr>
      </w:pPr>
    </w:p>
    <w:p w14:paraId="2DC1E856" w14:textId="77777777" w:rsidR="00526B6A" w:rsidRPr="005A55CA" w:rsidRDefault="00526B6A" w:rsidP="00526B6A">
      <w:pPr>
        <w:spacing w:before="0"/>
        <w:rPr>
          <w:sz w:val="22"/>
          <w:szCs w:val="22"/>
        </w:rPr>
      </w:pPr>
      <w:r w:rsidRPr="005A55CA">
        <w:rPr>
          <w:b/>
          <w:sz w:val="22"/>
          <w:szCs w:val="22"/>
        </w:rPr>
        <w:t xml:space="preserve">Lõike 3 </w:t>
      </w:r>
      <w:r w:rsidRPr="005A55CA">
        <w:rPr>
          <w:sz w:val="22"/>
          <w:szCs w:val="22"/>
        </w:rPr>
        <w:t xml:space="preserve">kohaselt peab </w:t>
      </w:r>
      <w:proofErr w:type="spellStart"/>
      <w:r w:rsidRPr="005A55CA">
        <w:rPr>
          <w:sz w:val="22"/>
          <w:szCs w:val="22"/>
        </w:rPr>
        <w:t>ühisrahastusteenuse</w:t>
      </w:r>
      <w:proofErr w:type="spellEnd"/>
      <w:r w:rsidRPr="005A55CA">
        <w:rPr>
          <w:sz w:val="22"/>
          <w:szCs w:val="22"/>
        </w:rPr>
        <w:t xml:space="preserve"> osutaja säilitama käesoleva paragrahvi lõikes </w:t>
      </w:r>
      <w:r>
        <w:rPr>
          <w:sz w:val="22"/>
          <w:szCs w:val="22"/>
        </w:rPr>
        <w:t>1</w:t>
      </w:r>
      <w:r w:rsidRPr="005A55CA">
        <w:rPr>
          <w:sz w:val="22"/>
          <w:szCs w:val="22"/>
        </w:rPr>
        <w:t xml:space="preserve"> nimetatud volituse püsival andmekandjal kolm aastat krediidi lõpptähtajast arvates. Sätte eesmärk on tagada, et </w:t>
      </w:r>
      <w:proofErr w:type="spellStart"/>
      <w:r w:rsidRPr="005A55CA">
        <w:rPr>
          <w:sz w:val="22"/>
          <w:szCs w:val="22"/>
        </w:rPr>
        <w:t>ühisrahastusteenuse</w:t>
      </w:r>
      <w:proofErr w:type="spellEnd"/>
      <w:r w:rsidRPr="005A55CA">
        <w:rPr>
          <w:sz w:val="22"/>
          <w:szCs w:val="22"/>
        </w:rPr>
        <w:t xml:space="preserve"> osutajal oleks muutumatuna kättesaadav volitus, mille alusel ta eelseadistatud investeerimise </w:t>
      </w:r>
      <w:proofErr w:type="spellStart"/>
      <w:r w:rsidRPr="005A55CA">
        <w:rPr>
          <w:sz w:val="22"/>
          <w:szCs w:val="22"/>
        </w:rPr>
        <w:t>ühisrahastusteenust</w:t>
      </w:r>
      <w:proofErr w:type="spellEnd"/>
      <w:r w:rsidRPr="005A55CA">
        <w:rPr>
          <w:sz w:val="22"/>
          <w:szCs w:val="22"/>
        </w:rPr>
        <w:t xml:space="preserve"> osutas, ning kolmeaastane tähtaeg, mis hakkab kulgema krediidi lõpptähtajast arvates, peaks tagama osutatava teenuse sisu ja tingimuste üheselt mõistetavuse. </w:t>
      </w:r>
    </w:p>
    <w:p w14:paraId="02FAEFE1" w14:textId="77777777" w:rsidR="00526B6A" w:rsidRPr="005A55CA" w:rsidRDefault="00526B6A" w:rsidP="00526B6A">
      <w:pPr>
        <w:spacing w:before="0"/>
        <w:rPr>
          <w:sz w:val="22"/>
          <w:szCs w:val="22"/>
        </w:rPr>
      </w:pPr>
    </w:p>
    <w:p w14:paraId="6FD14CE6" w14:textId="2DC76AD5" w:rsidR="00526B6A" w:rsidRPr="005A55CA" w:rsidRDefault="00526B6A" w:rsidP="00526B6A">
      <w:pPr>
        <w:spacing w:before="0"/>
        <w:rPr>
          <w:sz w:val="22"/>
          <w:szCs w:val="22"/>
        </w:rPr>
      </w:pPr>
      <w:r w:rsidRPr="005A55CA">
        <w:rPr>
          <w:b/>
          <w:sz w:val="22"/>
          <w:szCs w:val="22"/>
        </w:rPr>
        <w:t xml:space="preserve">Lõige 4 </w:t>
      </w:r>
      <w:r w:rsidRPr="005A55CA">
        <w:rPr>
          <w:sz w:val="22"/>
          <w:szCs w:val="22"/>
        </w:rPr>
        <w:t xml:space="preserve">kohustab </w:t>
      </w:r>
      <w:proofErr w:type="spellStart"/>
      <w:r w:rsidRPr="005A55CA">
        <w:rPr>
          <w:sz w:val="22"/>
          <w:szCs w:val="22"/>
        </w:rPr>
        <w:t>ühisrahatusteenuse</w:t>
      </w:r>
      <w:proofErr w:type="spellEnd"/>
      <w:r w:rsidRPr="005A55CA">
        <w:rPr>
          <w:sz w:val="22"/>
          <w:szCs w:val="22"/>
        </w:rPr>
        <w:t xml:space="preserve"> osutajat hindama usaldusväärsete ja täpselt määratud kriteeriumide alusel ning võttes arvesse kõiki asjaolusid, millel võib olla ebasoodne mõju krediidilepingust tulenevate kohustuste täitmisele</w:t>
      </w:r>
      <w:r w:rsidR="003A6227">
        <w:rPr>
          <w:sz w:val="22"/>
          <w:szCs w:val="22"/>
        </w:rPr>
        <w:t>. Sealhulgas tuleb arvesse võtta ka rahastuse taotleja krediidivõimet.</w:t>
      </w:r>
    </w:p>
    <w:p w14:paraId="4B7FFC4E" w14:textId="77777777" w:rsidR="00526B6A" w:rsidRPr="005A55CA" w:rsidRDefault="00526B6A" w:rsidP="00526B6A">
      <w:pPr>
        <w:spacing w:before="0"/>
        <w:rPr>
          <w:i/>
          <w:sz w:val="22"/>
          <w:szCs w:val="22"/>
        </w:rPr>
      </w:pPr>
    </w:p>
    <w:p w14:paraId="07FF2AB6" w14:textId="5CCFD795" w:rsidR="00526B6A" w:rsidRDefault="00526B6A" w:rsidP="00526B6A">
      <w:pPr>
        <w:spacing w:before="0"/>
        <w:rPr>
          <w:sz w:val="22"/>
          <w:szCs w:val="22"/>
        </w:rPr>
      </w:pPr>
      <w:r w:rsidRPr="005A55CA">
        <w:rPr>
          <w:b/>
          <w:sz w:val="22"/>
          <w:szCs w:val="22"/>
        </w:rPr>
        <w:t xml:space="preserve">Lõike </w:t>
      </w:r>
      <w:r w:rsidR="003A6227">
        <w:rPr>
          <w:b/>
          <w:sz w:val="22"/>
          <w:szCs w:val="22"/>
        </w:rPr>
        <w:t>5</w:t>
      </w:r>
      <w:r w:rsidRPr="005A55CA">
        <w:rPr>
          <w:b/>
          <w:sz w:val="22"/>
          <w:szCs w:val="22"/>
        </w:rPr>
        <w:t xml:space="preserve"> </w:t>
      </w:r>
      <w:r w:rsidRPr="005A55CA">
        <w:rPr>
          <w:sz w:val="22"/>
          <w:szCs w:val="22"/>
        </w:rPr>
        <w:t xml:space="preserve">järgi edastab </w:t>
      </w:r>
      <w:proofErr w:type="spellStart"/>
      <w:r w:rsidRPr="005A55CA">
        <w:rPr>
          <w:sz w:val="22"/>
          <w:szCs w:val="22"/>
        </w:rPr>
        <w:t>ühisrahastusteenuse</w:t>
      </w:r>
      <w:proofErr w:type="spellEnd"/>
      <w:r w:rsidRPr="005A55CA">
        <w:rPr>
          <w:sz w:val="22"/>
          <w:szCs w:val="22"/>
        </w:rPr>
        <w:t xml:space="preserve"> osutaja </w:t>
      </w:r>
      <w:r w:rsidR="003A6227">
        <w:rPr>
          <w:sz w:val="22"/>
          <w:szCs w:val="22"/>
        </w:rPr>
        <w:t>kliendile</w:t>
      </w:r>
      <w:r w:rsidRPr="005A55CA">
        <w:rPr>
          <w:sz w:val="22"/>
          <w:szCs w:val="22"/>
        </w:rPr>
        <w:t xml:space="preserve"> tema nõudmisel krediidiportfelli kohta </w:t>
      </w:r>
      <w:r w:rsidR="003A6227">
        <w:rPr>
          <w:sz w:val="22"/>
          <w:szCs w:val="22"/>
        </w:rPr>
        <w:t xml:space="preserve">vähemalt </w:t>
      </w:r>
      <w:r w:rsidRPr="005A55CA">
        <w:rPr>
          <w:sz w:val="22"/>
          <w:szCs w:val="22"/>
        </w:rPr>
        <w:t>sama lõike punktides 1-</w:t>
      </w:r>
      <w:r w:rsidR="003A6227">
        <w:rPr>
          <w:sz w:val="22"/>
          <w:szCs w:val="22"/>
        </w:rPr>
        <w:t>3</w:t>
      </w:r>
      <w:r w:rsidRPr="005A55CA">
        <w:rPr>
          <w:sz w:val="22"/>
          <w:szCs w:val="22"/>
        </w:rPr>
        <w:t xml:space="preserve"> nimetatud teabe. Nimetatud punktides toodu hõlmab teavet, mille saamise vastu on eelnõu koostajate arvates </w:t>
      </w:r>
      <w:r w:rsidR="004A5F19">
        <w:rPr>
          <w:sz w:val="22"/>
          <w:szCs w:val="22"/>
        </w:rPr>
        <w:t>kliendil</w:t>
      </w:r>
      <w:r w:rsidRPr="005A55CA">
        <w:rPr>
          <w:sz w:val="22"/>
          <w:szCs w:val="22"/>
        </w:rPr>
        <w:t xml:space="preserve"> äratuntav huvi, kui ta teeks ise investeerimisotsuse</w:t>
      </w:r>
      <w:r>
        <w:rPr>
          <w:sz w:val="22"/>
          <w:szCs w:val="22"/>
        </w:rPr>
        <w:t>.</w:t>
      </w:r>
    </w:p>
    <w:p w14:paraId="63162A95" w14:textId="6B528F97" w:rsidR="00526B6A" w:rsidRPr="00097EDE" w:rsidRDefault="00526B6A" w:rsidP="002B2C7C">
      <w:pPr>
        <w:numPr>
          <w:ilvl w:val="0"/>
          <w:numId w:val="32"/>
        </w:numPr>
        <w:rPr>
          <w:sz w:val="22"/>
          <w:szCs w:val="22"/>
        </w:rPr>
      </w:pPr>
      <w:r w:rsidRPr="00097EDE">
        <w:rPr>
          <w:sz w:val="22"/>
          <w:szCs w:val="22"/>
        </w:rPr>
        <w:t xml:space="preserve">teave </w:t>
      </w:r>
      <w:r w:rsidR="003A6227">
        <w:rPr>
          <w:sz w:val="22"/>
          <w:szCs w:val="22"/>
        </w:rPr>
        <w:t>kliendi</w:t>
      </w:r>
      <w:r w:rsidRPr="00097EDE">
        <w:rPr>
          <w:sz w:val="22"/>
          <w:szCs w:val="22"/>
        </w:rPr>
        <w:t xml:space="preserve"> volituse alusel välja valitud iga krediidi kohta, sealhulgas intressimäär või muu </w:t>
      </w:r>
      <w:r w:rsidR="003A6227">
        <w:rPr>
          <w:sz w:val="22"/>
          <w:szCs w:val="22"/>
        </w:rPr>
        <w:t>kliendile</w:t>
      </w:r>
      <w:r w:rsidRPr="00097EDE">
        <w:rPr>
          <w:sz w:val="22"/>
          <w:szCs w:val="22"/>
        </w:rPr>
        <w:t xml:space="preserve"> makstav hüvitis, krediidi lõpptähtaeg ja krediidi põhisumma ja intressi tagasimaksegraafik ning kuidas rahastuse taotleja on täitnud tagasimaksegraafikut (</w:t>
      </w:r>
      <w:r w:rsidRPr="00097EDE">
        <w:rPr>
          <w:b/>
          <w:sz w:val="22"/>
          <w:szCs w:val="22"/>
        </w:rPr>
        <w:t>punkt 1</w:t>
      </w:r>
      <w:r w:rsidRPr="00097EDE">
        <w:rPr>
          <w:sz w:val="22"/>
          <w:szCs w:val="22"/>
        </w:rPr>
        <w:t xml:space="preserve">). </w:t>
      </w:r>
    </w:p>
    <w:p w14:paraId="646C853F" w14:textId="2C9E99A5" w:rsidR="00526B6A" w:rsidRDefault="00526B6A" w:rsidP="002B2C7C">
      <w:pPr>
        <w:numPr>
          <w:ilvl w:val="0"/>
          <w:numId w:val="32"/>
        </w:numPr>
        <w:rPr>
          <w:sz w:val="22"/>
          <w:szCs w:val="22"/>
        </w:rPr>
      </w:pPr>
      <w:r w:rsidRPr="00097EDE">
        <w:rPr>
          <w:sz w:val="22"/>
          <w:szCs w:val="22"/>
        </w:rPr>
        <w:t xml:space="preserve">krediidiportfelli </w:t>
      </w:r>
      <w:r>
        <w:rPr>
          <w:sz w:val="22"/>
          <w:szCs w:val="22"/>
        </w:rPr>
        <w:t>kaalutud keskmine aastane</w:t>
      </w:r>
      <w:r w:rsidRPr="00097EDE">
        <w:rPr>
          <w:sz w:val="22"/>
          <w:szCs w:val="22"/>
        </w:rPr>
        <w:t xml:space="preserve"> intressimäär (</w:t>
      </w:r>
      <w:r w:rsidRPr="00097EDE">
        <w:rPr>
          <w:b/>
          <w:sz w:val="22"/>
          <w:szCs w:val="22"/>
        </w:rPr>
        <w:t>punkt 2</w:t>
      </w:r>
      <w:r w:rsidRPr="00097EDE">
        <w:rPr>
          <w:sz w:val="22"/>
          <w:szCs w:val="22"/>
        </w:rPr>
        <w:t>);</w:t>
      </w:r>
    </w:p>
    <w:p w14:paraId="1685F092" w14:textId="0B61E88F" w:rsidR="00EC47C6" w:rsidRDefault="003A6227" w:rsidP="00EC47C6">
      <w:pPr>
        <w:numPr>
          <w:ilvl w:val="0"/>
          <w:numId w:val="32"/>
        </w:numPr>
        <w:rPr>
          <w:sz w:val="22"/>
          <w:szCs w:val="22"/>
        </w:rPr>
      </w:pPr>
      <w:r w:rsidRPr="00EC47C6">
        <w:rPr>
          <w:sz w:val="22"/>
          <w:szCs w:val="22"/>
        </w:rPr>
        <w:t>kui see on asjakohane, siis ülevaade rahastuse taotleja krediidilepingutega seotud makseviivitustest</w:t>
      </w:r>
      <w:r w:rsidR="00526B6A" w:rsidRPr="00EC47C6">
        <w:rPr>
          <w:sz w:val="22"/>
          <w:szCs w:val="22"/>
        </w:rPr>
        <w:t xml:space="preserve"> (</w:t>
      </w:r>
      <w:r w:rsidR="00526B6A" w:rsidRPr="00EC47C6">
        <w:rPr>
          <w:b/>
          <w:sz w:val="22"/>
          <w:szCs w:val="22"/>
        </w:rPr>
        <w:t>punkt 3</w:t>
      </w:r>
      <w:r w:rsidR="00526B6A" w:rsidRPr="00EC47C6">
        <w:rPr>
          <w:sz w:val="22"/>
          <w:szCs w:val="22"/>
        </w:rPr>
        <w:t>)</w:t>
      </w:r>
      <w:r w:rsidRPr="00EC47C6">
        <w:rPr>
          <w:sz w:val="22"/>
          <w:szCs w:val="22"/>
        </w:rPr>
        <w:t>.</w:t>
      </w:r>
    </w:p>
    <w:p w14:paraId="462367A0" w14:textId="77777777" w:rsidR="00EC47C6" w:rsidRPr="00EC47C6" w:rsidRDefault="00EC47C6" w:rsidP="00EC47C6">
      <w:pPr>
        <w:rPr>
          <w:sz w:val="22"/>
          <w:szCs w:val="22"/>
        </w:rPr>
      </w:pPr>
    </w:p>
    <w:p w14:paraId="6C40A354" w14:textId="574B4F5F" w:rsidR="00526B6A" w:rsidRDefault="00526B6A" w:rsidP="00526B6A">
      <w:pPr>
        <w:tabs>
          <w:tab w:val="left" w:pos="0"/>
        </w:tabs>
        <w:spacing w:before="0"/>
        <w:rPr>
          <w:sz w:val="22"/>
          <w:szCs w:val="22"/>
        </w:rPr>
      </w:pPr>
      <w:r w:rsidRPr="005A55CA">
        <w:rPr>
          <w:b/>
          <w:sz w:val="22"/>
          <w:szCs w:val="22"/>
        </w:rPr>
        <w:t xml:space="preserve">Lõike </w:t>
      </w:r>
      <w:r w:rsidR="003A6227">
        <w:rPr>
          <w:b/>
          <w:sz w:val="22"/>
          <w:szCs w:val="22"/>
        </w:rPr>
        <w:t>6</w:t>
      </w:r>
      <w:r w:rsidRPr="005A55CA">
        <w:rPr>
          <w:b/>
          <w:sz w:val="22"/>
          <w:szCs w:val="22"/>
        </w:rPr>
        <w:t xml:space="preserve"> </w:t>
      </w:r>
      <w:r w:rsidRPr="005A55CA">
        <w:rPr>
          <w:sz w:val="22"/>
          <w:szCs w:val="22"/>
        </w:rPr>
        <w:t xml:space="preserve">kohaselt peab </w:t>
      </w:r>
      <w:proofErr w:type="spellStart"/>
      <w:r>
        <w:rPr>
          <w:sz w:val="22"/>
          <w:szCs w:val="22"/>
        </w:rPr>
        <w:t>ühisrahastus</w:t>
      </w:r>
      <w:r w:rsidRPr="005A55CA">
        <w:rPr>
          <w:sz w:val="22"/>
          <w:szCs w:val="22"/>
        </w:rPr>
        <w:t>teenuse</w:t>
      </w:r>
      <w:proofErr w:type="spellEnd"/>
      <w:r>
        <w:rPr>
          <w:sz w:val="22"/>
          <w:szCs w:val="22"/>
        </w:rPr>
        <w:t xml:space="preserve"> </w:t>
      </w:r>
      <w:r w:rsidRPr="005A55CA">
        <w:rPr>
          <w:sz w:val="22"/>
          <w:szCs w:val="22"/>
        </w:rPr>
        <w:t xml:space="preserve">osutaja määrama </w:t>
      </w:r>
      <w:proofErr w:type="spellStart"/>
      <w:r w:rsidRPr="005A55CA">
        <w:rPr>
          <w:sz w:val="22"/>
          <w:szCs w:val="22"/>
        </w:rPr>
        <w:t>sise</w:t>
      </w:r>
      <w:proofErr w:type="spellEnd"/>
      <w:r w:rsidRPr="005A55CA">
        <w:rPr>
          <w:sz w:val="22"/>
          <w:szCs w:val="22"/>
        </w:rPr>
        <w:t xml:space="preserve">-eeskirjadega kindlaks, millist metoodikat, sealhulgas millise päritoluga andmeid, ta kasutab eelseadistatud investeerimise korral. </w:t>
      </w:r>
    </w:p>
    <w:p w14:paraId="06C6BAEA" w14:textId="77777777" w:rsidR="00526B6A" w:rsidRDefault="00526B6A" w:rsidP="00526B6A">
      <w:pPr>
        <w:tabs>
          <w:tab w:val="left" w:pos="0"/>
        </w:tabs>
        <w:spacing w:before="0"/>
        <w:rPr>
          <w:sz w:val="22"/>
          <w:szCs w:val="22"/>
        </w:rPr>
      </w:pPr>
    </w:p>
    <w:p w14:paraId="10FD5DFB" w14:textId="7F30DF14" w:rsidR="00526B6A" w:rsidRPr="005A55CA" w:rsidRDefault="00526B6A" w:rsidP="00526B6A">
      <w:pPr>
        <w:tabs>
          <w:tab w:val="left" w:pos="0"/>
        </w:tabs>
        <w:spacing w:before="0"/>
        <w:rPr>
          <w:sz w:val="22"/>
          <w:szCs w:val="22"/>
        </w:rPr>
      </w:pPr>
      <w:r w:rsidRPr="005A55CA">
        <w:rPr>
          <w:b/>
          <w:sz w:val="22"/>
          <w:szCs w:val="22"/>
        </w:rPr>
        <w:t xml:space="preserve">Lõikes </w:t>
      </w:r>
      <w:r w:rsidR="003A6227">
        <w:rPr>
          <w:b/>
          <w:sz w:val="22"/>
          <w:szCs w:val="22"/>
        </w:rPr>
        <w:t>7</w:t>
      </w:r>
      <w:r w:rsidRPr="005A55CA">
        <w:rPr>
          <w:b/>
          <w:sz w:val="22"/>
          <w:szCs w:val="22"/>
        </w:rPr>
        <w:t xml:space="preserve"> </w:t>
      </w:r>
      <w:r w:rsidRPr="005A55CA">
        <w:rPr>
          <w:sz w:val="22"/>
          <w:szCs w:val="22"/>
        </w:rPr>
        <w:t>on sätestatud valdkonna eest vastutava ministri õigus kehtestada eelseadistatud investeerimisele täpsemad nõuded määrusega.</w:t>
      </w:r>
    </w:p>
    <w:p w14:paraId="31EAEFDE" w14:textId="77777777" w:rsidR="003A6227" w:rsidRPr="005A55CA" w:rsidRDefault="003A6227" w:rsidP="00526B6A">
      <w:pPr>
        <w:spacing w:before="0"/>
        <w:rPr>
          <w:b/>
          <w:color w:val="FF0000"/>
          <w:sz w:val="22"/>
          <w:szCs w:val="22"/>
        </w:rPr>
      </w:pPr>
    </w:p>
    <w:p w14:paraId="0A1DE4BA" w14:textId="39F6ACEB" w:rsidR="003A6227" w:rsidRDefault="003A6227" w:rsidP="003A6227">
      <w:pPr>
        <w:spacing w:before="0"/>
        <w:rPr>
          <w:color w:val="000000" w:themeColor="text1"/>
          <w:sz w:val="22"/>
          <w:szCs w:val="22"/>
        </w:rPr>
      </w:pPr>
      <w:r w:rsidRPr="005D2F67">
        <w:rPr>
          <w:b/>
          <w:color w:val="000000" w:themeColor="text1"/>
          <w:sz w:val="22"/>
          <w:szCs w:val="22"/>
        </w:rPr>
        <w:t xml:space="preserve">Paragrahv </w:t>
      </w:r>
      <w:r>
        <w:rPr>
          <w:b/>
          <w:color w:val="000000" w:themeColor="text1"/>
          <w:sz w:val="22"/>
          <w:szCs w:val="22"/>
        </w:rPr>
        <w:t>65</w:t>
      </w:r>
      <w:r w:rsidRPr="005D2F67">
        <w:rPr>
          <w:color w:val="000000" w:themeColor="text1"/>
          <w:sz w:val="22"/>
          <w:szCs w:val="22"/>
        </w:rPr>
        <w:t xml:space="preserve"> kehtestab üldnõuded </w:t>
      </w:r>
      <w:r>
        <w:rPr>
          <w:color w:val="000000" w:themeColor="text1"/>
          <w:sz w:val="22"/>
          <w:szCs w:val="22"/>
        </w:rPr>
        <w:t xml:space="preserve">juriidilisest isikust </w:t>
      </w:r>
      <w:r w:rsidRPr="005D2F67">
        <w:rPr>
          <w:color w:val="000000" w:themeColor="text1"/>
          <w:sz w:val="22"/>
          <w:szCs w:val="22"/>
        </w:rPr>
        <w:t xml:space="preserve">rahastuse taotlejale. </w:t>
      </w:r>
      <w:r>
        <w:rPr>
          <w:b/>
          <w:color w:val="000000" w:themeColor="text1"/>
          <w:sz w:val="22"/>
          <w:szCs w:val="22"/>
        </w:rPr>
        <w:t>Lõike 1 p</w:t>
      </w:r>
      <w:r w:rsidRPr="005D2F67">
        <w:rPr>
          <w:b/>
          <w:color w:val="000000" w:themeColor="text1"/>
          <w:sz w:val="22"/>
          <w:szCs w:val="22"/>
        </w:rPr>
        <w:t xml:space="preserve">unkti 1 </w:t>
      </w:r>
      <w:r w:rsidRPr="005D2F67">
        <w:rPr>
          <w:color w:val="000000" w:themeColor="text1"/>
          <w:sz w:val="22"/>
          <w:szCs w:val="22"/>
        </w:rPr>
        <w:t xml:space="preserve">kohaselt on </w:t>
      </w:r>
      <w:r>
        <w:rPr>
          <w:color w:val="000000" w:themeColor="text1"/>
          <w:sz w:val="22"/>
          <w:szCs w:val="22"/>
        </w:rPr>
        <w:t xml:space="preserve">juriidilisest isikust </w:t>
      </w:r>
      <w:r w:rsidRPr="005D2F67">
        <w:rPr>
          <w:color w:val="000000" w:themeColor="text1"/>
          <w:sz w:val="22"/>
          <w:szCs w:val="22"/>
        </w:rPr>
        <w:t>rahastuse taotleja kohustatud</w:t>
      </w:r>
      <w:r w:rsidRPr="005D2F67">
        <w:rPr>
          <w:sz w:val="22"/>
          <w:szCs w:val="22"/>
        </w:rPr>
        <w:t xml:space="preserve"> </w:t>
      </w:r>
      <w:r w:rsidRPr="005D2F67">
        <w:rPr>
          <w:color w:val="000000" w:themeColor="text1"/>
          <w:sz w:val="22"/>
          <w:szCs w:val="22"/>
        </w:rPr>
        <w:t xml:space="preserve">tegema teenuseosutajaga koostööd ja esitama teenuseosutajale andmed, mis on vajalikud teenuse osutamiseks </w:t>
      </w:r>
      <w:r>
        <w:rPr>
          <w:color w:val="000000" w:themeColor="text1"/>
          <w:sz w:val="22"/>
          <w:szCs w:val="22"/>
        </w:rPr>
        <w:t>ja</w:t>
      </w:r>
      <w:r w:rsidRPr="005D2F67">
        <w:rPr>
          <w:color w:val="000000" w:themeColor="text1"/>
          <w:sz w:val="22"/>
          <w:szCs w:val="22"/>
        </w:rPr>
        <w:t xml:space="preserve"> teenuseosutajale käesolevast seadusest või muust õigusaktist tulenevate nõuete täitmiseks. </w:t>
      </w:r>
      <w:r w:rsidRPr="005D2F67">
        <w:rPr>
          <w:b/>
          <w:color w:val="000000" w:themeColor="text1"/>
          <w:sz w:val="22"/>
          <w:szCs w:val="22"/>
        </w:rPr>
        <w:t>Punkti 2</w:t>
      </w:r>
      <w:r w:rsidRPr="005D2F67">
        <w:rPr>
          <w:color w:val="000000" w:themeColor="text1"/>
          <w:sz w:val="22"/>
          <w:szCs w:val="22"/>
        </w:rPr>
        <w:t xml:space="preserve"> kohaselt peab rahastuse taotleja koostama ja esitama </w:t>
      </w:r>
      <w:r w:rsidR="005D33CC">
        <w:rPr>
          <w:color w:val="000000" w:themeColor="text1"/>
          <w:sz w:val="22"/>
          <w:szCs w:val="22"/>
        </w:rPr>
        <w:t>teenuseosutajale</w:t>
      </w:r>
      <w:r w:rsidR="00EC47C6">
        <w:rPr>
          <w:color w:val="000000" w:themeColor="text1"/>
          <w:sz w:val="22"/>
          <w:szCs w:val="22"/>
        </w:rPr>
        <w:t xml:space="preserve"> </w:t>
      </w:r>
      <w:r w:rsidR="005D33CC">
        <w:rPr>
          <w:color w:val="000000" w:themeColor="text1"/>
          <w:sz w:val="22"/>
          <w:szCs w:val="22"/>
        </w:rPr>
        <w:t>teavet</w:t>
      </w:r>
      <w:r w:rsidRPr="005D2F67">
        <w:rPr>
          <w:color w:val="000000" w:themeColor="text1"/>
          <w:sz w:val="22"/>
          <w:szCs w:val="22"/>
        </w:rPr>
        <w:t xml:space="preserve"> investeerimisprojekti </w:t>
      </w:r>
      <w:r w:rsidR="005D33CC">
        <w:rPr>
          <w:color w:val="000000" w:themeColor="text1"/>
          <w:sz w:val="22"/>
          <w:szCs w:val="22"/>
        </w:rPr>
        <w:t>kohta,</w:t>
      </w:r>
      <w:r w:rsidRPr="005D2F67">
        <w:rPr>
          <w:color w:val="000000" w:themeColor="text1"/>
          <w:sz w:val="22"/>
          <w:szCs w:val="22"/>
        </w:rPr>
        <w:t xml:space="preserve"> mis vastab käesoleva seaduse § </w:t>
      </w:r>
      <w:r w:rsidR="005D33CC">
        <w:rPr>
          <w:color w:val="000000" w:themeColor="text1"/>
          <w:sz w:val="22"/>
          <w:szCs w:val="22"/>
        </w:rPr>
        <w:t>66</w:t>
      </w:r>
      <w:r w:rsidRPr="005D2F67">
        <w:rPr>
          <w:color w:val="000000" w:themeColor="text1"/>
          <w:sz w:val="22"/>
          <w:szCs w:val="22"/>
        </w:rPr>
        <w:t xml:space="preserve"> </w:t>
      </w:r>
      <w:r>
        <w:rPr>
          <w:color w:val="000000" w:themeColor="text1"/>
          <w:sz w:val="22"/>
          <w:szCs w:val="22"/>
        </w:rPr>
        <w:t xml:space="preserve">ja selle </w:t>
      </w:r>
      <w:r w:rsidRPr="005D2F67">
        <w:rPr>
          <w:color w:val="000000" w:themeColor="text1"/>
          <w:sz w:val="22"/>
          <w:szCs w:val="22"/>
        </w:rPr>
        <w:t xml:space="preserve">alusel kehtestatud nõuetele. </w:t>
      </w:r>
      <w:r>
        <w:rPr>
          <w:color w:val="000000" w:themeColor="text1"/>
          <w:sz w:val="22"/>
          <w:szCs w:val="22"/>
        </w:rPr>
        <w:t xml:space="preserve">Nimetatud punktid on seotud eelkõige kohustusega anda </w:t>
      </w:r>
      <w:r w:rsidR="005D33CC">
        <w:rPr>
          <w:color w:val="000000" w:themeColor="text1"/>
          <w:sz w:val="22"/>
          <w:szCs w:val="22"/>
        </w:rPr>
        <w:t xml:space="preserve">kliendile </w:t>
      </w:r>
      <w:r>
        <w:rPr>
          <w:color w:val="000000" w:themeColor="text1"/>
          <w:sz w:val="22"/>
          <w:szCs w:val="22"/>
        </w:rPr>
        <w:t xml:space="preserve">piisavat teavet investeerimisprojekti kohta, ning </w:t>
      </w:r>
      <w:r w:rsidR="005D33CC">
        <w:rPr>
          <w:color w:val="000000" w:themeColor="text1"/>
          <w:sz w:val="22"/>
          <w:szCs w:val="22"/>
        </w:rPr>
        <w:t xml:space="preserve">sätted </w:t>
      </w:r>
      <w:r>
        <w:rPr>
          <w:color w:val="000000" w:themeColor="text1"/>
          <w:sz w:val="22"/>
          <w:szCs w:val="22"/>
        </w:rPr>
        <w:t xml:space="preserve">kohalduvad juhul, kui </w:t>
      </w:r>
      <w:r>
        <w:rPr>
          <w:color w:val="000000" w:themeColor="text1"/>
          <w:sz w:val="22"/>
          <w:szCs w:val="22"/>
        </w:rPr>
        <w:lastRenderedPageBreak/>
        <w:t>investeerimis</w:t>
      </w:r>
      <w:r w:rsidR="005D33CC">
        <w:rPr>
          <w:color w:val="000000" w:themeColor="text1"/>
          <w:sz w:val="22"/>
          <w:szCs w:val="22"/>
        </w:rPr>
        <w:t>projekti</w:t>
      </w:r>
      <w:r>
        <w:rPr>
          <w:color w:val="000000" w:themeColor="text1"/>
          <w:sz w:val="22"/>
          <w:szCs w:val="22"/>
        </w:rPr>
        <w:t xml:space="preserve"> pakkumise protsessi on kaasatud teenuseosutaja, kellel tuleb täita seaduse §-s </w:t>
      </w:r>
      <w:r w:rsidR="005D33CC">
        <w:rPr>
          <w:color w:val="000000" w:themeColor="text1"/>
          <w:sz w:val="22"/>
          <w:szCs w:val="22"/>
        </w:rPr>
        <w:t>45</w:t>
      </w:r>
      <w:r>
        <w:rPr>
          <w:color w:val="000000" w:themeColor="text1"/>
          <w:sz w:val="22"/>
          <w:szCs w:val="22"/>
        </w:rPr>
        <w:t xml:space="preserve"> nimetatud </w:t>
      </w:r>
      <w:proofErr w:type="spellStart"/>
      <w:r>
        <w:rPr>
          <w:color w:val="000000" w:themeColor="text1"/>
          <w:sz w:val="22"/>
          <w:szCs w:val="22"/>
        </w:rPr>
        <w:t>nõueid</w:t>
      </w:r>
      <w:proofErr w:type="spellEnd"/>
      <w:r>
        <w:rPr>
          <w:color w:val="000000" w:themeColor="text1"/>
          <w:sz w:val="22"/>
          <w:szCs w:val="22"/>
        </w:rPr>
        <w:t xml:space="preserve">. </w:t>
      </w:r>
    </w:p>
    <w:p w14:paraId="37DC6D57" w14:textId="77777777" w:rsidR="003A6227" w:rsidRDefault="003A6227" w:rsidP="003A6227">
      <w:pPr>
        <w:spacing w:before="0"/>
        <w:rPr>
          <w:color w:val="000000" w:themeColor="text1"/>
          <w:sz w:val="22"/>
          <w:szCs w:val="22"/>
        </w:rPr>
      </w:pPr>
    </w:p>
    <w:p w14:paraId="68DA0D36" w14:textId="5327EBCE" w:rsidR="00C815CD" w:rsidRDefault="003A6227" w:rsidP="003A6227">
      <w:pPr>
        <w:spacing w:before="0"/>
        <w:rPr>
          <w:color w:val="000000" w:themeColor="text1"/>
          <w:sz w:val="22"/>
          <w:szCs w:val="22"/>
        </w:rPr>
      </w:pPr>
      <w:r>
        <w:rPr>
          <w:b/>
          <w:color w:val="000000" w:themeColor="text1"/>
          <w:sz w:val="22"/>
          <w:szCs w:val="22"/>
        </w:rPr>
        <w:t xml:space="preserve">Lõike 2 </w:t>
      </w:r>
      <w:r>
        <w:rPr>
          <w:color w:val="000000" w:themeColor="text1"/>
          <w:sz w:val="22"/>
          <w:szCs w:val="22"/>
        </w:rPr>
        <w:t xml:space="preserve">järgi kohaldatakse rahastuse taotlejale käesolevas peatükis üksnes §-des </w:t>
      </w:r>
      <w:r w:rsidR="00C815CD">
        <w:rPr>
          <w:color w:val="000000" w:themeColor="text1"/>
          <w:sz w:val="22"/>
          <w:szCs w:val="22"/>
        </w:rPr>
        <w:t>48, 49, 50, 61 ja 66-71</w:t>
      </w:r>
      <w:r>
        <w:rPr>
          <w:color w:val="000000" w:themeColor="text1"/>
          <w:sz w:val="22"/>
          <w:szCs w:val="22"/>
        </w:rPr>
        <w:t xml:space="preserve"> sätestatut, kui nimetatud rahastuse taotleja pakub investeerimis</w:t>
      </w:r>
      <w:r w:rsidR="00C815CD">
        <w:rPr>
          <w:color w:val="000000" w:themeColor="text1"/>
          <w:sz w:val="22"/>
          <w:szCs w:val="22"/>
        </w:rPr>
        <w:t>projekti</w:t>
      </w:r>
      <w:r>
        <w:rPr>
          <w:color w:val="000000" w:themeColor="text1"/>
          <w:sz w:val="22"/>
          <w:szCs w:val="22"/>
        </w:rPr>
        <w:t xml:space="preserve"> ilma teenuseosutajata. Nimetatud sätted peaksid tagama </w:t>
      </w:r>
      <w:r w:rsidR="00C815CD">
        <w:rPr>
          <w:color w:val="000000" w:themeColor="text1"/>
          <w:sz w:val="22"/>
          <w:szCs w:val="22"/>
        </w:rPr>
        <w:t>klientidele</w:t>
      </w:r>
      <w:r>
        <w:rPr>
          <w:color w:val="000000" w:themeColor="text1"/>
          <w:sz w:val="22"/>
          <w:szCs w:val="22"/>
        </w:rPr>
        <w:t xml:space="preserve"> tõese ja piisava teabe andmise, kuid jätab rahastuse taotlejale väiksema halduskoormuse võrreldes teenuseosutajaga. See lähenemine on analoogne väärtpaberituru seaduses sätestatud emitendi ja väärtpaberi pakkumise korraldajaga, kus nö üksikemitendile on pandud leebemad kohustused võrreldes sellise teenuse osutajaga, mis võimaldab (väärtpaberi-)pakkumisi läbi viia.</w:t>
      </w:r>
    </w:p>
    <w:p w14:paraId="3D8E1816" w14:textId="77777777" w:rsidR="00EC47C6" w:rsidRDefault="00EC47C6" w:rsidP="003A6227">
      <w:pPr>
        <w:spacing w:before="0"/>
        <w:rPr>
          <w:b/>
          <w:sz w:val="22"/>
          <w:szCs w:val="22"/>
        </w:rPr>
      </w:pPr>
    </w:p>
    <w:p w14:paraId="7A699112" w14:textId="29C3AF46" w:rsidR="00F85EE3" w:rsidRPr="005A55CA" w:rsidRDefault="00F85EE3" w:rsidP="00F85EE3">
      <w:pPr>
        <w:spacing w:before="0"/>
        <w:rPr>
          <w:sz w:val="22"/>
          <w:szCs w:val="22"/>
        </w:rPr>
      </w:pPr>
      <w:r w:rsidRPr="005A55CA">
        <w:rPr>
          <w:b/>
          <w:sz w:val="22"/>
          <w:szCs w:val="22"/>
        </w:rPr>
        <w:t xml:space="preserve">Paragrahv </w:t>
      </w:r>
      <w:r>
        <w:rPr>
          <w:b/>
          <w:sz w:val="22"/>
          <w:szCs w:val="22"/>
        </w:rPr>
        <w:t>66</w:t>
      </w:r>
      <w:r w:rsidRPr="005A55CA">
        <w:rPr>
          <w:b/>
          <w:sz w:val="22"/>
          <w:szCs w:val="22"/>
        </w:rPr>
        <w:t xml:space="preserve"> </w:t>
      </w:r>
      <w:r w:rsidRPr="005A55CA">
        <w:rPr>
          <w:sz w:val="22"/>
          <w:szCs w:val="22"/>
        </w:rPr>
        <w:t xml:space="preserve">sätestab põhiteabedokumendi sisule ja avalikustamisele kehtestatud nõuded. </w:t>
      </w:r>
    </w:p>
    <w:p w14:paraId="3EEF58B3" w14:textId="77777777" w:rsidR="00F85EE3" w:rsidRPr="005A55CA" w:rsidRDefault="00F85EE3" w:rsidP="00F85EE3">
      <w:pPr>
        <w:spacing w:before="0"/>
        <w:rPr>
          <w:sz w:val="22"/>
          <w:szCs w:val="22"/>
        </w:rPr>
      </w:pPr>
    </w:p>
    <w:p w14:paraId="7F2A99EC" w14:textId="3550C80A" w:rsidR="00F85EE3" w:rsidRPr="005A55CA" w:rsidRDefault="00F85EE3" w:rsidP="00F85EE3">
      <w:pPr>
        <w:spacing w:before="0"/>
        <w:rPr>
          <w:sz w:val="22"/>
          <w:szCs w:val="22"/>
        </w:rPr>
      </w:pPr>
      <w:r w:rsidRPr="005A55CA">
        <w:rPr>
          <w:b/>
          <w:sz w:val="22"/>
          <w:szCs w:val="22"/>
        </w:rPr>
        <w:t xml:space="preserve">Lõike 1 </w:t>
      </w:r>
      <w:r w:rsidRPr="005A55CA">
        <w:rPr>
          <w:sz w:val="22"/>
          <w:szCs w:val="22"/>
        </w:rPr>
        <w:t>kohaselt tuleb koostada põhiteabedokument iga investeerimis</w:t>
      </w:r>
      <w:r>
        <w:rPr>
          <w:sz w:val="22"/>
          <w:szCs w:val="22"/>
        </w:rPr>
        <w:t>projekti</w:t>
      </w:r>
      <w:r w:rsidRPr="005A55CA">
        <w:rPr>
          <w:sz w:val="22"/>
          <w:szCs w:val="22"/>
        </w:rPr>
        <w:t xml:space="preserve"> pakkumise puhul. Põhiteabedokumendis avaldatud teabe puhul tuleb järgida samas paragrahvis sätestatut ning põhiteabedokument ise peab olema koostatud selliselt, et </w:t>
      </w:r>
      <w:r>
        <w:rPr>
          <w:sz w:val="22"/>
          <w:szCs w:val="22"/>
        </w:rPr>
        <w:t>kliendil</w:t>
      </w:r>
      <w:r w:rsidRPr="005A55CA">
        <w:rPr>
          <w:sz w:val="22"/>
          <w:szCs w:val="22"/>
        </w:rPr>
        <w:t xml:space="preserve"> oleks sellest lihtne vajalikku teavet leida. Põhiteabedokument on oma sisult ja vormilt teataval määral sarnane väärtpaberite avaliku pakkumise puhul avalikustatava prospektiga, kuid teatavate erisustega, mis tulenevad investeerimis</w:t>
      </w:r>
      <w:r>
        <w:rPr>
          <w:sz w:val="22"/>
          <w:szCs w:val="22"/>
        </w:rPr>
        <w:t>projektide</w:t>
      </w:r>
      <w:r w:rsidRPr="005A55CA">
        <w:rPr>
          <w:sz w:val="22"/>
          <w:szCs w:val="22"/>
        </w:rPr>
        <w:t xml:space="preserve"> nii funktsionaalsest kui ka vormilisest (peamiselt krüptograafial vm tehnoloogial põhinevad) erinevustest võrreldes väärtpaberitega. Seetõttu on käesolevas seaduses ka kasutusele võetud mõiste „põhiteabedokument“, et ei tekiks segadust käesoleva seaduse ja väärtpaberituru seaduse prospekti vahel. </w:t>
      </w:r>
    </w:p>
    <w:p w14:paraId="205FFD34" w14:textId="77777777" w:rsidR="00F85EE3" w:rsidRPr="005A55CA" w:rsidRDefault="00F85EE3" w:rsidP="00F85EE3">
      <w:pPr>
        <w:spacing w:before="0"/>
        <w:rPr>
          <w:sz w:val="22"/>
          <w:szCs w:val="22"/>
        </w:rPr>
      </w:pPr>
    </w:p>
    <w:p w14:paraId="1D818125" w14:textId="7E9A3A5A" w:rsidR="00F85EE3" w:rsidRPr="005A55CA" w:rsidRDefault="00F85EE3" w:rsidP="00F85EE3">
      <w:pPr>
        <w:spacing w:before="0"/>
        <w:rPr>
          <w:sz w:val="22"/>
          <w:szCs w:val="22"/>
        </w:rPr>
      </w:pPr>
      <w:r w:rsidRPr="005A55CA">
        <w:rPr>
          <w:b/>
          <w:sz w:val="22"/>
          <w:szCs w:val="22"/>
        </w:rPr>
        <w:t xml:space="preserve">Lõige 2 </w:t>
      </w:r>
      <w:r w:rsidRPr="005A55CA">
        <w:rPr>
          <w:sz w:val="22"/>
          <w:szCs w:val="22"/>
        </w:rPr>
        <w:t>kehtestab üldnõuded põhiteabedokumendis sisalduvale teabele. Sätte kohaselt peab põhiteabedokument sisaldama lihtsalt analüüsitavas ja arusaadavas vormis kogu iseloomuliku tea</w:t>
      </w:r>
      <w:r>
        <w:rPr>
          <w:sz w:val="22"/>
          <w:szCs w:val="22"/>
        </w:rPr>
        <w:t>be</w:t>
      </w:r>
      <w:r w:rsidRPr="005A55CA">
        <w:rPr>
          <w:sz w:val="22"/>
          <w:szCs w:val="22"/>
        </w:rPr>
        <w:t xml:space="preserve"> </w:t>
      </w:r>
      <w:r>
        <w:rPr>
          <w:sz w:val="22"/>
          <w:szCs w:val="22"/>
        </w:rPr>
        <w:t xml:space="preserve">rahastuse </w:t>
      </w:r>
      <w:r w:rsidRPr="004D73B1">
        <w:rPr>
          <w:sz w:val="22"/>
          <w:szCs w:val="22"/>
        </w:rPr>
        <w:t>taotleja ja avalikkusele pakutava investeerimis</w:t>
      </w:r>
      <w:r>
        <w:rPr>
          <w:sz w:val="22"/>
          <w:szCs w:val="22"/>
        </w:rPr>
        <w:t>projekti</w:t>
      </w:r>
      <w:r w:rsidRPr="004D73B1">
        <w:rPr>
          <w:sz w:val="22"/>
          <w:szCs w:val="22"/>
        </w:rPr>
        <w:t xml:space="preserve"> kohta. Täpsustuseks on lisatud, et eeltoodud teave on </w:t>
      </w:r>
      <w:r>
        <w:rPr>
          <w:sz w:val="22"/>
          <w:szCs w:val="22"/>
        </w:rPr>
        <w:t>klientidele</w:t>
      </w:r>
      <w:r w:rsidRPr="004D73B1">
        <w:rPr>
          <w:sz w:val="22"/>
          <w:szCs w:val="22"/>
        </w:rPr>
        <w:t xml:space="preserve"> vajalik, et teadvalt hinnata rahastuse taotleja kohustusi, finantsseisundit, kasumit </w:t>
      </w:r>
      <w:r>
        <w:rPr>
          <w:sz w:val="22"/>
          <w:szCs w:val="22"/>
        </w:rPr>
        <w:t>või</w:t>
      </w:r>
      <w:r w:rsidRPr="004D73B1">
        <w:rPr>
          <w:sz w:val="22"/>
          <w:szCs w:val="22"/>
        </w:rPr>
        <w:t xml:space="preserve"> kahjumit, tulevikuväljavaateid</w:t>
      </w:r>
      <w:r w:rsidRPr="005A55CA">
        <w:rPr>
          <w:sz w:val="22"/>
          <w:szCs w:val="22"/>
        </w:rPr>
        <w:t xml:space="preserve"> ning pakutava investeerimis</w:t>
      </w:r>
      <w:r>
        <w:rPr>
          <w:sz w:val="22"/>
          <w:szCs w:val="22"/>
        </w:rPr>
        <w:t>projektiga</w:t>
      </w:r>
      <w:r w:rsidRPr="005A55CA">
        <w:rPr>
          <w:sz w:val="22"/>
          <w:szCs w:val="22"/>
        </w:rPr>
        <w:t xml:space="preserve"> kaasnevaid õigusi. Lõike alguses märgitud „lihtsalt analüüsitava ja arusaadava vormi“ all peetakse silmas seda, et ilma eriteadmisteta isikul peaks põhiteabedokumendiga tutvudes olema võimalik aru saada käesolevas lõikes (ja ka muudest käesolevas paragrahvis) toodud pakkumise ja </w:t>
      </w:r>
      <w:r>
        <w:rPr>
          <w:sz w:val="22"/>
          <w:szCs w:val="22"/>
        </w:rPr>
        <w:t>rahastuse taotlejaga</w:t>
      </w:r>
      <w:r w:rsidRPr="005A55CA">
        <w:rPr>
          <w:sz w:val="22"/>
          <w:szCs w:val="22"/>
        </w:rPr>
        <w:t xml:space="preserve"> seotud aspektidest (vt ka sama paragrahvi lõiget 5).</w:t>
      </w:r>
    </w:p>
    <w:p w14:paraId="0C442656" w14:textId="77777777" w:rsidR="00F85EE3" w:rsidRPr="005A55CA" w:rsidRDefault="00F85EE3" w:rsidP="00F85EE3">
      <w:pPr>
        <w:spacing w:before="0"/>
        <w:rPr>
          <w:sz w:val="22"/>
          <w:szCs w:val="22"/>
        </w:rPr>
      </w:pPr>
    </w:p>
    <w:p w14:paraId="2D7F6611" w14:textId="6CE6364D" w:rsidR="00F85EE3" w:rsidRPr="005A55CA" w:rsidRDefault="00F85EE3" w:rsidP="00F85EE3">
      <w:pPr>
        <w:spacing w:before="0"/>
        <w:rPr>
          <w:sz w:val="22"/>
          <w:szCs w:val="22"/>
        </w:rPr>
      </w:pPr>
      <w:r w:rsidRPr="005A55CA">
        <w:rPr>
          <w:b/>
          <w:sz w:val="22"/>
          <w:szCs w:val="22"/>
        </w:rPr>
        <w:t xml:space="preserve">Lõige 3 </w:t>
      </w:r>
      <w:r w:rsidRPr="005A55CA">
        <w:rPr>
          <w:sz w:val="22"/>
          <w:szCs w:val="22"/>
        </w:rPr>
        <w:t>sätestab üldised nõuded põhiteabedokumendi sisule. Punktide 1-</w:t>
      </w:r>
      <w:r w:rsidR="00DB4F05">
        <w:rPr>
          <w:sz w:val="22"/>
          <w:szCs w:val="22"/>
        </w:rPr>
        <w:t>8</w:t>
      </w:r>
      <w:r w:rsidRPr="005A55CA">
        <w:rPr>
          <w:sz w:val="22"/>
          <w:szCs w:val="22"/>
        </w:rPr>
        <w:t xml:space="preserve"> kohaselt tuleb põhiteabedokumendis esitada </w:t>
      </w:r>
      <w:r>
        <w:rPr>
          <w:sz w:val="22"/>
          <w:szCs w:val="22"/>
        </w:rPr>
        <w:t>investeerimis</w:t>
      </w:r>
      <w:r w:rsidR="004C003A">
        <w:rPr>
          <w:sz w:val="22"/>
          <w:szCs w:val="22"/>
        </w:rPr>
        <w:t>projekti</w:t>
      </w:r>
      <w:r>
        <w:rPr>
          <w:sz w:val="22"/>
          <w:szCs w:val="22"/>
        </w:rPr>
        <w:t xml:space="preserve"> pakkumise kohta </w:t>
      </w:r>
      <w:r w:rsidRPr="005A55CA">
        <w:rPr>
          <w:sz w:val="22"/>
          <w:szCs w:val="22"/>
        </w:rPr>
        <w:t>vähemalt järgmised andmed:</w:t>
      </w:r>
    </w:p>
    <w:p w14:paraId="0B7B7631" w14:textId="55AB3407" w:rsidR="00F85EE3" w:rsidRPr="00D508BE" w:rsidRDefault="004C003A" w:rsidP="002B2C7C">
      <w:pPr>
        <w:numPr>
          <w:ilvl w:val="0"/>
          <w:numId w:val="33"/>
        </w:numPr>
        <w:rPr>
          <w:sz w:val="22"/>
          <w:szCs w:val="22"/>
        </w:rPr>
      </w:pPr>
      <w:r>
        <w:rPr>
          <w:sz w:val="22"/>
          <w:szCs w:val="22"/>
        </w:rPr>
        <w:t xml:space="preserve">üldine info </w:t>
      </w:r>
      <w:r w:rsidR="00F85EE3" w:rsidRPr="00D508BE">
        <w:rPr>
          <w:sz w:val="22"/>
          <w:szCs w:val="22"/>
        </w:rPr>
        <w:t>rahastuse taotleja</w:t>
      </w:r>
      <w:r>
        <w:rPr>
          <w:sz w:val="22"/>
          <w:szCs w:val="22"/>
        </w:rPr>
        <w:t xml:space="preserve"> kohta, sealhulgas</w:t>
      </w:r>
      <w:r w:rsidR="00F85EE3" w:rsidRPr="00D508BE">
        <w:rPr>
          <w:sz w:val="22"/>
          <w:szCs w:val="22"/>
        </w:rPr>
        <w:t xml:space="preserve"> varade, kohustuste ja finantsseisundi lühikirjeldus (</w:t>
      </w:r>
      <w:r w:rsidR="00F85EE3" w:rsidRPr="00D508BE">
        <w:rPr>
          <w:b/>
          <w:sz w:val="22"/>
          <w:szCs w:val="22"/>
        </w:rPr>
        <w:t>punkt 1</w:t>
      </w:r>
      <w:r w:rsidR="00F85EE3" w:rsidRPr="00D508BE">
        <w:rPr>
          <w:sz w:val="22"/>
          <w:szCs w:val="22"/>
        </w:rPr>
        <w:t>);</w:t>
      </w:r>
    </w:p>
    <w:p w14:paraId="585689B0" w14:textId="77777777" w:rsidR="004C003A" w:rsidRDefault="00F85EE3" w:rsidP="002B2C7C">
      <w:pPr>
        <w:numPr>
          <w:ilvl w:val="0"/>
          <w:numId w:val="33"/>
        </w:numPr>
        <w:rPr>
          <w:sz w:val="22"/>
          <w:szCs w:val="22"/>
        </w:rPr>
      </w:pPr>
      <w:r w:rsidRPr="00D508BE">
        <w:rPr>
          <w:sz w:val="22"/>
          <w:szCs w:val="22"/>
        </w:rPr>
        <w:t>investeerimis</w:t>
      </w:r>
      <w:r w:rsidR="004C003A">
        <w:rPr>
          <w:sz w:val="22"/>
          <w:szCs w:val="22"/>
        </w:rPr>
        <w:t>projekti eesmärk, põhilised tunnusjooned ja kaasatud rahaliste vahendite kasutamine (punkt 2);</w:t>
      </w:r>
    </w:p>
    <w:p w14:paraId="34D62BBE" w14:textId="77777777" w:rsidR="004C003A" w:rsidRDefault="004C003A" w:rsidP="002B2C7C">
      <w:pPr>
        <w:numPr>
          <w:ilvl w:val="0"/>
          <w:numId w:val="33"/>
        </w:numPr>
        <w:rPr>
          <w:sz w:val="22"/>
          <w:szCs w:val="22"/>
        </w:rPr>
      </w:pPr>
      <w:r>
        <w:rPr>
          <w:sz w:val="22"/>
          <w:szCs w:val="22"/>
        </w:rPr>
        <w:t>investeerimisprojekti meeskond või muud vastutavad isikud, sealhulgas nende isikute vahelised võimalikud huvide konfliktid (punkt 3);</w:t>
      </w:r>
    </w:p>
    <w:p w14:paraId="34F5DCCC" w14:textId="77777777" w:rsidR="004C003A" w:rsidRDefault="004C003A" w:rsidP="002B2C7C">
      <w:pPr>
        <w:numPr>
          <w:ilvl w:val="0"/>
          <w:numId w:val="33"/>
        </w:numPr>
        <w:rPr>
          <w:sz w:val="22"/>
          <w:szCs w:val="22"/>
        </w:rPr>
      </w:pPr>
      <w:r>
        <w:rPr>
          <w:sz w:val="22"/>
          <w:szCs w:val="22"/>
        </w:rPr>
        <w:t>pakkumise üldtingimused, sealhulgas kliendi poolt kaetavad eeldatavad kulud (punkt 4);</w:t>
      </w:r>
    </w:p>
    <w:p w14:paraId="07C83DEA" w14:textId="77777777" w:rsidR="004C003A" w:rsidRDefault="004C003A" w:rsidP="002B2C7C">
      <w:pPr>
        <w:numPr>
          <w:ilvl w:val="0"/>
          <w:numId w:val="33"/>
        </w:numPr>
        <w:rPr>
          <w:sz w:val="22"/>
          <w:szCs w:val="22"/>
        </w:rPr>
      </w:pPr>
      <w:r>
        <w:rPr>
          <w:sz w:val="22"/>
          <w:szCs w:val="22"/>
        </w:rPr>
        <w:t>investeeringuga kaasnevate õiguste lühikirjeldus (punkt 5);</w:t>
      </w:r>
    </w:p>
    <w:p w14:paraId="74C7EEA2" w14:textId="77777777" w:rsidR="00DB4F05" w:rsidRDefault="00DB4F05" w:rsidP="002B2C7C">
      <w:pPr>
        <w:numPr>
          <w:ilvl w:val="0"/>
          <w:numId w:val="33"/>
        </w:numPr>
        <w:rPr>
          <w:sz w:val="22"/>
          <w:szCs w:val="22"/>
        </w:rPr>
      </w:pPr>
      <w:r>
        <w:rPr>
          <w:sz w:val="22"/>
          <w:szCs w:val="22"/>
        </w:rPr>
        <w:t>investeeringuga seotud riskid (punkt 6);</w:t>
      </w:r>
    </w:p>
    <w:p w14:paraId="6D3F7124" w14:textId="6BD72727" w:rsidR="00DB4F05" w:rsidRDefault="00DB4F05" w:rsidP="002B2C7C">
      <w:pPr>
        <w:numPr>
          <w:ilvl w:val="0"/>
          <w:numId w:val="33"/>
        </w:numPr>
        <w:rPr>
          <w:sz w:val="22"/>
          <w:szCs w:val="22"/>
        </w:rPr>
      </w:pPr>
      <w:r>
        <w:rPr>
          <w:sz w:val="22"/>
          <w:szCs w:val="22"/>
        </w:rPr>
        <w:t>kasutatav tehnoloogia, sealhulgas klientidele kuuluvate õiguste registreerimine (punkt 7);</w:t>
      </w:r>
    </w:p>
    <w:p w14:paraId="0AA48482" w14:textId="143CAA30" w:rsidR="00F85EE3" w:rsidRDefault="00DB4F05" w:rsidP="00EC47C6">
      <w:pPr>
        <w:numPr>
          <w:ilvl w:val="0"/>
          <w:numId w:val="33"/>
        </w:numPr>
        <w:rPr>
          <w:sz w:val="22"/>
          <w:szCs w:val="22"/>
        </w:rPr>
      </w:pPr>
      <w:r w:rsidRPr="00EC47C6">
        <w:rPr>
          <w:sz w:val="22"/>
          <w:szCs w:val="22"/>
        </w:rPr>
        <w:t xml:space="preserve">asjakohasel juhul </w:t>
      </w:r>
      <w:proofErr w:type="spellStart"/>
      <w:r w:rsidRPr="00EC47C6">
        <w:rPr>
          <w:sz w:val="22"/>
          <w:szCs w:val="22"/>
        </w:rPr>
        <w:t>krüptovara</w:t>
      </w:r>
      <w:proofErr w:type="spellEnd"/>
      <w:r w:rsidRPr="00EC47C6">
        <w:rPr>
          <w:sz w:val="22"/>
          <w:szCs w:val="22"/>
        </w:rPr>
        <w:t xml:space="preserve"> omandamise või võõrandamise tingimused finantsvahendusplatvormil ja sellega seonduvad tasud (punkt 8).</w:t>
      </w:r>
    </w:p>
    <w:p w14:paraId="7659A317" w14:textId="77777777" w:rsidR="00EC47C6" w:rsidRPr="00EC47C6" w:rsidRDefault="00EC47C6" w:rsidP="00EC47C6">
      <w:pPr>
        <w:rPr>
          <w:sz w:val="22"/>
          <w:szCs w:val="22"/>
        </w:rPr>
      </w:pPr>
    </w:p>
    <w:p w14:paraId="647C2314" w14:textId="43430497" w:rsidR="00F85EE3" w:rsidRPr="007C279E" w:rsidRDefault="00F85EE3" w:rsidP="00F85EE3">
      <w:pPr>
        <w:spacing w:before="0"/>
        <w:rPr>
          <w:sz w:val="22"/>
          <w:szCs w:val="22"/>
        </w:rPr>
      </w:pPr>
      <w:r w:rsidRPr="005A55CA">
        <w:rPr>
          <w:b/>
          <w:sz w:val="22"/>
          <w:szCs w:val="22"/>
        </w:rPr>
        <w:t xml:space="preserve">Lõikes 4 </w:t>
      </w:r>
      <w:r>
        <w:rPr>
          <w:sz w:val="22"/>
          <w:szCs w:val="22"/>
        </w:rPr>
        <w:t xml:space="preserve">on sätestatud erand </w:t>
      </w:r>
      <w:r w:rsidR="00DB4F05">
        <w:rPr>
          <w:sz w:val="22"/>
          <w:szCs w:val="22"/>
        </w:rPr>
        <w:t>tarbijakrediidipõhise investeerimisprojekti puhul. Viidatud juhul kohaldatakse põhiteabedokumendile sama lõike punktides 1-5 nimetatud teabe avalikustamise kohustust. Lõikes 3 nimetatud</w:t>
      </w:r>
      <w:r>
        <w:rPr>
          <w:sz w:val="22"/>
          <w:szCs w:val="22"/>
        </w:rPr>
        <w:t xml:space="preserve"> punktid võivad osutuda eelnõu koostajate hinnangul kas praktikas </w:t>
      </w:r>
      <w:proofErr w:type="spellStart"/>
      <w:r>
        <w:rPr>
          <w:sz w:val="22"/>
          <w:szCs w:val="22"/>
        </w:rPr>
        <w:t>mitte-täidetavaks</w:t>
      </w:r>
      <w:proofErr w:type="spellEnd"/>
      <w:r>
        <w:rPr>
          <w:sz w:val="22"/>
          <w:szCs w:val="22"/>
        </w:rPr>
        <w:t xml:space="preserve"> või liialt koormavaks </w:t>
      </w:r>
      <w:r w:rsidR="00DB4F05">
        <w:rPr>
          <w:sz w:val="22"/>
          <w:szCs w:val="22"/>
        </w:rPr>
        <w:t xml:space="preserve">tarbijakrediidipõhise investeerimisprojekti puhul. </w:t>
      </w:r>
      <w:r>
        <w:rPr>
          <w:sz w:val="22"/>
          <w:szCs w:val="22"/>
        </w:rPr>
        <w:t xml:space="preserve">Lisaks tuleb </w:t>
      </w:r>
      <w:r>
        <w:rPr>
          <w:sz w:val="22"/>
          <w:szCs w:val="22"/>
        </w:rPr>
        <w:lastRenderedPageBreak/>
        <w:t>arvestada ka seda, et käesoleva seaduse § 2 lõike 6 kohaselt ei kohaldata seadust üldse sellisel juhul, kui füüsiline isik taotleb tarbijakrediiti.</w:t>
      </w:r>
    </w:p>
    <w:p w14:paraId="095A8FEC" w14:textId="77777777" w:rsidR="00F85EE3" w:rsidRDefault="00F85EE3" w:rsidP="00F85EE3">
      <w:pPr>
        <w:spacing w:before="0"/>
        <w:rPr>
          <w:b/>
          <w:sz w:val="22"/>
          <w:szCs w:val="22"/>
        </w:rPr>
      </w:pPr>
    </w:p>
    <w:p w14:paraId="3EAC90A4" w14:textId="480D569C" w:rsidR="00F85EE3" w:rsidRPr="005A55CA" w:rsidRDefault="00F85EE3" w:rsidP="00B3086F">
      <w:pPr>
        <w:spacing w:before="0"/>
        <w:rPr>
          <w:sz w:val="22"/>
          <w:szCs w:val="22"/>
        </w:rPr>
      </w:pPr>
      <w:r>
        <w:rPr>
          <w:b/>
          <w:sz w:val="22"/>
          <w:szCs w:val="22"/>
        </w:rPr>
        <w:t xml:space="preserve">Lõike 5 </w:t>
      </w:r>
      <w:r w:rsidRPr="005A55CA">
        <w:rPr>
          <w:sz w:val="22"/>
          <w:szCs w:val="22"/>
        </w:rPr>
        <w:t>kohaselt pea</w:t>
      </w:r>
      <w:r w:rsidR="00832050">
        <w:rPr>
          <w:sz w:val="22"/>
          <w:szCs w:val="22"/>
        </w:rPr>
        <w:t>vad</w:t>
      </w:r>
      <w:r w:rsidRPr="005A55CA">
        <w:rPr>
          <w:sz w:val="22"/>
          <w:szCs w:val="22"/>
        </w:rPr>
        <w:t xml:space="preserve"> põhiteabedokumendis sisalduv</w:t>
      </w:r>
      <w:r w:rsidR="00832050">
        <w:rPr>
          <w:sz w:val="22"/>
          <w:szCs w:val="22"/>
        </w:rPr>
        <w:t>ad andmed</w:t>
      </w:r>
      <w:r w:rsidRPr="005A55CA">
        <w:rPr>
          <w:sz w:val="22"/>
          <w:szCs w:val="22"/>
        </w:rPr>
        <w:t xml:space="preserve"> olema selge</w:t>
      </w:r>
      <w:r w:rsidR="00832050">
        <w:rPr>
          <w:sz w:val="22"/>
          <w:szCs w:val="22"/>
        </w:rPr>
        <w:t>d</w:t>
      </w:r>
      <w:r w:rsidRPr="005A55CA">
        <w:rPr>
          <w:sz w:val="22"/>
          <w:szCs w:val="22"/>
        </w:rPr>
        <w:t>, mitteeksitav</w:t>
      </w:r>
      <w:r w:rsidR="00832050">
        <w:rPr>
          <w:sz w:val="22"/>
          <w:szCs w:val="22"/>
        </w:rPr>
        <w:t>ad</w:t>
      </w:r>
      <w:r w:rsidRPr="005A55CA">
        <w:rPr>
          <w:sz w:val="22"/>
          <w:szCs w:val="22"/>
        </w:rPr>
        <w:t xml:space="preserve"> ja täielik</w:t>
      </w:r>
      <w:r w:rsidR="00832050">
        <w:rPr>
          <w:sz w:val="22"/>
          <w:szCs w:val="22"/>
        </w:rPr>
        <w:t>ud</w:t>
      </w:r>
      <w:r w:rsidRPr="005A55CA">
        <w:rPr>
          <w:sz w:val="22"/>
          <w:szCs w:val="22"/>
        </w:rPr>
        <w:t xml:space="preserve"> ning vastama investeerimis</w:t>
      </w:r>
      <w:r w:rsidR="00832050">
        <w:rPr>
          <w:sz w:val="22"/>
          <w:szCs w:val="22"/>
        </w:rPr>
        <w:t>projekti</w:t>
      </w:r>
      <w:r w:rsidRPr="005A55CA">
        <w:rPr>
          <w:sz w:val="22"/>
          <w:szCs w:val="22"/>
        </w:rPr>
        <w:t xml:space="preserve"> pakkumise eripärale. Sama lõike teise lause kohaselt koostatakse põhiteabedokument selliselt, et isikul, kes ei ole kogenud </w:t>
      </w:r>
      <w:r w:rsidR="00832050">
        <w:rPr>
          <w:sz w:val="22"/>
          <w:szCs w:val="22"/>
        </w:rPr>
        <w:t>klient</w:t>
      </w:r>
      <w:r w:rsidRPr="005A55CA">
        <w:rPr>
          <w:sz w:val="22"/>
          <w:szCs w:val="22"/>
        </w:rPr>
        <w:t>, on selle sisust kerge aru saada ka viideteta muudele dokumentidele. Lõike eesmärk on tagada, et põhiteabedokumendis esitatud teave on esitatud arusaadaval ku</w:t>
      </w:r>
      <w:r>
        <w:rPr>
          <w:sz w:val="22"/>
          <w:szCs w:val="22"/>
        </w:rPr>
        <w:t>j</w:t>
      </w:r>
      <w:r w:rsidRPr="005A55CA">
        <w:rPr>
          <w:sz w:val="22"/>
          <w:szCs w:val="22"/>
        </w:rPr>
        <w:t xml:space="preserve">ul, teisisõnu peaks ilma eriteadmisteta isikul olema võimalik aru saada pakkumise tingimustest ja põhiteabedokumendi sisust (eeskätt käesoleva paragrahvi lõikes 3 ja asjakohasel juhul ka lõikes 4 sätestatust), kusjuures põhiteabedokument ise peab olema terviklik ning sisaldama kogu nõutud teavet ilma viideteta muudele dokumentidele selles osas, </w:t>
      </w:r>
      <w:proofErr w:type="spellStart"/>
      <w:r w:rsidRPr="005A55CA">
        <w:rPr>
          <w:sz w:val="22"/>
          <w:szCs w:val="22"/>
        </w:rPr>
        <w:t>millekohane</w:t>
      </w:r>
      <w:proofErr w:type="spellEnd"/>
      <w:r w:rsidRPr="005A55CA">
        <w:rPr>
          <w:sz w:val="22"/>
          <w:szCs w:val="22"/>
        </w:rPr>
        <w:t xml:space="preserve"> teave peab sisalduma põhiteabedokumendis käesoleva paragrahvi nõuete järgi.</w:t>
      </w:r>
    </w:p>
    <w:p w14:paraId="7D35BF4A" w14:textId="77777777" w:rsidR="00F85EE3" w:rsidRPr="005A55CA" w:rsidRDefault="00F85EE3" w:rsidP="00F85EE3">
      <w:pPr>
        <w:spacing w:before="0"/>
        <w:rPr>
          <w:sz w:val="22"/>
          <w:szCs w:val="22"/>
        </w:rPr>
      </w:pPr>
    </w:p>
    <w:p w14:paraId="11F87751" w14:textId="1515097B" w:rsidR="00F85EE3" w:rsidRPr="005A55CA" w:rsidRDefault="00F85EE3" w:rsidP="00F85EE3">
      <w:pPr>
        <w:spacing w:before="0"/>
        <w:rPr>
          <w:rFonts w:eastAsia="Calibri"/>
          <w:sz w:val="22"/>
          <w:szCs w:val="22"/>
        </w:rPr>
      </w:pPr>
      <w:r w:rsidRPr="005A55CA">
        <w:rPr>
          <w:rFonts w:eastAsia="Calibri"/>
          <w:b/>
          <w:sz w:val="22"/>
          <w:szCs w:val="22"/>
        </w:rPr>
        <w:t xml:space="preserve">Lõike </w:t>
      </w:r>
      <w:r w:rsidR="00A67746">
        <w:rPr>
          <w:rFonts w:eastAsia="Calibri"/>
          <w:b/>
          <w:sz w:val="22"/>
          <w:szCs w:val="22"/>
        </w:rPr>
        <w:t>6</w:t>
      </w:r>
      <w:r w:rsidRPr="005A55CA">
        <w:rPr>
          <w:rFonts w:eastAsia="Calibri"/>
          <w:sz w:val="22"/>
          <w:szCs w:val="22"/>
        </w:rPr>
        <w:t xml:space="preserve"> kohaselt peab põhiteabedokument sisaldama selget viidet, et tegemist on </w:t>
      </w:r>
      <w:r w:rsidRPr="005A55CA">
        <w:rPr>
          <w:sz w:val="22"/>
          <w:szCs w:val="22"/>
        </w:rPr>
        <w:t xml:space="preserve">põhiteabedokumendiga, </w:t>
      </w:r>
      <w:r w:rsidR="00A67746">
        <w:rPr>
          <w:sz w:val="22"/>
          <w:szCs w:val="22"/>
        </w:rPr>
        <w:t>ja</w:t>
      </w:r>
      <w:r w:rsidRPr="005A55CA">
        <w:rPr>
          <w:sz w:val="22"/>
          <w:szCs w:val="22"/>
        </w:rPr>
        <w:t xml:space="preserve"> põhiteabedokumendi koostamise kuupäeva. </w:t>
      </w:r>
      <w:proofErr w:type="spellStart"/>
      <w:r w:rsidR="00A67746">
        <w:rPr>
          <w:sz w:val="22"/>
          <w:szCs w:val="22"/>
        </w:rPr>
        <w:t>Krüptovara</w:t>
      </w:r>
      <w:proofErr w:type="spellEnd"/>
      <w:r w:rsidR="00A67746">
        <w:rPr>
          <w:sz w:val="22"/>
          <w:szCs w:val="22"/>
        </w:rPr>
        <w:t xml:space="preserve"> põhiteabedokument võib kanda ka nimetust „</w:t>
      </w:r>
      <w:proofErr w:type="spellStart"/>
      <w:r w:rsidR="00A67746">
        <w:rPr>
          <w:sz w:val="22"/>
          <w:szCs w:val="22"/>
        </w:rPr>
        <w:t>white</w:t>
      </w:r>
      <w:proofErr w:type="spellEnd"/>
      <w:r w:rsidR="00A67746">
        <w:rPr>
          <w:sz w:val="22"/>
          <w:szCs w:val="22"/>
        </w:rPr>
        <w:t xml:space="preserve"> </w:t>
      </w:r>
      <w:proofErr w:type="spellStart"/>
      <w:r w:rsidR="00A67746">
        <w:rPr>
          <w:sz w:val="22"/>
          <w:szCs w:val="22"/>
        </w:rPr>
        <w:t>paper</w:t>
      </w:r>
      <w:proofErr w:type="spellEnd"/>
      <w:r w:rsidR="00A67746">
        <w:rPr>
          <w:sz w:val="22"/>
          <w:szCs w:val="22"/>
        </w:rPr>
        <w:t xml:space="preserve">“. </w:t>
      </w:r>
      <w:r w:rsidRPr="005A55CA">
        <w:rPr>
          <w:sz w:val="22"/>
          <w:szCs w:val="22"/>
        </w:rPr>
        <w:t xml:space="preserve">Sama lõike </w:t>
      </w:r>
      <w:r w:rsidR="00A67746">
        <w:rPr>
          <w:sz w:val="22"/>
          <w:szCs w:val="22"/>
        </w:rPr>
        <w:t>kolmanda</w:t>
      </w:r>
      <w:r w:rsidRPr="005A55CA">
        <w:rPr>
          <w:sz w:val="22"/>
          <w:szCs w:val="22"/>
        </w:rPr>
        <w:t xml:space="preserve"> lause järgi peab põhiteabedokument olema esitatud eraldiseisvana muust teabest, sealhulgas reklaamteabest, mis on seotud vastava pakkumise või rahastuse taotlejaga. Nimetatud täpsustuste eesmärk on selgelt eristada põhiteabedokumenti muudest turundus- ja tutvustavatest materjalidest, mis on investeerimis</w:t>
      </w:r>
      <w:r w:rsidR="00A67746">
        <w:rPr>
          <w:sz w:val="22"/>
          <w:szCs w:val="22"/>
        </w:rPr>
        <w:t>projekti</w:t>
      </w:r>
      <w:r w:rsidRPr="005A55CA">
        <w:rPr>
          <w:sz w:val="22"/>
          <w:szCs w:val="22"/>
        </w:rPr>
        <w:t xml:space="preserve"> kohta avaldatud ning mis ei pruugi sisaldada kogu teavet investeerimis</w:t>
      </w:r>
      <w:r w:rsidR="00A67746">
        <w:rPr>
          <w:sz w:val="22"/>
          <w:szCs w:val="22"/>
        </w:rPr>
        <w:t>projekti</w:t>
      </w:r>
      <w:r w:rsidRPr="005A55CA">
        <w:rPr>
          <w:sz w:val="22"/>
          <w:szCs w:val="22"/>
        </w:rPr>
        <w:t xml:space="preserve"> kohta või mis ei pruugi vastata käesoleva seaduse nõuetele.</w:t>
      </w:r>
    </w:p>
    <w:p w14:paraId="0406149A" w14:textId="77777777" w:rsidR="00F85EE3" w:rsidRPr="005A55CA" w:rsidRDefault="00F85EE3" w:rsidP="00F85EE3">
      <w:pPr>
        <w:spacing w:before="0"/>
        <w:rPr>
          <w:rFonts w:eastAsia="Calibri"/>
          <w:b/>
          <w:sz w:val="22"/>
          <w:szCs w:val="22"/>
        </w:rPr>
      </w:pPr>
    </w:p>
    <w:p w14:paraId="785117EE" w14:textId="49900CAE" w:rsidR="00F85EE3" w:rsidRPr="005A55CA" w:rsidRDefault="00F85EE3" w:rsidP="00F85EE3">
      <w:pPr>
        <w:spacing w:before="0"/>
        <w:rPr>
          <w:sz w:val="22"/>
          <w:szCs w:val="22"/>
        </w:rPr>
      </w:pPr>
      <w:r w:rsidRPr="005A55CA">
        <w:rPr>
          <w:rFonts w:eastAsia="Calibri"/>
          <w:b/>
          <w:sz w:val="22"/>
          <w:szCs w:val="22"/>
        </w:rPr>
        <w:t xml:space="preserve">Lõikes </w:t>
      </w:r>
      <w:r w:rsidR="00A67746">
        <w:rPr>
          <w:rFonts w:eastAsia="Calibri"/>
          <w:b/>
          <w:sz w:val="22"/>
          <w:szCs w:val="22"/>
        </w:rPr>
        <w:t>7</w:t>
      </w:r>
      <w:r w:rsidRPr="005A55CA">
        <w:rPr>
          <w:rFonts w:eastAsia="Calibri"/>
          <w:b/>
          <w:sz w:val="22"/>
          <w:szCs w:val="22"/>
        </w:rPr>
        <w:t xml:space="preserve"> </w:t>
      </w:r>
      <w:r w:rsidRPr="005A55CA">
        <w:rPr>
          <w:rFonts w:eastAsia="Calibri"/>
          <w:sz w:val="22"/>
          <w:szCs w:val="22"/>
        </w:rPr>
        <w:t xml:space="preserve">on sätestatud, et põhiteabedokument tuleb avalikustada vähemalt </w:t>
      </w:r>
      <w:r>
        <w:rPr>
          <w:rFonts w:eastAsia="Calibri"/>
          <w:sz w:val="22"/>
          <w:szCs w:val="22"/>
        </w:rPr>
        <w:t>teenuseosutaja</w:t>
      </w:r>
      <w:r w:rsidRPr="005A55CA">
        <w:rPr>
          <w:rFonts w:eastAsia="Calibri"/>
          <w:sz w:val="22"/>
          <w:szCs w:val="22"/>
        </w:rPr>
        <w:t xml:space="preserve"> veebilehel ning põhiteabedokument tuleb koostada püsival andmekandjal eraldiseiseva dokumendina, mis on selgelt eristatav turundusmaterjalidest ja on trükituna </w:t>
      </w:r>
      <w:r w:rsidRPr="00E82775">
        <w:rPr>
          <w:rFonts w:eastAsia="Calibri"/>
          <w:sz w:val="22"/>
          <w:szCs w:val="22"/>
        </w:rPr>
        <w:t xml:space="preserve">maksimaalselt </w:t>
      </w:r>
      <w:r w:rsidRPr="00351CEA">
        <w:rPr>
          <w:rFonts w:eastAsia="Calibri"/>
          <w:sz w:val="22"/>
          <w:szCs w:val="22"/>
        </w:rPr>
        <w:t>kuuel</w:t>
      </w:r>
      <w:r w:rsidRPr="005A55CA">
        <w:rPr>
          <w:rFonts w:eastAsia="Calibri"/>
          <w:sz w:val="22"/>
          <w:szCs w:val="22"/>
        </w:rPr>
        <w:t xml:space="preserve"> A4 leheküljel. Põhiteabedokumendi vormistamine püsival andmekandjal peaks tagama pakkumise tingimuste muutmatuse pakkumise kestuse ajal (välja arvatud pakkumistingimuste muutmisel § </w:t>
      </w:r>
      <w:r w:rsidR="00A67746">
        <w:rPr>
          <w:rFonts w:eastAsia="Calibri"/>
          <w:sz w:val="22"/>
          <w:szCs w:val="22"/>
        </w:rPr>
        <w:t>67</w:t>
      </w:r>
      <w:r w:rsidRPr="005A55CA">
        <w:rPr>
          <w:rFonts w:eastAsia="Calibri"/>
          <w:sz w:val="22"/>
          <w:szCs w:val="22"/>
        </w:rPr>
        <w:t>) ning põhiteabedokumendi maksimaalse mahu fikseerimine peaks aitama esitada nõutavat teavet kokkuvõtlikul ja arusaadaval viisil.</w:t>
      </w:r>
      <w:r>
        <w:rPr>
          <w:rFonts w:eastAsia="Calibri"/>
          <w:sz w:val="22"/>
          <w:szCs w:val="22"/>
        </w:rPr>
        <w:t xml:space="preserve"> Viidatud kuueleheline põhiteabedokumendi maht põhineb EL </w:t>
      </w:r>
      <w:proofErr w:type="spellStart"/>
      <w:r>
        <w:rPr>
          <w:rFonts w:eastAsia="Calibri"/>
          <w:sz w:val="22"/>
          <w:szCs w:val="22"/>
        </w:rPr>
        <w:t>ühisrahastusmääruse</w:t>
      </w:r>
      <w:proofErr w:type="spellEnd"/>
      <w:r>
        <w:rPr>
          <w:rFonts w:eastAsia="Calibri"/>
          <w:sz w:val="22"/>
          <w:szCs w:val="22"/>
        </w:rPr>
        <w:t xml:space="preserve"> artikli 23 punktil 7. Sama lõike teise lause kohaselt avalikustatakse põhiteabedokument rahastuse taotleja veebilehel, kui investeerimis</w:t>
      </w:r>
      <w:r w:rsidR="00A67746">
        <w:rPr>
          <w:rFonts w:eastAsia="Calibri"/>
          <w:sz w:val="22"/>
          <w:szCs w:val="22"/>
        </w:rPr>
        <w:t>projekti</w:t>
      </w:r>
      <w:r>
        <w:rPr>
          <w:rFonts w:eastAsia="Calibri"/>
          <w:sz w:val="22"/>
          <w:szCs w:val="22"/>
        </w:rPr>
        <w:t xml:space="preserve"> pakkumise teenuseosutaja. Teise lause eesmärk on tagada põhiteabedokumendi kättesaadavus eelduslikult investeerimis</w:t>
      </w:r>
      <w:r w:rsidR="00A67746">
        <w:rPr>
          <w:rFonts w:eastAsia="Calibri"/>
          <w:sz w:val="22"/>
          <w:szCs w:val="22"/>
        </w:rPr>
        <w:t>projekti pakkuva teenuseosutaja</w:t>
      </w:r>
      <w:r>
        <w:rPr>
          <w:rFonts w:eastAsia="Calibri"/>
          <w:sz w:val="22"/>
          <w:szCs w:val="22"/>
        </w:rPr>
        <w:t xml:space="preserve"> (kui ta on pakkumise protsessis osalev) veebilehelt, sest eelduslikult teeb </w:t>
      </w:r>
      <w:r w:rsidR="00A67746">
        <w:rPr>
          <w:rFonts w:eastAsia="Calibri"/>
          <w:sz w:val="22"/>
          <w:szCs w:val="22"/>
        </w:rPr>
        <w:t>klient</w:t>
      </w:r>
      <w:r>
        <w:rPr>
          <w:rFonts w:eastAsia="Calibri"/>
          <w:sz w:val="22"/>
          <w:szCs w:val="22"/>
        </w:rPr>
        <w:t xml:space="preserve"> investeerimis</w:t>
      </w:r>
      <w:r w:rsidR="00A67746">
        <w:rPr>
          <w:rFonts w:eastAsia="Calibri"/>
          <w:sz w:val="22"/>
          <w:szCs w:val="22"/>
        </w:rPr>
        <w:t>projektiga</w:t>
      </w:r>
      <w:r>
        <w:rPr>
          <w:rFonts w:eastAsia="Calibri"/>
          <w:sz w:val="22"/>
          <w:szCs w:val="22"/>
        </w:rPr>
        <w:t xml:space="preserve"> tehinguid teenuseosutaja vahendusel. </w:t>
      </w:r>
    </w:p>
    <w:p w14:paraId="5A100A4F" w14:textId="77777777" w:rsidR="00F85EE3" w:rsidRPr="005A55CA" w:rsidRDefault="00F85EE3" w:rsidP="00F85EE3">
      <w:pPr>
        <w:spacing w:before="0"/>
        <w:rPr>
          <w:sz w:val="22"/>
          <w:szCs w:val="22"/>
        </w:rPr>
      </w:pPr>
    </w:p>
    <w:p w14:paraId="3468547D" w14:textId="4E95868C" w:rsidR="00F85EE3" w:rsidRPr="005A55CA" w:rsidRDefault="00F85EE3" w:rsidP="00F85EE3">
      <w:pPr>
        <w:spacing w:before="0"/>
        <w:rPr>
          <w:sz w:val="22"/>
          <w:szCs w:val="22"/>
        </w:rPr>
      </w:pPr>
      <w:r w:rsidRPr="005A55CA">
        <w:rPr>
          <w:b/>
          <w:sz w:val="22"/>
          <w:szCs w:val="22"/>
        </w:rPr>
        <w:t xml:space="preserve">Lõike </w:t>
      </w:r>
      <w:r w:rsidR="00A67746">
        <w:rPr>
          <w:b/>
          <w:sz w:val="22"/>
          <w:szCs w:val="22"/>
        </w:rPr>
        <w:t>8</w:t>
      </w:r>
      <w:r w:rsidRPr="005A55CA">
        <w:rPr>
          <w:sz w:val="22"/>
          <w:szCs w:val="22"/>
        </w:rPr>
        <w:t xml:space="preserve"> kohaselt peab põhiteabedokumendis olema näidatud, millise kuupäeva seisuga on selle</w:t>
      </w:r>
      <w:r w:rsidR="00A67746">
        <w:rPr>
          <w:sz w:val="22"/>
          <w:szCs w:val="22"/>
        </w:rPr>
        <w:t>s sisalduvad</w:t>
      </w:r>
      <w:r w:rsidRPr="005A55CA">
        <w:rPr>
          <w:sz w:val="22"/>
          <w:szCs w:val="22"/>
        </w:rPr>
        <w:t xml:space="preserve"> andmed esitatud. Ühest küljest on kuupäeva fikseerimine vajalik selleks, et </w:t>
      </w:r>
      <w:r w:rsidR="00A67746">
        <w:rPr>
          <w:sz w:val="22"/>
          <w:szCs w:val="22"/>
        </w:rPr>
        <w:t>klient</w:t>
      </w:r>
      <w:r w:rsidR="00A67746" w:rsidRPr="005A55CA">
        <w:rPr>
          <w:sz w:val="22"/>
          <w:szCs w:val="22"/>
        </w:rPr>
        <w:t xml:space="preserve"> </w:t>
      </w:r>
      <w:r w:rsidRPr="005A55CA">
        <w:rPr>
          <w:sz w:val="22"/>
          <w:szCs w:val="22"/>
        </w:rPr>
        <w:t xml:space="preserve">saaks hinnata põhiteabedokumendis sisalduvaid andmeid, eriti andmeid </w:t>
      </w:r>
      <w:r>
        <w:rPr>
          <w:sz w:val="22"/>
          <w:szCs w:val="22"/>
        </w:rPr>
        <w:t>rahastuse taotleja</w:t>
      </w:r>
      <w:r w:rsidRPr="005A55CA">
        <w:rPr>
          <w:sz w:val="22"/>
          <w:szCs w:val="22"/>
        </w:rPr>
        <w:t xml:space="preserve"> majandusliku seisu kohta, teatud kuupäeva seisuga; teisalt on kuupäeva fikseerimine vältimatult vajalik andmete õigsuse ja vastutuse tagamiseks ebaõigete andmete esitamise korral.</w:t>
      </w:r>
    </w:p>
    <w:p w14:paraId="217E0672" w14:textId="77777777" w:rsidR="00F85EE3" w:rsidRPr="005A55CA" w:rsidRDefault="00F85EE3" w:rsidP="00F85EE3">
      <w:pPr>
        <w:spacing w:before="0"/>
        <w:rPr>
          <w:sz w:val="22"/>
          <w:szCs w:val="22"/>
        </w:rPr>
      </w:pPr>
    </w:p>
    <w:p w14:paraId="7AC9FE61" w14:textId="47D7BA5C" w:rsidR="00F85EE3" w:rsidRPr="005A55CA" w:rsidRDefault="00F85EE3" w:rsidP="00F85EE3">
      <w:pPr>
        <w:spacing w:before="0"/>
        <w:rPr>
          <w:rFonts w:eastAsia="Calibri"/>
          <w:sz w:val="22"/>
          <w:szCs w:val="22"/>
        </w:rPr>
      </w:pPr>
      <w:r w:rsidRPr="005A55CA">
        <w:rPr>
          <w:b/>
          <w:sz w:val="22"/>
          <w:szCs w:val="22"/>
        </w:rPr>
        <w:t xml:space="preserve">Lõikes </w:t>
      </w:r>
      <w:r w:rsidR="00A67746">
        <w:rPr>
          <w:b/>
          <w:sz w:val="22"/>
          <w:szCs w:val="22"/>
        </w:rPr>
        <w:t>9</w:t>
      </w:r>
      <w:r w:rsidRPr="005A55CA">
        <w:rPr>
          <w:b/>
          <w:sz w:val="22"/>
          <w:szCs w:val="22"/>
        </w:rPr>
        <w:t xml:space="preserve"> </w:t>
      </w:r>
      <w:r w:rsidRPr="005A55CA">
        <w:rPr>
          <w:sz w:val="22"/>
          <w:szCs w:val="22"/>
        </w:rPr>
        <w:t xml:space="preserve">on toodud sätted </w:t>
      </w:r>
      <w:r w:rsidRPr="004D73B1">
        <w:rPr>
          <w:sz w:val="22"/>
          <w:szCs w:val="22"/>
        </w:rPr>
        <w:t xml:space="preserve">põhiteabedokumendis sisalduvate andmete eest vastutamise ja kinnitamise kohta. Lõike esimese lause kohaselt peab põhiteabedokumendis sisalduvate andmete õigsust ja täielikkust kinnitama </w:t>
      </w:r>
      <w:r>
        <w:rPr>
          <w:sz w:val="22"/>
          <w:szCs w:val="22"/>
        </w:rPr>
        <w:t>teenuseosutaja või rahastuse taotleja</w:t>
      </w:r>
      <w:r w:rsidRPr="004D73B1">
        <w:rPr>
          <w:sz w:val="22"/>
          <w:szCs w:val="22"/>
        </w:rPr>
        <w:t xml:space="preserve"> juhatus. Teisisõnu vastutab põhiteabedokumendis toodud andmete õigsuse eest kas </w:t>
      </w:r>
      <w:r>
        <w:rPr>
          <w:sz w:val="22"/>
          <w:szCs w:val="22"/>
        </w:rPr>
        <w:t>teenuseosutaja</w:t>
      </w:r>
      <w:r w:rsidRPr="004D73B1">
        <w:rPr>
          <w:sz w:val="22"/>
          <w:szCs w:val="22"/>
        </w:rPr>
        <w:t xml:space="preserve"> või rahastuse taotleja olenevalt sellest, k</w:t>
      </w:r>
      <w:r>
        <w:rPr>
          <w:sz w:val="22"/>
          <w:szCs w:val="22"/>
        </w:rPr>
        <w:t>as teenuseosutaja on kaasatud investeerimis</w:t>
      </w:r>
      <w:r w:rsidR="00A67746">
        <w:rPr>
          <w:sz w:val="22"/>
          <w:szCs w:val="22"/>
        </w:rPr>
        <w:t>projekti</w:t>
      </w:r>
      <w:r>
        <w:rPr>
          <w:sz w:val="22"/>
          <w:szCs w:val="22"/>
        </w:rPr>
        <w:t xml:space="preserve"> pakkumise protsessi</w:t>
      </w:r>
      <w:r w:rsidRPr="004D73B1">
        <w:rPr>
          <w:sz w:val="22"/>
          <w:szCs w:val="22"/>
        </w:rPr>
        <w:t xml:space="preserve"> (vt ka käesoleva seaduse § </w:t>
      </w:r>
      <w:r w:rsidR="00A67746">
        <w:rPr>
          <w:sz w:val="22"/>
          <w:szCs w:val="22"/>
        </w:rPr>
        <w:t>4</w:t>
      </w:r>
      <w:r w:rsidRPr="004D73B1">
        <w:rPr>
          <w:sz w:val="22"/>
          <w:szCs w:val="22"/>
        </w:rPr>
        <w:t xml:space="preserve"> lõike </w:t>
      </w:r>
      <w:r w:rsidR="00A67746">
        <w:rPr>
          <w:sz w:val="22"/>
          <w:szCs w:val="22"/>
        </w:rPr>
        <w:t>7</w:t>
      </w:r>
      <w:r w:rsidRPr="004D73B1">
        <w:rPr>
          <w:sz w:val="22"/>
          <w:szCs w:val="22"/>
        </w:rPr>
        <w:t xml:space="preserve"> selgitusi). Sama l</w:t>
      </w:r>
      <w:r w:rsidRPr="004D73B1">
        <w:rPr>
          <w:rFonts w:eastAsia="Calibri"/>
          <w:sz w:val="22"/>
          <w:szCs w:val="22"/>
        </w:rPr>
        <w:t>õike</w:t>
      </w:r>
      <w:r w:rsidRPr="004D73B1">
        <w:rPr>
          <w:rFonts w:eastAsia="Calibri"/>
          <w:b/>
          <w:sz w:val="22"/>
          <w:szCs w:val="22"/>
        </w:rPr>
        <w:t xml:space="preserve"> </w:t>
      </w:r>
      <w:r w:rsidR="00F624A9">
        <w:rPr>
          <w:rFonts w:eastAsia="Calibri"/>
          <w:bCs/>
          <w:sz w:val="22"/>
          <w:szCs w:val="22"/>
        </w:rPr>
        <w:t>teise</w:t>
      </w:r>
      <w:r w:rsidRPr="004D73B1">
        <w:rPr>
          <w:rFonts w:eastAsia="Calibri"/>
          <w:sz w:val="22"/>
          <w:szCs w:val="22"/>
        </w:rPr>
        <w:t xml:space="preserve"> lause kohaselt märgitakse põhiteabedokumendi koostamise ja pakkumise eest vastutavad isikud selgelt põhiteabedokumendis, esitades füüsiliste isikute puhul nende nime ja ametikoha või juriidiliste isikute puhul nende nime ja registrijärgse asukoha ning nende isikute kinnituse, et neile teadaolevalt on põhiteabedokumendis sisalduv teave tõene ja et põhiteabedokumendist ei ole välja jäetud asjaolusid, mis võivad mõjutada selle sisu. Lõike viimase osa ehk asjaolude all, mis võivad mõjutada põhiteabedokumendi sisu, mõeldakse kõiki asjaolusid, mis võivad mõjutada </w:t>
      </w:r>
      <w:r w:rsidR="00F624A9">
        <w:rPr>
          <w:rFonts w:eastAsia="Calibri"/>
          <w:sz w:val="22"/>
          <w:szCs w:val="22"/>
        </w:rPr>
        <w:t>kliendi</w:t>
      </w:r>
      <w:r w:rsidR="00F624A9" w:rsidRPr="004D73B1">
        <w:rPr>
          <w:rFonts w:eastAsia="Calibri"/>
          <w:sz w:val="22"/>
          <w:szCs w:val="22"/>
        </w:rPr>
        <w:t xml:space="preserve"> </w:t>
      </w:r>
      <w:r w:rsidRPr="004D73B1">
        <w:rPr>
          <w:rFonts w:eastAsia="Calibri"/>
          <w:sz w:val="22"/>
          <w:szCs w:val="22"/>
        </w:rPr>
        <w:t>poolt investeerimisotsuse tegemist</w:t>
      </w:r>
      <w:r w:rsidRPr="005A55CA">
        <w:rPr>
          <w:rFonts w:eastAsia="Calibri"/>
          <w:sz w:val="22"/>
          <w:szCs w:val="22"/>
        </w:rPr>
        <w:t>.</w:t>
      </w:r>
    </w:p>
    <w:p w14:paraId="3230CD92" w14:textId="77777777" w:rsidR="00F85EE3" w:rsidRPr="005A55CA" w:rsidRDefault="00F85EE3" w:rsidP="00F85EE3">
      <w:pPr>
        <w:spacing w:before="0"/>
        <w:rPr>
          <w:sz w:val="22"/>
          <w:szCs w:val="22"/>
        </w:rPr>
      </w:pPr>
    </w:p>
    <w:p w14:paraId="154B171C" w14:textId="033E8D54" w:rsidR="00F85EE3" w:rsidRPr="005A55CA" w:rsidRDefault="00F85EE3" w:rsidP="00F85EE3">
      <w:pPr>
        <w:spacing w:before="0"/>
        <w:rPr>
          <w:sz w:val="22"/>
          <w:szCs w:val="22"/>
        </w:rPr>
      </w:pPr>
      <w:r w:rsidRPr="005A55CA">
        <w:rPr>
          <w:b/>
          <w:sz w:val="22"/>
          <w:szCs w:val="22"/>
        </w:rPr>
        <w:t xml:space="preserve">Lõike </w:t>
      </w:r>
      <w:r w:rsidR="00F624A9">
        <w:rPr>
          <w:b/>
          <w:sz w:val="22"/>
          <w:szCs w:val="22"/>
        </w:rPr>
        <w:t>10</w:t>
      </w:r>
      <w:r w:rsidRPr="005A55CA">
        <w:rPr>
          <w:b/>
          <w:sz w:val="22"/>
          <w:szCs w:val="22"/>
        </w:rPr>
        <w:t xml:space="preserve"> </w:t>
      </w:r>
      <w:r w:rsidRPr="005A55CA">
        <w:rPr>
          <w:sz w:val="22"/>
          <w:szCs w:val="22"/>
        </w:rPr>
        <w:t xml:space="preserve">kohaselt avalikustatakse põhiteabedokument vähemalt eesti või inglise keeles. Kui põhiteabedokumenti eesti keeles ei avalikustata, võib Finantsinspektsioon </w:t>
      </w:r>
      <w:r w:rsidR="00F624A9">
        <w:rPr>
          <w:sz w:val="22"/>
          <w:szCs w:val="22"/>
        </w:rPr>
        <w:t>klientide</w:t>
      </w:r>
      <w:r w:rsidR="00F624A9" w:rsidRPr="005A55CA">
        <w:rPr>
          <w:sz w:val="22"/>
          <w:szCs w:val="22"/>
        </w:rPr>
        <w:t xml:space="preserve"> </w:t>
      </w:r>
      <w:r w:rsidRPr="005A55CA">
        <w:rPr>
          <w:sz w:val="22"/>
          <w:szCs w:val="22"/>
        </w:rPr>
        <w:t xml:space="preserve">huvide kaitseks nõuda selle eesti keelde tõlkimist ja tõlke avalikustamist. Kui avalikustatud dokumentide tõlked ei ole </w:t>
      </w:r>
      <w:r w:rsidRPr="005A55CA">
        <w:rPr>
          <w:sz w:val="22"/>
          <w:szCs w:val="22"/>
        </w:rPr>
        <w:lastRenderedPageBreak/>
        <w:t xml:space="preserve">tõlgituga vastavuses või on erinevalt tõlgendatavad, lähtutakse eestikeelsest dokumendist või muukeelse dokumendi tõlkest eesti keelde. Nimetatud lähenemine on sarnane väärtpaberituru seaduses sätestatud prospektile seatud keelenõuetega. </w:t>
      </w:r>
    </w:p>
    <w:p w14:paraId="7CC24211" w14:textId="77777777" w:rsidR="00F85EE3" w:rsidRPr="005A55CA" w:rsidRDefault="00F85EE3" w:rsidP="00F85EE3">
      <w:pPr>
        <w:spacing w:before="0"/>
        <w:rPr>
          <w:sz w:val="22"/>
          <w:szCs w:val="22"/>
        </w:rPr>
      </w:pPr>
    </w:p>
    <w:p w14:paraId="436D8F85" w14:textId="21D2B76C" w:rsidR="00F85EE3" w:rsidRPr="005A55CA" w:rsidRDefault="00F85EE3" w:rsidP="00F85EE3">
      <w:pPr>
        <w:spacing w:before="0"/>
        <w:rPr>
          <w:sz w:val="22"/>
          <w:szCs w:val="22"/>
        </w:rPr>
      </w:pPr>
      <w:r w:rsidRPr="005A55CA">
        <w:rPr>
          <w:b/>
          <w:sz w:val="22"/>
          <w:szCs w:val="22"/>
        </w:rPr>
        <w:t xml:space="preserve">Lõikes </w:t>
      </w:r>
      <w:r w:rsidR="00F624A9">
        <w:rPr>
          <w:b/>
          <w:sz w:val="22"/>
          <w:szCs w:val="22"/>
        </w:rPr>
        <w:t>11</w:t>
      </w:r>
      <w:r w:rsidRPr="005A55CA">
        <w:rPr>
          <w:b/>
          <w:sz w:val="22"/>
          <w:szCs w:val="22"/>
        </w:rPr>
        <w:t xml:space="preserve"> </w:t>
      </w:r>
      <w:r w:rsidRPr="005A55CA">
        <w:rPr>
          <w:sz w:val="22"/>
          <w:szCs w:val="22"/>
        </w:rPr>
        <w:t>on sätestatud volitusnorm kehtestada määrusega täpsemad nõuded põhiteabedokumendile ja selles sisalduvate andmete loetelule. Nimetatud määruse kavand on toodud käesoleva eelnõu</w:t>
      </w:r>
      <w:r>
        <w:rPr>
          <w:sz w:val="22"/>
          <w:szCs w:val="22"/>
        </w:rPr>
        <w:t xml:space="preserve"> seletuskirja</w:t>
      </w:r>
      <w:r w:rsidRPr="005A55CA">
        <w:rPr>
          <w:sz w:val="22"/>
          <w:szCs w:val="22"/>
        </w:rPr>
        <w:t xml:space="preserve"> lisas 1.</w:t>
      </w:r>
    </w:p>
    <w:p w14:paraId="5D27B935" w14:textId="77777777" w:rsidR="00F85EE3" w:rsidRPr="005A55CA" w:rsidRDefault="00F85EE3" w:rsidP="00F85EE3">
      <w:pPr>
        <w:spacing w:before="0"/>
        <w:rPr>
          <w:sz w:val="22"/>
          <w:szCs w:val="22"/>
        </w:rPr>
      </w:pPr>
    </w:p>
    <w:p w14:paraId="57F90290" w14:textId="44D3A0B6" w:rsidR="00F85EE3" w:rsidRPr="005A55CA" w:rsidRDefault="00F85EE3" w:rsidP="00F85EE3">
      <w:pPr>
        <w:spacing w:before="0"/>
        <w:rPr>
          <w:sz w:val="22"/>
          <w:szCs w:val="22"/>
        </w:rPr>
      </w:pPr>
      <w:r w:rsidRPr="005A55CA">
        <w:rPr>
          <w:b/>
          <w:sz w:val="22"/>
          <w:szCs w:val="22"/>
        </w:rPr>
        <w:t xml:space="preserve">Paragrahv </w:t>
      </w:r>
      <w:r w:rsidR="00F624A9">
        <w:rPr>
          <w:b/>
          <w:sz w:val="22"/>
          <w:szCs w:val="22"/>
        </w:rPr>
        <w:t>67</w:t>
      </w:r>
      <w:r w:rsidRPr="005A55CA">
        <w:rPr>
          <w:b/>
          <w:sz w:val="22"/>
          <w:szCs w:val="22"/>
        </w:rPr>
        <w:t xml:space="preserve"> </w:t>
      </w:r>
      <w:r w:rsidRPr="005A55CA">
        <w:rPr>
          <w:sz w:val="22"/>
          <w:szCs w:val="22"/>
        </w:rPr>
        <w:t>käsitleb põhiteabedokumendi muutmist</w:t>
      </w:r>
      <w:r w:rsidR="00F624A9" w:rsidRPr="00F624A9">
        <w:rPr>
          <w:sz w:val="22"/>
          <w:szCs w:val="22"/>
        </w:rPr>
        <w:t xml:space="preserve"> </w:t>
      </w:r>
      <w:r w:rsidR="00F624A9" w:rsidRPr="005A55CA">
        <w:rPr>
          <w:sz w:val="22"/>
          <w:szCs w:val="22"/>
        </w:rPr>
        <w:t>eksitava, vigas</w:t>
      </w:r>
      <w:r w:rsidR="00F624A9">
        <w:rPr>
          <w:sz w:val="22"/>
          <w:szCs w:val="22"/>
        </w:rPr>
        <w:t>e</w:t>
      </w:r>
      <w:r w:rsidR="00F624A9" w:rsidRPr="005A55CA">
        <w:rPr>
          <w:sz w:val="22"/>
          <w:szCs w:val="22"/>
        </w:rPr>
        <w:t xml:space="preserve"> või ebatäpse tea</w:t>
      </w:r>
      <w:r w:rsidR="00F624A9">
        <w:rPr>
          <w:sz w:val="22"/>
          <w:szCs w:val="22"/>
        </w:rPr>
        <w:t>be ilmnemisel</w:t>
      </w:r>
      <w:r w:rsidR="00F624A9" w:rsidRPr="005A55CA">
        <w:rPr>
          <w:sz w:val="22"/>
          <w:szCs w:val="22"/>
        </w:rPr>
        <w:t xml:space="preserve"> põhiteabedokumendis</w:t>
      </w:r>
      <w:r w:rsidRPr="005A55CA">
        <w:rPr>
          <w:sz w:val="22"/>
          <w:szCs w:val="22"/>
        </w:rPr>
        <w:t>.</w:t>
      </w:r>
    </w:p>
    <w:p w14:paraId="06E44620" w14:textId="77777777" w:rsidR="00F85EE3" w:rsidRPr="005A55CA" w:rsidRDefault="00F85EE3" w:rsidP="00F85EE3">
      <w:pPr>
        <w:spacing w:before="0"/>
        <w:rPr>
          <w:sz w:val="22"/>
          <w:szCs w:val="22"/>
        </w:rPr>
      </w:pPr>
    </w:p>
    <w:p w14:paraId="7E62FE1B" w14:textId="01B83CEF" w:rsidR="00F85EE3" w:rsidRPr="005A55CA" w:rsidRDefault="00F85EE3" w:rsidP="00F85EE3">
      <w:pPr>
        <w:spacing w:before="0"/>
        <w:rPr>
          <w:sz w:val="22"/>
          <w:szCs w:val="22"/>
        </w:rPr>
      </w:pPr>
      <w:r w:rsidRPr="008278AA">
        <w:rPr>
          <w:b/>
          <w:sz w:val="22"/>
          <w:szCs w:val="22"/>
        </w:rPr>
        <w:t xml:space="preserve">Lõike 1 </w:t>
      </w:r>
      <w:r w:rsidRPr="008278AA">
        <w:rPr>
          <w:sz w:val="22"/>
          <w:szCs w:val="22"/>
        </w:rPr>
        <w:t>järgi</w:t>
      </w:r>
      <w:r w:rsidRPr="005A55CA">
        <w:rPr>
          <w:sz w:val="22"/>
          <w:szCs w:val="22"/>
        </w:rPr>
        <w:t xml:space="preserve"> </w:t>
      </w:r>
      <w:r w:rsidR="00F624A9">
        <w:rPr>
          <w:sz w:val="22"/>
          <w:szCs w:val="22"/>
        </w:rPr>
        <w:t xml:space="preserve">tuleb viivitamata teavitada kliente, kes on teinud </w:t>
      </w:r>
      <w:proofErr w:type="spellStart"/>
      <w:r w:rsidR="00F624A9">
        <w:rPr>
          <w:sz w:val="22"/>
          <w:szCs w:val="22"/>
        </w:rPr>
        <w:t>oferdi</w:t>
      </w:r>
      <w:proofErr w:type="spellEnd"/>
      <w:r w:rsidR="00F624A9">
        <w:rPr>
          <w:sz w:val="22"/>
          <w:szCs w:val="22"/>
        </w:rPr>
        <w:t xml:space="preserve"> või avaldanud huvi pakkumise vastu, igast muutusest põhiteabedokumendis, mis tekitab või võib tekitada kliendis äratuntavat huvi selle muudatusega tutvuda ning mis võib mõjutada kliendi investeerimisotsuse tegemist. </w:t>
      </w:r>
      <w:r w:rsidR="00F97675" w:rsidRPr="005D2F67">
        <w:rPr>
          <w:sz w:val="22"/>
          <w:szCs w:val="22"/>
        </w:rPr>
        <w:t xml:space="preserve">Nimetatud teavitamiskohustus laieneb igale muutusele, mille suhtes </w:t>
      </w:r>
      <w:r w:rsidR="00F97675">
        <w:rPr>
          <w:sz w:val="22"/>
          <w:szCs w:val="22"/>
        </w:rPr>
        <w:t>kliendil</w:t>
      </w:r>
      <w:r w:rsidR="00F97675" w:rsidRPr="005D2F67">
        <w:rPr>
          <w:sz w:val="22"/>
          <w:szCs w:val="22"/>
        </w:rPr>
        <w:t xml:space="preserve"> võib olla äratuntav huvi või mis võib mõjutada investeerimisotsuse tegemist.</w:t>
      </w:r>
      <w:r w:rsidR="00F97675">
        <w:rPr>
          <w:sz w:val="22"/>
          <w:szCs w:val="22"/>
        </w:rPr>
        <w:t xml:space="preserve"> </w:t>
      </w:r>
    </w:p>
    <w:p w14:paraId="36BB52C3" w14:textId="77777777" w:rsidR="00F85EE3" w:rsidRPr="005A55CA" w:rsidRDefault="00F85EE3" w:rsidP="00F85EE3">
      <w:pPr>
        <w:spacing w:before="0"/>
        <w:rPr>
          <w:sz w:val="22"/>
          <w:szCs w:val="22"/>
        </w:rPr>
      </w:pPr>
    </w:p>
    <w:p w14:paraId="4B62CD8B" w14:textId="1406601D" w:rsidR="00F85EE3" w:rsidRPr="004D00ED" w:rsidRDefault="00F85EE3" w:rsidP="00F85EE3">
      <w:pPr>
        <w:spacing w:before="0"/>
        <w:rPr>
          <w:rFonts w:eastAsia="Calibri"/>
          <w:sz w:val="22"/>
          <w:szCs w:val="22"/>
        </w:rPr>
      </w:pPr>
      <w:r w:rsidRPr="005A55CA">
        <w:rPr>
          <w:rFonts w:eastAsia="Calibri"/>
          <w:b/>
          <w:sz w:val="22"/>
          <w:szCs w:val="22"/>
        </w:rPr>
        <w:t xml:space="preserve">Lõike </w:t>
      </w:r>
      <w:r w:rsidR="0071684D">
        <w:rPr>
          <w:rFonts w:eastAsia="Calibri"/>
          <w:b/>
          <w:sz w:val="22"/>
          <w:szCs w:val="22"/>
        </w:rPr>
        <w:t>2</w:t>
      </w:r>
      <w:r w:rsidRPr="005A55CA">
        <w:rPr>
          <w:rFonts w:eastAsia="Calibri"/>
          <w:b/>
          <w:sz w:val="22"/>
          <w:szCs w:val="22"/>
        </w:rPr>
        <w:t xml:space="preserve"> </w:t>
      </w:r>
      <w:r w:rsidRPr="005A55CA">
        <w:rPr>
          <w:rFonts w:eastAsia="Calibri"/>
          <w:sz w:val="22"/>
          <w:szCs w:val="22"/>
        </w:rPr>
        <w:t xml:space="preserve">kohaselt tuleb teenuseosutajal põhiteabedokumendis väljajätmise, vea või ebatäpsuse, millel võib olla oluline mõju eeldatavale investeeringu tasuvusele, tuvastamisel viivitamata teavitada rahastuse taotlejat, kes peab põhiteabedokumenti täiendama või muutma. Seejärel avaldab teenuseosutaja muudetud dokumendi uuendatud kujul </w:t>
      </w:r>
      <w:r w:rsidRPr="004D00ED">
        <w:rPr>
          <w:rFonts w:eastAsia="Calibri"/>
          <w:sz w:val="22"/>
          <w:szCs w:val="22"/>
        </w:rPr>
        <w:t xml:space="preserve">viitega kuupäevale, mille seisuga on põhiteabedokumendis muudatused tehtud. </w:t>
      </w:r>
    </w:p>
    <w:p w14:paraId="28742B02" w14:textId="77777777" w:rsidR="00F85EE3" w:rsidRPr="004D00ED" w:rsidRDefault="00F85EE3" w:rsidP="00F85EE3">
      <w:pPr>
        <w:spacing w:before="0"/>
        <w:rPr>
          <w:rFonts w:eastAsia="Calibri"/>
          <w:sz w:val="22"/>
          <w:szCs w:val="22"/>
        </w:rPr>
      </w:pPr>
    </w:p>
    <w:p w14:paraId="0BA2B995" w14:textId="4C502BCC" w:rsidR="00F85EE3" w:rsidRPr="004D00ED" w:rsidRDefault="00F85EE3" w:rsidP="00F85EE3">
      <w:pPr>
        <w:spacing w:before="0"/>
        <w:rPr>
          <w:rFonts w:eastAsia="Calibri"/>
          <w:sz w:val="22"/>
          <w:szCs w:val="22"/>
        </w:rPr>
      </w:pPr>
      <w:r w:rsidRPr="004D00ED">
        <w:rPr>
          <w:rFonts w:eastAsia="Calibri"/>
          <w:b/>
          <w:sz w:val="22"/>
          <w:szCs w:val="22"/>
        </w:rPr>
        <w:t>Lõi</w:t>
      </w:r>
      <w:r w:rsidR="0071684D">
        <w:rPr>
          <w:rFonts w:eastAsia="Calibri"/>
          <w:b/>
          <w:sz w:val="22"/>
          <w:szCs w:val="22"/>
        </w:rPr>
        <w:t>g</w:t>
      </w:r>
      <w:r w:rsidRPr="004D00ED">
        <w:rPr>
          <w:rFonts w:eastAsia="Calibri"/>
          <w:b/>
          <w:sz w:val="22"/>
          <w:szCs w:val="22"/>
        </w:rPr>
        <w:t xml:space="preserve">e </w:t>
      </w:r>
      <w:r w:rsidR="0071684D">
        <w:rPr>
          <w:rFonts w:eastAsia="Calibri"/>
          <w:b/>
          <w:sz w:val="22"/>
          <w:szCs w:val="22"/>
        </w:rPr>
        <w:t>3</w:t>
      </w:r>
      <w:r w:rsidRPr="004D00ED">
        <w:rPr>
          <w:rFonts w:eastAsia="Calibri"/>
          <w:b/>
          <w:sz w:val="22"/>
          <w:szCs w:val="22"/>
        </w:rPr>
        <w:t xml:space="preserve"> </w:t>
      </w:r>
      <w:r w:rsidRPr="004D00ED">
        <w:rPr>
          <w:rFonts w:eastAsia="Calibri"/>
          <w:sz w:val="22"/>
          <w:szCs w:val="22"/>
        </w:rPr>
        <w:t xml:space="preserve">näeb ette, et teenuseosutaja kohustub teavitama </w:t>
      </w:r>
      <w:r w:rsidR="0071684D">
        <w:rPr>
          <w:rFonts w:eastAsia="Calibri"/>
          <w:sz w:val="22"/>
          <w:szCs w:val="22"/>
        </w:rPr>
        <w:t>kliente</w:t>
      </w:r>
      <w:r w:rsidRPr="004D00ED">
        <w:rPr>
          <w:rFonts w:eastAsia="Calibri"/>
          <w:sz w:val="22"/>
          <w:szCs w:val="22"/>
        </w:rPr>
        <w:t xml:space="preserve">, kes on teinud </w:t>
      </w:r>
      <w:proofErr w:type="spellStart"/>
      <w:r w:rsidRPr="004D00ED">
        <w:rPr>
          <w:rFonts w:eastAsia="Calibri"/>
          <w:sz w:val="22"/>
          <w:szCs w:val="22"/>
        </w:rPr>
        <w:t>oferdi</w:t>
      </w:r>
      <w:proofErr w:type="spellEnd"/>
      <w:r w:rsidRPr="004D00ED">
        <w:rPr>
          <w:rFonts w:eastAsia="Calibri"/>
          <w:sz w:val="22"/>
          <w:szCs w:val="22"/>
        </w:rPr>
        <w:t xml:space="preserve"> või avaldanud huvi investeerimis</w:t>
      </w:r>
      <w:r w:rsidR="009620ED">
        <w:rPr>
          <w:rFonts w:eastAsia="Calibri"/>
          <w:sz w:val="22"/>
          <w:szCs w:val="22"/>
        </w:rPr>
        <w:t>projekti</w:t>
      </w:r>
      <w:r w:rsidRPr="004D00ED">
        <w:rPr>
          <w:rFonts w:eastAsia="Calibri"/>
          <w:sz w:val="22"/>
          <w:szCs w:val="22"/>
        </w:rPr>
        <w:t xml:space="preserve"> pakkumise vastu, viivitamata tuvastatud rikkumistest, teenuseosutaja võetud ja võetavatest meetmetest ning võimalusest </w:t>
      </w:r>
      <w:r>
        <w:rPr>
          <w:rFonts w:eastAsia="Calibri"/>
          <w:sz w:val="22"/>
          <w:szCs w:val="22"/>
        </w:rPr>
        <w:t>taganeda juba sõlmitud lepingust</w:t>
      </w:r>
      <w:r w:rsidRPr="004D00ED">
        <w:rPr>
          <w:rFonts w:eastAsia="Calibri"/>
          <w:sz w:val="22"/>
          <w:szCs w:val="22"/>
        </w:rPr>
        <w:t xml:space="preserve">. </w:t>
      </w:r>
      <w:proofErr w:type="spellStart"/>
      <w:r w:rsidRPr="004D00ED">
        <w:rPr>
          <w:rFonts w:eastAsia="Calibri"/>
          <w:sz w:val="22"/>
          <w:szCs w:val="22"/>
        </w:rPr>
        <w:t>Oferdi</w:t>
      </w:r>
      <w:proofErr w:type="spellEnd"/>
      <w:r w:rsidRPr="004D00ED">
        <w:rPr>
          <w:rFonts w:eastAsia="Calibri"/>
          <w:sz w:val="22"/>
          <w:szCs w:val="22"/>
        </w:rPr>
        <w:t xml:space="preserve"> või huvi avaldamise tühistamise kohta vt § </w:t>
      </w:r>
      <w:r w:rsidR="0071684D">
        <w:rPr>
          <w:rFonts w:eastAsia="Calibri"/>
          <w:sz w:val="22"/>
          <w:szCs w:val="22"/>
        </w:rPr>
        <w:t>62</w:t>
      </w:r>
      <w:r w:rsidRPr="004D00ED">
        <w:rPr>
          <w:rFonts w:eastAsia="Calibri"/>
          <w:sz w:val="22"/>
          <w:szCs w:val="22"/>
        </w:rPr>
        <w:t xml:space="preserve"> selgitusi.</w:t>
      </w:r>
    </w:p>
    <w:p w14:paraId="7CB63209" w14:textId="77777777" w:rsidR="00F85EE3" w:rsidRPr="004D00ED" w:rsidRDefault="00F85EE3" w:rsidP="00F85EE3">
      <w:pPr>
        <w:spacing w:before="0"/>
        <w:rPr>
          <w:rFonts w:eastAsia="Calibri"/>
          <w:sz w:val="22"/>
          <w:szCs w:val="22"/>
        </w:rPr>
      </w:pPr>
    </w:p>
    <w:p w14:paraId="74AA8A36" w14:textId="45FD139C" w:rsidR="00F85EE3" w:rsidRPr="004D00ED" w:rsidRDefault="00F85EE3" w:rsidP="00F85EE3">
      <w:pPr>
        <w:spacing w:before="0"/>
        <w:rPr>
          <w:rFonts w:eastAsia="Calibri"/>
          <w:sz w:val="22"/>
          <w:szCs w:val="22"/>
        </w:rPr>
      </w:pPr>
      <w:r w:rsidRPr="004D00ED">
        <w:rPr>
          <w:rFonts w:eastAsia="Calibri"/>
          <w:b/>
          <w:sz w:val="22"/>
          <w:szCs w:val="22"/>
        </w:rPr>
        <w:t xml:space="preserve">Lõike </w:t>
      </w:r>
      <w:r w:rsidR="00300C13">
        <w:rPr>
          <w:rFonts w:eastAsia="Calibri"/>
          <w:b/>
          <w:sz w:val="22"/>
          <w:szCs w:val="22"/>
        </w:rPr>
        <w:t>4</w:t>
      </w:r>
      <w:r w:rsidRPr="004D00ED">
        <w:rPr>
          <w:rFonts w:eastAsia="Calibri"/>
          <w:b/>
          <w:sz w:val="22"/>
          <w:szCs w:val="22"/>
        </w:rPr>
        <w:t xml:space="preserve"> </w:t>
      </w:r>
      <w:r w:rsidRPr="004D00ED">
        <w:rPr>
          <w:rFonts w:eastAsia="Calibri"/>
          <w:sz w:val="22"/>
          <w:szCs w:val="22"/>
        </w:rPr>
        <w:t>järgi tuleb põhiteabedokumendi muutmise</w:t>
      </w:r>
      <w:r w:rsidR="00300C13">
        <w:rPr>
          <w:rFonts w:eastAsia="Calibri"/>
          <w:sz w:val="22"/>
          <w:szCs w:val="22"/>
        </w:rPr>
        <w:t xml:space="preserve"> korra</w:t>
      </w:r>
      <w:r w:rsidRPr="004D00ED">
        <w:rPr>
          <w:rFonts w:eastAsia="Calibri"/>
          <w:sz w:val="22"/>
          <w:szCs w:val="22"/>
        </w:rPr>
        <w:t>l selgel</w:t>
      </w:r>
      <w:r w:rsidR="00300C13">
        <w:rPr>
          <w:rFonts w:eastAsia="Calibri"/>
          <w:sz w:val="22"/>
          <w:szCs w:val="22"/>
        </w:rPr>
        <w:t>t</w:t>
      </w:r>
      <w:r w:rsidRPr="004D00ED">
        <w:rPr>
          <w:rFonts w:eastAsia="Calibri"/>
          <w:sz w:val="22"/>
          <w:szCs w:val="22"/>
        </w:rPr>
        <w:t xml:space="preserve"> avaldada põhiteabedokumendi muutmise kuupäev ja viide teabele või andmetele, mida on muudetud võrreldes viimase (avaliku) põhiteabedokumendi versiooniga. Nimetatud kohustus peaks hõlbustama </w:t>
      </w:r>
      <w:r w:rsidR="009620ED">
        <w:rPr>
          <w:rFonts w:eastAsia="Calibri"/>
          <w:sz w:val="22"/>
          <w:szCs w:val="22"/>
        </w:rPr>
        <w:t>klientidel</w:t>
      </w:r>
      <w:r w:rsidRPr="004D00ED">
        <w:rPr>
          <w:rFonts w:eastAsia="Calibri"/>
          <w:sz w:val="22"/>
          <w:szCs w:val="22"/>
        </w:rPr>
        <w:t xml:space="preserve"> muudetud teabega tutvumist ning hoidma ära eraldi põhiteabedokumentide eri versioonide võrdlemise.</w:t>
      </w:r>
    </w:p>
    <w:p w14:paraId="4D853F10" w14:textId="77777777" w:rsidR="00F85EE3" w:rsidRPr="004D00ED" w:rsidRDefault="00F85EE3" w:rsidP="00F85EE3">
      <w:pPr>
        <w:spacing w:before="0"/>
        <w:rPr>
          <w:rFonts w:eastAsia="Calibri"/>
          <w:b/>
          <w:sz w:val="22"/>
          <w:szCs w:val="22"/>
        </w:rPr>
      </w:pPr>
    </w:p>
    <w:p w14:paraId="0BD135FD" w14:textId="50E541A6" w:rsidR="00F85EE3" w:rsidRDefault="00F85EE3" w:rsidP="009C01B9">
      <w:pPr>
        <w:spacing w:before="0"/>
        <w:rPr>
          <w:rFonts w:eastAsia="Calibri"/>
          <w:sz w:val="22"/>
          <w:szCs w:val="22"/>
        </w:rPr>
      </w:pPr>
      <w:r w:rsidRPr="004D00ED">
        <w:rPr>
          <w:rFonts w:eastAsia="Calibri"/>
          <w:b/>
          <w:sz w:val="22"/>
          <w:szCs w:val="22"/>
        </w:rPr>
        <w:t xml:space="preserve">Lõike </w:t>
      </w:r>
      <w:r w:rsidR="00300C13">
        <w:rPr>
          <w:rFonts w:eastAsia="Calibri"/>
          <w:b/>
          <w:sz w:val="22"/>
          <w:szCs w:val="22"/>
        </w:rPr>
        <w:t>5</w:t>
      </w:r>
      <w:r w:rsidRPr="004D00ED">
        <w:rPr>
          <w:rFonts w:eastAsia="Calibri"/>
          <w:b/>
          <w:sz w:val="22"/>
          <w:szCs w:val="22"/>
        </w:rPr>
        <w:t xml:space="preserve"> </w:t>
      </w:r>
      <w:r w:rsidRPr="004D00ED">
        <w:rPr>
          <w:rFonts w:eastAsia="Calibri"/>
          <w:sz w:val="22"/>
          <w:szCs w:val="22"/>
        </w:rPr>
        <w:t>kohaselt on teenuseosutaja kohustatud tühistama investeerimis</w:t>
      </w:r>
      <w:r w:rsidR="00300C13">
        <w:rPr>
          <w:rFonts w:eastAsia="Calibri"/>
          <w:sz w:val="22"/>
          <w:szCs w:val="22"/>
        </w:rPr>
        <w:t>projekti</w:t>
      </w:r>
      <w:r w:rsidRPr="004D00ED">
        <w:rPr>
          <w:rFonts w:eastAsia="Calibri"/>
          <w:sz w:val="22"/>
          <w:szCs w:val="22"/>
        </w:rPr>
        <w:t xml:space="preserve"> pakkumise, kui põhiteabedokumenti ei ole muudetud 30 kalendripäeva jooksul rikkumise tuvastamisest arvates. Sättega tahetakse välistada olukord, kus teenuseosutaja on teadlik rahastuse taotleja poolt vale- või puudulike andmete esitamisest, kuid rahastuse taotleja ei ole esitanud muudetud põhiteabedokumenti</w:t>
      </w:r>
      <w:r w:rsidRPr="005A55CA">
        <w:rPr>
          <w:rFonts w:eastAsia="Calibri"/>
          <w:sz w:val="22"/>
          <w:szCs w:val="22"/>
        </w:rPr>
        <w:t xml:space="preserve">, </w:t>
      </w:r>
      <w:proofErr w:type="spellStart"/>
      <w:r w:rsidRPr="005A55CA">
        <w:rPr>
          <w:rFonts w:eastAsia="Calibri"/>
          <w:sz w:val="22"/>
          <w:szCs w:val="22"/>
        </w:rPr>
        <w:t>misjuhul</w:t>
      </w:r>
      <w:proofErr w:type="spellEnd"/>
      <w:r w:rsidRPr="005A55CA">
        <w:rPr>
          <w:rFonts w:eastAsia="Calibri"/>
          <w:sz w:val="22"/>
          <w:szCs w:val="22"/>
        </w:rPr>
        <w:t xml:space="preserve"> teenuseosutaja laseks teadvalt jätkuda pakkumisel, mille kohta on esitatud nõuetele mittevastav põhiteabedokument.</w:t>
      </w:r>
    </w:p>
    <w:p w14:paraId="0C88D505" w14:textId="77777777" w:rsidR="00300C13" w:rsidRPr="005A55CA" w:rsidRDefault="00300C13" w:rsidP="009C01B9">
      <w:pPr>
        <w:spacing w:before="0"/>
        <w:rPr>
          <w:rFonts w:eastAsia="Calibri"/>
          <w:sz w:val="22"/>
          <w:szCs w:val="22"/>
        </w:rPr>
      </w:pPr>
    </w:p>
    <w:p w14:paraId="18F5D2C6" w14:textId="74AF3662" w:rsidR="00300C13" w:rsidRPr="005A55CA" w:rsidRDefault="00300C13" w:rsidP="009C01B9">
      <w:pPr>
        <w:spacing w:before="0"/>
        <w:rPr>
          <w:sz w:val="22"/>
          <w:szCs w:val="22"/>
        </w:rPr>
      </w:pPr>
      <w:r w:rsidRPr="005A55CA">
        <w:rPr>
          <w:b/>
          <w:sz w:val="22"/>
          <w:szCs w:val="22"/>
        </w:rPr>
        <w:t xml:space="preserve">Paragrahv </w:t>
      </w:r>
      <w:r>
        <w:rPr>
          <w:b/>
          <w:sz w:val="22"/>
          <w:szCs w:val="22"/>
        </w:rPr>
        <w:t>68</w:t>
      </w:r>
      <w:r w:rsidRPr="005A55CA">
        <w:rPr>
          <w:b/>
          <w:sz w:val="22"/>
          <w:szCs w:val="22"/>
        </w:rPr>
        <w:t xml:space="preserve"> </w:t>
      </w:r>
      <w:r w:rsidRPr="005A55CA">
        <w:rPr>
          <w:sz w:val="22"/>
          <w:szCs w:val="22"/>
        </w:rPr>
        <w:t xml:space="preserve">käsitleb põhiteabedokumendi registreerimist </w:t>
      </w:r>
      <w:r>
        <w:rPr>
          <w:sz w:val="22"/>
          <w:szCs w:val="22"/>
        </w:rPr>
        <w:t>Finantsinspektsioonis.</w:t>
      </w:r>
      <w:r w:rsidRPr="005A55CA">
        <w:rPr>
          <w:sz w:val="22"/>
          <w:szCs w:val="22"/>
        </w:rPr>
        <w:t xml:space="preserve"> Eelnõu koostajad pidasid vajalikuks sätestada künnis, millest alates kehtivad rahastuse taotlejale (või asjakohasel juhul </w:t>
      </w:r>
      <w:r>
        <w:rPr>
          <w:sz w:val="22"/>
          <w:szCs w:val="22"/>
        </w:rPr>
        <w:t>teenuseosutaja</w:t>
      </w:r>
      <w:r w:rsidRPr="005A55CA">
        <w:rPr>
          <w:sz w:val="22"/>
          <w:szCs w:val="22"/>
        </w:rPr>
        <w:t xml:space="preserve">le) kõrgendatud teabe avalikustamise ja seejärgse Finantsinspektsiooni teabedokumendi kontrolli nõuded. </w:t>
      </w:r>
    </w:p>
    <w:p w14:paraId="29A3BDB6" w14:textId="77777777" w:rsidR="00300C13" w:rsidRPr="005A55CA" w:rsidRDefault="00300C13" w:rsidP="009C01B9">
      <w:pPr>
        <w:spacing w:before="0"/>
        <w:rPr>
          <w:sz w:val="22"/>
          <w:szCs w:val="22"/>
        </w:rPr>
      </w:pPr>
    </w:p>
    <w:p w14:paraId="647288C2" w14:textId="045EA140" w:rsidR="00300C13" w:rsidRDefault="00300C13" w:rsidP="009C01B9">
      <w:pPr>
        <w:spacing w:before="0"/>
        <w:rPr>
          <w:sz w:val="22"/>
          <w:szCs w:val="22"/>
        </w:rPr>
      </w:pPr>
      <w:r>
        <w:rPr>
          <w:sz w:val="22"/>
          <w:szCs w:val="22"/>
        </w:rPr>
        <w:t>Põhiteabedokumendi</w:t>
      </w:r>
      <w:r w:rsidRPr="005A55CA">
        <w:rPr>
          <w:sz w:val="22"/>
          <w:szCs w:val="22"/>
        </w:rPr>
        <w:t xml:space="preserve"> registreerimiskohustust </w:t>
      </w:r>
      <w:r>
        <w:rPr>
          <w:sz w:val="22"/>
          <w:szCs w:val="22"/>
        </w:rPr>
        <w:t xml:space="preserve">Finantsinspektsioonis ei kohaldata aga </w:t>
      </w:r>
      <w:r w:rsidRPr="005A55CA">
        <w:rPr>
          <w:sz w:val="22"/>
          <w:szCs w:val="22"/>
        </w:rPr>
        <w:t xml:space="preserve">sellistele instrumentidele, mis kuuluvad </w:t>
      </w:r>
      <w:r>
        <w:rPr>
          <w:sz w:val="22"/>
          <w:szCs w:val="22"/>
        </w:rPr>
        <w:t xml:space="preserve">EL </w:t>
      </w:r>
      <w:proofErr w:type="spellStart"/>
      <w:r w:rsidRPr="005A55CA">
        <w:rPr>
          <w:sz w:val="22"/>
          <w:szCs w:val="22"/>
        </w:rPr>
        <w:t>ühisrahastusmääruse</w:t>
      </w:r>
      <w:proofErr w:type="spellEnd"/>
      <w:r w:rsidRPr="005A55CA">
        <w:rPr>
          <w:sz w:val="22"/>
          <w:szCs w:val="22"/>
        </w:rPr>
        <w:t xml:space="preserve"> kohaldamisalasse</w:t>
      </w:r>
      <w:r>
        <w:rPr>
          <w:sz w:val="22"/>
          <w:szCs w:val="22"/>
        </w:rPr>
        <w:t xml:space="preserve"> (vt ka </w:t>
      </w:r>
      <w:proofErr w:type="spellStart"/>
      <w:r>
        <w:rPr>
          <w:sz w:val="22"/>
          <w:szCs w:val="22"/>
        </w:rPr>
        <w:t>ühisrahastusmääruse</w:t>
      </w:r>
      <w:proofErr w:type="spellEnd"/>
      <w:r>
        <w:rPr>
          <w:sz w:val="22"/>
          <w:szCs w:val="22"/>
        </w:rPr>
        <w:t xml:space="preserve"> artikkel 1 lõike 2 punkt c).</w:t>
      </w:r>
    </w:p>
    <w:p w14:paraId="3D5CC840" w14:textId="77777777" w:rsidR="009C01B9" w:rsidRDefault="009C01B9" w:rsidP="009C01B9">
      <w:pPr>
        <w:spacing w:before="0"/>
        <w:rPr>
          <w:sz w:val="22"/>
          <w:szCs w:val="22"/>
        </w:rPr>
      </w:pPr>
    </w:p>
    <w:p w14:paraId="18F57536" w14:textId="262355DE" w:rsidR="00300C13" w:rsidRDefault="00300C13" w:rsidP="009C01B9">
      <w:pPr>
        <w:spacing w:before="0"/>
        <w:rPr>
          <w:sz w:val="22"/>
          <w:szCs w:val="22"/>
        </w:rPr>
      </w:pPr>
      <w:r>
        <w:rPr>
          <w:b/>
          <w:sz w:val="22"/>
          <w:szCs w:val="22"/>
        </w:rPr>
        <w:t xml:space="preserve">Lõikes 1 </w:t>
      </w:r>
      <w:r>
        <w:rPr>
          <w:sz w:val="22"/>
          <w:szCs w:val="22"/>
        </w:rPr>
        <w:t>sätestatud juhul on tegemist suuremahulise pakkumisega ehk pakkumisega, mille koguväärtus ületab 5 miljonit eurot. Nimetatud suuremahuliste pakkumiste puhul on t</w:t>
      </w:r>
      <w:r w:rsidRPr="005A55CA">
        <w:rPr>
          <w:sz w:val="22"/>
          <w:szCs w:val="22"/>
        </w:rPr>
        <w:t>egemist väärtpaberituru seadusest tuleneva prospekti registreerimise analoogiga.</w:t>
      </w:r>
      <w:r>
        <w:rPr>
          <w:sz w:val="22"/>
          <w:szCs w:val="22"/>
        </w:rPr>
        <w:t xml:space="preserve"> Sellisel juhul kaasneb põhiteabedokumendi registreerimise kohustus, mille täpsemad nõuded tulenevad antud paragrahvi järgmistest lõigetest.</w:t>
      </w:r>
    </w:p>
    <w:p w14:paraId="1B9E6053" w14:textId="77777777" w:rsidR="00300C13" w:rsidRPr="004D00ED" w:rsidRDefault="00300C13" w:rsidP="00300C13">
      <w:pPr>
        <w:spacing w:before="0"/>
        <w:rPr>
          <w:sz w:val="22"/>
          <w:szCs w:val="22"/>
        </w:rPr>
      </w:pPr>
    </w:p>
    <w:p w14:paraId="25E22379" w14:textId="78A8E0FB" w:rsidR="00300C13" w:rsidRPr="005A55CA" w:rsidRDefault="00300C13" w:rsidP="00300C13">
      <w:pPr>
        <w:spacing w:before="0"/>
        <w:rPr>
          <w:sz w:val="22"/>
          <w:szCs w:val="22"/>
        </w:rPr>
      </w:pPr>
      <w:r w:rsidRPr="005A55CA">
        <w:rPr>
          <w:b/>
          <w:sz w:val="22"/>
          <w:szCs w:val="22"/>
        </w:rPr>
        <w:t xml:space="preserve">Lõigetes </w:t>
      </w:r>
      <w:r w:rsidR="00412900">
        <w:rPr>
          <w:b/>
          <w:sz w:val="22"/>
          <w:szCs w:val="22"/>
        </w:rPr>
        <w:t>2-8</w:t>
      </w:r>
      <w:r w:rsidRPr="005A55CA">
        <w:rPr>
          <w:sz w:val="22"/>
          <w:szCs w:val="22"/>
        </w:rPr>
        <w:t xml:space="preserve"> on sätestatud protsess põhiteabedokumendi registreerimiseks Finantsinspektsiooni juures. Sisuliselt on tegemist väärtpaberituru seaduses sätestatud prospekti registreerimisega võrreldavate sätetega</w:t>
      </w:r>
      <w:r>
        <w:rPr>
          <w:sz w:val="22"/>
          <w:szCs w:val="22"/>
        </w:rPr>
        <w:t xml:space="preserve">, mida kohaldatakse ainult suuremahuliste pakkumiste puhul (vt lg </w:t>
      </w:r>
      <w:r w:rsidR="00412900">
        <w:rPr>
          <w:sz w:val="22"/>
          <w:szCs w:val="22"/>
        </w:rPr>
        <w:t>1</w:t>
      </w:r>
      <w:r>
        <w:rPr>
          <w:sz w:val="22"/>
          <w:szCs w:val="22"/>
        </w:rPr>
        <w:t xml:space="preserve"> ülal)</w:t>
      </w:r>
      <w:r w:rsidRPr="005A55CA">
        <w:rPr>
          <w:sz w:val="22"/>
          <w:szCs w:val="22"/>
        </w:rPr>
        <w:t xml:space="preserve">. </w:t>
      </w:r>
      <w:r>
        <w:rPr>
          <w:sz w:val="22"/>
          <w:szCs w:val="22"/>
        </w:rPr>
        <w:t xml:space="preserve">Täiendusena on </w:t>
      </w:r>
      <w:r>
        <w:rPr>
          <w:sz w:val="22"/>
          <w:szCs w:val="22"/>
        </w:rPr>
        <w:lastRenderedPageBreak/>
        <w:t xml:space="preserve">lisatud lõike </w:t>
      </w:r>
      <w:r w:rsidR="00412900">
        <w:rPr>
          <w:sz w:val="22"/>
          <w:szCs w:val="22"/>
        </w:rPr>
        <w:t>8</w:t>
      </w:r>
      <w:r>
        <w:rPr>
          <w:sz w:val="22"/>
          <w:szCs w:val="22"/>
        </w:rPr>
        <w:t xml:space="preserve"> punkt 4, mille kohaselt on Finantsinspektsioonil õigus keelduda põhiteabedokumendi registreerimisest, kui rahastuse taotlejal puudub seos Eestiga või kui seos Eestiga on ebaselge. Nimetatud punkti lisamisega soovitakse ära hoida olukord, kus Eesti turult kaasaksid raha välisriigi isikud, kelle kohta Finantsinspektsioonil ei ole piisavalt ülevaadet või kelle üle kontrolli teostamine oleks oluliselt raskendatud võrreldes Eestis asutatud ja/või tegutsevate rahastuse taotlejatega.</w:t>
      </w:r>
    </w:p>
    <w:p w14:paraId="6F77B232" w14:textId="77777777" w:rsidR="00300C13" w:rsidRPr="005A55CA" w:rsidRDefault="00300C13" w:rsidP="00300C13">
      <w:pPr>
        <w:spacing w:before="0"/>
        <w:rPr>
          <w:sz w:val="22"/>
          <w:szCs w:val="22"/>
        </w:rPr>
      </w:pPr>
    </w:p>
    <w:p w14:paraId="5DFC0ED0" w14:textId="7ED2FD87" w:rsidR="00300C13" w:rsidRPr="005A55CA" w:rsidRDefault="00300C13" w:rsidP="00300C13">
      <w:pPr>
        <w:spacing w:before="0"/>
        <w:rPr>
          <w:sz w:val="22"/>
          <w:szCs w:val="22"/>
        </w:rPr>
      </w:pPr>
      <w:r w:rsidRPr="005A55CA">
        <w:rPr>
          <w:b/>
          <w:sz w:val="22"/>
          <w:szCs w:val="22"/>
        </w:rPr>
        <w:t>Lõike</w:t>
      </w:r>
      <w:r>
        <w:rPr>
          <w:b/>
          <w:sz w:val="22"/>
          <w:szCs w:val="22"/>
        </w:rPr>
        <w:t>s</w:t>
      </w:r>
      <w:r w:rsidRPr="005A55CA">
        <w:rPr>
          <w:b/>
          <w:sz w:val="22"/>
          <w:szCs w:val="22"/>
        </w:rPr>
        <w:t xml:space="preserve"> </w:t>
      </w:r>
      <w:r w:rsidR="00412900">
        <w:rPr>
          <w:b/>
          <w:sz w:val="22"/>
          <w:szCs w:val="22"/>
        </w:rPr>
        <w:t>9</w:t>
      </w:r>
      <w:r w:rsidRPr="004D00ED">
        <w:rPr>
          <w:sz w:val="22"/>
          <w:szCs w:val="22"/>
        </w:rPr>
        <w:t xml:space="preserve"> on </w:t>
      </w:r>
      <w:r w:rsidRPr="005A55CA">
        <w:rPr>
          <w:sz w:val="22"/>
          <w:szCs w:val="22"/>
        </w:rPr>
        <w:t>täpsusta</w:t>
      </w:r>
      <w:r>
        <w:rPr>
          <w:sz w:val="22"/>
          <w:szCs w:val="22"/>
        </w:rPr>
        <w:t>tud</w:t>
      </w:r>
      <w:r w:rsidRPr="005A55CA">
        <w:rPr>
          <w:sz w:val="22"/>
          <w:szCs w:val="22"/>
        </w:rPr>
        <w:t xml:space="preserve"> Finantsinspektsiooni rolli põhiteabedokumendi registreerimisel, st Finantsinspektsioon ei </w:t>
      </w:r>
      <w:r>
        <w:rPr>
          <w:sz w:val="22"/>
          <w:szCs w:val="22"/>
        </w:rPr>
        <w:t xml:space="preserve">anna </w:t>
      </w:r>
      <w:r w:rsidRPr="005A55CA">
        <w:rPr>
          <w:sz w:val="22"/>
          <w:szCs w:val="22"/>
        </w:rPr>
        <w:t>põhiteabedokumendi avalikustamisega investeerimissoovitust investeerimis</w:t>
      </w:r>
      <w:r w:rsidR="00412900">
        <w:rPr>
          <w:sz w:val="22"/>
          <w:szCs w:val="22"/>
        </w:rPr>
        <w:t>projekti investeerimiseks</w:t>
      </w:r>
      <w:r w:rsidRPr="005A55CA">
        <w:rPr>
          <w:sz w:val="22"/>
          <w:szCs w:val="22"/>
        </w:rPr>
        <w:t>.</w:t>
      </w:r>
    </w:p>
    <w:p w14:paraId="29D13C12" w14:textId="77777777" w:rsidR="00300C13" w:rsidRPr="005A55CA" w:rsidRDefault="00300C13" w:rsidP="00300C13">
      <w:pPr>
        <w:spacing w:before="0"/>
        <w:rPr>
          <w:sz w:val="22"/>
          <w:szCs w:val="22"/>
        </w:rPr>
      </w:pPr>
    </w:p>
    <w:p w14:paraId="5AFA57B4" w14:textId="69FB31D4" w:rsidR="00300C13" w:rsidRPr="005A55CA" w:rsidRDefault="00300C13" w:rsidP="00300C13">
      <w:pPr>
        <w:spacing w:before="0"/>
        <w:rPr>
          <w:sz w:val="22"/>
          <w:szCs w:val="22"/>
        </w:rPr>
      </w:pPr>
      <w:r w:rsidRPr="005A55CA">
        <w:rPr>
          <w:b/>
          <w:sz w:val="22"/>
          <w:szCs w:val="22"/>
        </w:rPr>
        <w:t xml:space="preserve">Lõige </w:t>
      </w:r>
      <w:r w:rsidR="00412900">
        <w:rPr>
          <w:b/>
          <w:sz w:val="22"/>
          <w:szCs w:val="22"/>
        </w:rPr>
        <w:t>10</w:t>
      </w:r>
      <w:r w:rsidRPr="005A55CA">
        <w:rPr>
          <w:b/>
          <w:sz w:val="22"/>
          <w:szCs w:val="22"/>
        </w:rPr>
        <w:t xml:space="preserve"> </w:t>
      </w:r>
      <w:r w:rsidRPr="005A55CA">
        <w:rPr>
          <w:sz w:val="22"/>
          <w:szCs w:val="22"/>
        </w:rPr>
        <w:t xml:space="preserve">täpsustab eeltoodud lõiget </w:t>
      </w:r>
      <w:r w:rsidR="00412900">
        <w:rPr>
          <w:sz w:val="22"/>
          <w:szCs w:val="22"/>
        </w:rPr>
        <w:t>9</w:t>
      </w:r>
      <w:r w:rsidRPr="005A55CA">
        <w:rPr>
          <w:sz w:val="22"/>
          <w:szCs w:val="22"/>
        </w:rPr>
        <w:t xml:space="preserve"> sellega, et Finantsinspektsiooni roll põhiteabedokumendi registreerimise puhul on kontrollida õigusaktidega (eeskätt käesoleva seaduse </w:t>
      </w:r>
      <w:r>
        <w:rPr>
          <w:sz w:val="22"/>
          <w:szCs w:val="22"/>
        </w:rPr>
        <w:t xml:space="preserve">§ </w:t>
      </w:r>
      <w:r w:rsidR="00412900">
        <w:rPr>
          <w:sz w:val="22"/>
          <w:szCs w:val="22"/>
        </w:rPr>
        <w:t>66</w:t>
      </w:r>
      <w:r>
        <w:rPr>
          <w:sz w:val="22"/>
          <w:szCs w:val="22"/>
        </w:rPr>
        <w:t xml:space="preserve"> lg </w:t>
      </w:r>
      <w:r w:rsidR="00412900">
        <w:rPr>
          <w:sz w:val="22"/>
          <w:szCs w:val="22"/>
        </w:rPr>
        <w:t>11</w:t>
      </w:r>
      <w:r w:rsidRPr="005A55CA">
        <w:rPr>
          <w:sz w:val="22"/>
          <w:szCs w:val="22"/>
        </w:rPr>
        <w:t xml:space="preserve"> toodud</w:t>
      </w:r>
      <w:r>
        <w:rPr>
          <w:sz w:val="22"/>
          <w:szCs w:val="22"/>
        </w:rPr>
        <w:t xml:space="preserve"> määruse</w:t>
      </w:r>
      <w:r w:rsidRPr="005A55CA">
        <w:rPr>
          <w:sz w:val="22"/>
          <w:szCs w:val="22"/>
        </w:rPr>
        <w:t xml:space="preserve"> nõuetele) nõutud m</w:t>
      </w:r>
      <w:r>
        <w:rPr>
          <w:sz w:val="22"/>
          <w:szCs w:val="22"/>
        </w:rPr>
        <w:t>inimaalse</w:t>
      </w:r>
      <w:r w:rsidRPr="005A55CA">
        <w:rPr>
          <w:sz w:val="22"/>
          <w:szCs w:val="22"/>
        </w:rPr>
        <w:t xml:space="preserve"> teabe olemasolu ja et see teave oleks esitatud lihtsalt analüüsitavas ja arusaadavas vormis ning sisaldaks rahastuse taotleja kinnitusel kogu iseloomulikku teavet tema pakutava investeerimis</w:t>
      </w:r>
      <w:r w:rsidR="00412900">
        <w:rPr>
          <w:sz w:val="22"/>
          <w:szCs w:val="22"/>
        </w:rPr>
        <w:t>projekti</w:t>
      </w:r>
      <w:r w:rsidRPr="005A55CA">
        <w:rPr>
          <w:sz w:val="22"/>
          <w:szCs w:val="22"/>
        </w:rPr>
        <w:t xml:space="preserve"> kohta.</w:t>
      </w:r>
    </w:p>
    <w:p w14:paraId="7410D0F9" w14:textId="77777777" w:rsidR="00F85EE3" w:rsidRPr="005A55CA" w:rsidRDefault="00F85EE3" w:rsidP="00F85EE3">
      <w:pPr>
        <w:spacing w:before="0"/>
        <w:rPr>
          <w:sz w:val="22"/>
          <w:szCs w:val="22"/>
        </w:rPr>
      </w:pPr>
    </w:p>
    <w:p w14:paraId="442DC4C9" w14:textId="563154B5" w:rsidR="00F85EE3" w:rsidRPr="005A55CA" w:rsidRDefault="00F85EE3" w:rsidP="00F85EE3">
      <w:pPr>
        <w:spacing w:before="0"/>
        <w:rPr>
          <w:sz w:val="22"/>
          <w:szCs w:val="22"/>
        </w:rPr>
      </w:pPr>
      <w:r w:rsidRPr="005A55CA">
        <w:rPr>
          <w:b/>
          <w:sz w:val="22"/>
          <w:szCs w:val="22"/>
        </w:rPr>
        <w:t xml:space="preserve">Paragrahv </w:t>
      </w:r>
      <w:r w:rsidR="00300C13">
        <w:rPr>
          <w:b/>
          <w:sz w:val="22"/>
          <w:szCs w:val="22"/>
        </w:rPr>
        <w:t>69</w:t>
      </w:r>
      <w:r w:rsidRPr="005A55CA">
        <w:rPr>
          <w:b/>
          <w:sz w:val="22"/>
          <w:szCs w:val="22"/>
        </w:rPr>
        <w:t xml:space="preserve"> </w:t>
      </w:r>
      <w:r w:rsidRPr="005A55CA">
        <w:rPr>
          <w:sz w:val="22"/>
          <w:szCs w:val="22"/>
        </w:rPr>
        <w:t>sätestab Finantsinspektsiooni õiguse</w:t>
      </w:r>
      <w:r w:rsidR="00300C13">
        <w:rPr>
          <w:sz w:val="22"/>
          <w:szCs w:val="22"/>
        </w:rPr>
        <w:t>d ja ülesanded seoses põhiteabedokumendiga ning õiguse</w:t>
      </w:r>
      <w:r w:rsidRPr="005A55CA">
        <w:rPr>
          <w:sz w:val="22"/>
          <w:szCs w:val="22"/>
        </w:rPr>
        <w:t xml:space="preserve"> nõuda põhiteabedokumendi muutmist.</w:t>
      </w:r>
    </w:p>
    <w:p w14:paraId="2AE33541" w14:textId="77777777" w:rsidR="00F85EE3" w:rsidRPr="005A55CA" w:rsidRDefault="00F85EE3" w:rsidP="00F85EE3">
      <w:pPr>
        <w:spacing w:before="0"/>
        <w:rPr>
          <w:sz w:val="22"/>
          <w:szCs w:val="22"/>
        </w:rPr>
      </w:pPr>
    </w:p>
    <w:p w14:paraId="6260129B" w14:textId="1249B701" w:rsidR="00F85EE3" w:rsidRDefault="00F85EE3" w:rsidP="00F85EE3">
      <w:pPr>
        <w:spacing w:before="0"/>
        <w:rPr>
          <w:sz w:val="22"/>
          <w:szCs w:val="22"/>
        </w:rPr>
      </w:pPr>
      <w:r w:rsidRPr="005A55CA">
        <w:rPr>
          <w:b/>
          <w:sz w:val="22"/>
          <w:szCs w:val="22"/>
        </w:rPr>
        <w:t xml:space="preserve">Lõike </w:t>
      </w:r>
      <w:r w:rsidR="00412900">
        <w:rPr>
          <w:b/>
          <w:sz w:val="22"/>
          <w:szCs w:val="22"/>
        </w:rPr>
        <w:t>1</w:t>
      </w:r>
      <w:r w:rsidRPr="005A55CA">
        <w:rPr>
          <w:b/>
          <w:sz w:val="22"/>
          <w:szCs w:val="22"/>
        </w:rPr>
        <w:t xml:space="preserve"> </w:t>
      </w:r>
      <w:r w:rsidRPr="005A55CA">
        <w:rPr>
          <w:sz w:val="22"/>
          <w:szCs w:val="22"/>
        </w:rPr>
        <w:t>kohaselt Finantsinspektsioon kontrolli</w:t>
      </w:r>
      <w:r w:rsidR="00412900">
        <w:rPr>
          <w:sz w:val="22"/>
          <w:szCs w:val="22"/>
        </w:rPr>
        <w:t>b</w:t>
      </w:r>
      <w:r w:rsidRPr="005A55CA">
        <w:rPr>
          <w:sz w:val="22"/>
          <w:szCs w:val="22"/>
        </w:rPr>
        <w:t xml:space="preserve"> õigusaktidega nõutud teabe olemasolu põhiteabedokumendis ja seda, et see oleks esitatud lihtsalt analüüsitavas ja arusaadavas vormis, ning olulist teavet rahastuse taotleja ja avalikkusele pakutavate investeerimis</w:t>
      </w:r>
      <w:r w:rsidR="00412900">
        <w:rPr>
          <w:sz w:val="22"/>
          <w:szCs w:val="22"/>
        </w:rPr>
        <w:t>projektide</w:t>
      </w:r>
      <w:r w:rsidRPr="005A55CA">
        <w:rPr>
          <w:sz w:val="22"/>
          <w:szCs w:val="22"/>
        </w:rPr>
        <w:t xml:space="preserve"> kohta. Viimasel juhul on silmas peetud teavet, mis otseselt ei sisaldu või mille olemasolu põhiteabedokumendis ei ole nõutav, kuid mida on Finantsinspektsioonil võimalik koguda muudest allikatest oma järelevalvetegevuse käigus. Sellest tulenevalt ei pea Finantsinspektsiooni tegevus põhiteabedokumendi registreerimise osas olema nimetatud dokumendi läbivaatamine ja seaduse ning vastava ministri määruse kooskõla kontroll, vaid Finantsinspektsioon võib koguda ka muid andmeid, mis tema hinnangul on olulised pakkumise ning pakkumise korraldaja usaldusväärsuse tuvastamisel, samuti äärmisel juhul nõuda pakkumise peatamist (vt § </w:t>
      </w:r>
      <w:r w:rsidR="00412900">
        <w:rPr>
          <w:sz w:val="22"/>
          <w:szCs w:val="22"/>
        </w:rPr>
        <w:t>71</w:t>
      </w:r>
      <w:r w:rsidRPr="005A55CA">
        <w:rPr>
          <w:sz w:val="22"/>
          <w:szCs w:val="22"/>
        </w:rPr>
        <w:t xml:space="preserve"> lg 1).</w:t>
      </w:r>
    </w:p>
    <w:p w14:paraId="5B5137BC" w14:textId="55D40B40" w:rsidR="00412900" w:rsidRDefault="00412900" w:rsidP="00F85EE3">
      <w:pPr>
        <w:spacing w:before="0"/>
        <w:rPr>
          <w:sz w:val="22"/>
          <w:szCs w:val="22"/>
        </w:rPr>
      </w:pPr>
    </w:p>
    <w:p w14:paraId="42C07BEE" w14:textId="7AC2120A" w:rsidR="00412900" w:rsidRPr="005A55CA" w:rsidRDefault="00412900" w:rsidP="00F85EE3">
      <w:pPr>
        <w:spacing w:before="0"/>
        <w:rPr>
          <w:sz w:val="22"/>
          <w:szCs w:val="22"/>
        </w:rPr>
      </w:pPr>
      <w:r w:rsidRPr="005A55CA">
        <w:rPr>
          <w:b/>
          <w:sz w:val="22"/>
          <w:szCs w:val="22"/>
        </w:rPr>
        <w:t xml:space="preserve">Lõike </w:t>
      </w:r>
      <w:r>
        <w:rPr>
          <w:b/>
          <w:sz w:val="22"/>
          <w:szCs w:val="22"/>
        </w:rPr>
        <w:t>2</w:t>
      </w:r>
      <w:r w:rsidRPr="005A55CA">
        <w:rPr>
          <w:b/>
          <w:sz w:val="22"/>
          <w:szCs w:val="22"/>
        </w:rPr>
        <w:t xml:space="preserve"> </w:t>
      </w:r>
      <w:r w:rsidRPr="005A55CA">
        <w:rPr>
          <w:sz w:val="22"/>
          <w:szCs w:val="22"/>
        </w:rPr>
        <w:t>kohaselt ei vastuta Finantsinspektsioon põhiteabedokumendi sisu õigsuse eest ja avalikustatud põhiteabedokumendi ajakohasuse eest ega võta kohustust värskendada avalikustatud teavet või teatada selles tehtud muudatustest</w:t>
      </w:r>
      <w:r>
        <w:rPr>
          <w:sz w:val="22"/>
          <w:szCs w:val="22"/>
        </w:rPr>
        <w:t>, välja arvatud kui käesolevas seaduses ei ole sätestatud teisiti</w:t>
      </w:r>
      <w:r w:rsidRPr="005A55CA">
        <w:rPr>
          <w:sz w:val="22"/>
          <w:szCs w:val="22"/>
        </w:rPr>
        <w:t>.</w:t>
      </w:r>
      <w:r>
        <w:rPr>
          <w:sz w:val="22"/>
          <w:szCs w:val="22"/>
        </w:rPr>
        <w:t xml:space="preserve"> </w:t>
      </w:r>
    </w:p>
    <w:p w14:paraId="1AB6ABA3" w14:textId="77777777" w:rsidR="00F85EE3" w:rsidRPr="005A55CA" w:rsidRDefault="00F85EE3" w:rsidP="00F85EE3">
      <w:pPr>
        <w:spacing w:before="0"/>
        <w:rPr>
          <w:sz w:val="22"/>
          <w:szCs w:val="22"/>
        </w:rPr>
      </w:pPr>
    </w:p>
    <w:p w14:paraId="6CE35232" w14:textId="77777777" w:rsidR="00F85EE3" w:rsidRPr="005A55CA" w:rsidRDefault="00F85EE3" w:rsidP="00F85EE3">
      <w:pPr>
        <w:spacing w:before="0"/>
        <w:rPr>
          <w:sz w:val="22"/>
          <w:szCs w:val="22"/>
        </w:rPr>
      </w:pPr>
      <w:r w:rsidRPr="005A55CA">
        <w:rPr>
          <w:b/>
          <w:sz w:val="22"/>
          <w:szCs w:val="22"/>
        </w:rPr>
        <w:t xml:space="preserve">Lõike 3 </w:t>
      </w:r>
      <w:r w:rsidRPr="005A55CA">
        <w:rPr>
          <w:sz w:val="22"/>
          <w:szCs w:val="22"/>
        </w:rPr>
        <w:t>alusel võib Finantsinspektsioon oma ettekirjutusega nõuda põhiteabedokumendi muutmist ja muudatuste avalikustamist, kui põhiteabedokument ei vasta õigusaktides sätestatud tingimustele. Finantsinspektsioonil võib olla alus ettekirjutusega põhiteabedokumendi muutmist nõuda, kui näiteks põhiteabedokumendis on esitatud vale- või ebatäpseid andmeid või kui teatud põhiteabedokumendis nõutavad andmed on jäetud avaldamata.</w:t>
      </w:r>
    </w:p>
    <w:p w14:paraId="67D53B07" w14:textId="77777777" w:rsidR="00F85EE3" w:rsidRPr="005A55CA" w:rsidRDefault="00F85EE3" w:rsidP="00F85EE3">
      <w:pPr>
        <w:spacing w:before="0"/>
        <w:rPr>
          <w:sz w:val="22"/>
          <w:szCs w:val="22"/>
        </w:rPr>
      </w:pPr>
    </w:p>
    <w:p w14:paraId="7A4666E9" w14:textId="6DA16C4D" w:rsidR="00F85EE3" w:rsidRPr="005A55CA" w:rsidRDefault="00F85EE3" w:rsidP="00F85EE3">
      <w:pPr>
        <w:spacing w:before="0"/>
        <w:rPr>
          <w:sz w:val="22"/>
          <w:szCs w:val="22"/>
        </w:rPr>
      </w:pPr>
      <w:r w:rsidRPr="005A55CA">
        <w:rPr>
          <w:b/>
          <w:sz w:val="22"/>
          <w:szCs w:val="22"/>
        </w:rPr>
        <w:t xml:space="preserve">Lõike 4 </w:t>
      </w:r>
      <w:r w:rsidRPr="005A55CA">
        <w:rPr>
          <w:sz w:val="22"/>
          <w:szCs w:val="22"/>
        </w:rPr>
        <w:t>järgi avaldab Finantsinspektsioon oma veebilehel teatise selle kohta, et investeerimis-</w:t>
      </w:r>
      <w:r w:rsidR="00110A76">
        <w:rPr>
          <w:sz w:val="22"/>
          <w:szCs w:val="22"/>
        </w:rPr>
        <w:t>projekti</w:t>
      </w:r>
      <w:r w:rsidR="00110A76" w:rsidRPr="005A55CA">
        <w:rPr>
          <w:sz w:val="22"/>
          <w:szCs w:val="22"/>
        </w:rPr>
        <w:t xml:space="preserve"> </w:t>
      </w:r>
      <w:r w:rsidRPr="005A55CA">
        <w:rPr>
          <w:sz w:val="22"/>
          <w:szCs w:val="22"/>
        </w:rPr>
        <w:t xml:space="preserve">pakkumise käigus </w:t>
      </w:r>
      <w:r w:rsidR="00110A76">
        <w:rPr>
          <w:sz w:val="22"/>
          <w:szCs w:val="22"/>
        </w:rPr>
        <w:t xml:space="preserve">vastavaid </w:t>
      </w:r>
      <w:r w:rsidRPr="005A55CA">
        <w:rPr>
          <w:sz w:val="22"/>
          <w:szCs w:val="22"/>
        </w:rPr>
        <w:t>instrumente omandada kavatsevad isikud peaksid tutvuma põhiteabedokumendis investeerimis</w:t>
      </w:r>
      <w:r w:rsidR="00110A76">
        <w:rPr>
          <w:sz w:val="22"/>
          <w:szCs w:val="22"/>
        </w:rPr>
        <w:t>projekti</w:t>
      </w:r>
      <w:r w:rsidRPr="005A55CA">
        <w:rPr>
          <w:sz w:val="22"/>
          <w:szCs w:val="22"/>
        </w:rPr>
        <w:t xml:space="preserve"> ja </w:t>
      </w:r>
      <w:r>
        <w:rPr>
          <w:sz w:val="22"/>
          <w:szCs w:val="22"/>
        </w:rPr>
        <w:t>rahastuse taotleja</w:t>
      </w:r>
      <w:r w:rsidRPr="005A55CA">
        <w:rPr>
          <w:sz w:val="22"/>
          <w:szCs w:val="22"/>
        </w:rPr>
        <w:t xml:space="preserve"> kohta esitatuga ning hindama teavet oma investeerimiseesmärkidest ja riskitaluvusest lähtuvalt ning vajaduse</w:t>
      </w:r>
      <w:r w:rsidR="00110A76">
        <w:rPr>
          <w:sz w:val="22"/>
          <w:szCs w:val="22"/>
        </w:rPr>
        <w:t xml:space="preserve"> korra</w:t>
      </w:r>
      <w:r w:rsidRPr="005A55CA">
        <w:rPr>
          <w:sz w:val="22"/>
          <w:szCs w:val="22"/>
        </w:rPr>
        <w:t xml:space="preserve">l peaksid </w:t>
      </w:r>
      <w:r w:rsidR="00110A76">
        <w:rPr>
          <w:sz w:val="22"/>
          <w:szCs w:val="22"/>
        </w:rPr>
        <w:t>kliendid</w:t>
      </w:r>
      <w:r w:rsidR="00110A76" w:rsidRPr="005A55CA">
        <w:rPr>
          <w:sz w:val="22"/>
          <w:szCs w:val="22"/>
        </w:rPr>
        <w:t xml:space="preserve"> </w:t>
      </w:r>
      <w:r w:rsidRPr="005A55CA">
        <w:rPr>
          <w:sz w:val="22"/>
          <w:szCs w:val="22"/>
        </w:rPr>
        <w:t xml:space="preserve">pöörduma vastavat kutseoskust ja tegevusluba omava isiku poole. Tegemist on üldise riskihoiatusega, mis on suunatud </w:t>
      </w:r>
      <w:r w:rsidR="007079BF">
        <w:rPr>
          <w:sz w:val="22"/>
          <w:szCs w:val="22"/>
        </w:rPr>
        <w:t>klientide</w:t>
      </w:r>
      <w:r w:rsidRPr="005A55CA">
        <w:rPr>
          <w:sz w:val="22"/>
          <w:szCs w:val="22"/>
        </w:rPr>
        <w:t xml:space="preserve"> teadlikkuse suurendamisele investeerimis</w:t>
      </w:r>
      <w:r w:rsidR="007079BF">
        <w:rPr>
          <w:sz w:val="22"/>
          <w:szCs w:val="22"/>
        </w:rPr>
        <w:t>projektidega</w:t>
      </w:r>
      <w:r w:rsidRPr="005A55CA">
        <w:rPr>
          <w:sz w:val="22"/>
          <w:szCs w:val="22"/>
        </w:rPr>
        <w:t xml:space="preserve"> tehtavate tehingute osas.</w:t>
      </w:r>
    </w:p>
    <w:p w14:paraId="60DD6943" w14:textId="77777777" w:rsidR="00F85EE3" w:rsidRPr="005A55CA" w:rsidRDefault="00F85EE3" w:rsidP="00F85EE3">
      <w:pPr>
        <w:spacing w:before="0"/>
        <w:rPr>
          <w:sz w:val="22"/>
          <w:szCs w:val="22"/>
        </w:rPr>
      </w:pPr>
    </w:p>
    <w:p w14:paraId="34FA8B7A" w14:textId="424DE23F" w:rsidR="00F85EE3" w:rsidRPr="005A55CA" w:rsidRDefault="00F85EE3" w:rsidP="00F85EE3">
      <w:pPr>
        <w:spacing w:before="0"/>
        <w:rPr>
          <w:sz w:val="22"/>
          <w:szCs w:val="22"/>
        </w:rPr>
      </w:pPr>
      <w:r w:rsidRPr="005A55CA">
        <w:rPr>
          <w:b/>
          <w:sz w:val="22"/>
          <w:szCs w:val="22"/>
        </w:rPr>
        <w:t xml:space="preserve">Paragrahv </w:t>
      </w:r>
      <w:r w:rsidR="00110A76">
        <w:rPr>
          <w:b/>
          <w:sz w:val="22"/>
          <w:szCs w:val="22"/>
        </w:rPr>
        <w:t>70</w:t>
      </w:r>
      <w:r w:rsidRPr="005A55CA">
        <w:rPr>
          <w:b/>
          <w:sz w:val="22"/>
          <w:szCs w:val="22"/>
        </w:rPr>
        <w:t xml:space="preserve"> </w:t>
      </w:r>
      <w:r w:rsidRPr="005A55CA">
        <w:rPr>
          <w:sz w:val="22"/>
          <w:szCs w:val="22"/>
        </w:rPr>
        <w:t xml:space="preserve">käsitleb </w:t>
      </w:r>
      <w:r w:rsidR="00110A76">
        <w:rPr>
          <w:sz w:val="22"/>
          <w:szCs w:val="22"/>
        </w:rPr>
        <w:t>klientidele</w:t>
      </w:r>
      <w:r w:rsidR="00110A76" w:rsidRPr="005A55CA">
        <w:rPr>
          <w:sz w:val="22"/>
          <w:szCs w:val="22"/>
        </w:rPr>
        <w:t xml:space="preserve"> </w:t>
      </w:r>
      <w:r w:rsidRPr="005A55CA">
        <w:rPr>
          <w:sz w:val="22"/>
          <w:szCs w:val="22"/>
        </w:rPr>
        <w:t>kahju hüvitamist. Kahju hüv</w:t>
      </w:r>
      <w:r>
        <w:rPr>
          <w:sz w:val="22"/>
          <w:szCs w:val="22"/>
        </w:rPr>
        <w:t xml:space="preserve">itamine on </w:t>
      </w:r>
      <w:r w:rsidR="00110A76">
        <w:rPr>
          <w:sz w:val="22"/>
          <w:szCs w:val="22"/>
        </w:rPr>
        <w:t xml:space="preserve">kliendi </w:t>
      </w:r>
      <w:r>
        <w:rPr>
          <w:sz w:val="22"/>
          <w:szCs w:val="22"/>
        </w:rPr>
        <w:t>keskne õig</w:t>
      </w:r>
      <w:r w:rsidRPr="005A55CA">
        <w:rPr>
          <w:sz w:val="22"/>
          <w:szCs w:val="22"/>
        </w:rPr>
        <w:t>u</w:t>
      </w:r>
      <w:r>
        <w:rPr>
          <w:sz w:val="22"/>
          <w:szCs w:val="22"/>
        </w:rPr>
        <w:t>s</w:t>
      </w:r>
      <w:r w:rsidRPr="005A55CA">
        <w:rPr>
          <w:sz w:val="22"/>
          <w:szCs w:val="22"/>
        </w:rPr>
        <w:t xml:space="preserve">kaitsevahend, ning </w:t>
      </w:r>
      <w:r w:rsidR="00110A76">
        <w:rPr>
          <w:sz w:val="22"/>
          <w:szCs w:val="22"/>
        </w:rPr>
        <w:t>kliendi</w:t>
      </w:r>
      <w:r w:rsidR="00110A76" w:rsidRPr="005A55CA">
        <w:rPr>
          <w:sz w:val="22"/>
          <w:szCs w:val="22"/>
        </w:rPr>
        <w:t xml:space="preserve"> </w:t>
      </w:r>
      <w:r w:rsidRPr="005A55CA">
        <w:rPr>
          <w:sz w:val="22"/>
          <w:szCs w:val="22"/>
        </w:rPr>
        <w:t xml:space="preserve">nõue tekib </w:t>
      </w:r>
      <w:r>
        <w:rPr>
          <w:sz w:val="22"/>
          <w:szCs w:val="22"/>
        </w:rPr>
        <w:t>teenuseosutaja või rahastuse taotleja</w:t>
      </w:r>
      <w:r w:rsidRPr="005A55CA">
        <w:rPr>
          <w:sz w:val="22"/>
          <w:szCs w:val="22"/>
        </w:rPr>
        <w:t xml:space="preserve"> vastu üldjuhul mittenõuetekohase pakkumise puhul.</w:t>
      </w:r>
    </w:p>
    <w:p w14:paraId="0AC5988C" w14:textId="77777777" w:rsidR="00F85EE3" w:rsidRPr="005A55CA" w:rsidRDefault="00F85EE3" w:rsidP="00F85EE3">
      <w:pPr>
        <w:spacing w:before="0"/>
        <w:rPr>
          <w:b/>
          <w:sz w:val="22"/>
          <w:szCs w:val="22"/>
        </w:rPr>
      </w:pPr>
    </w:p>
    <w:p w14:paraId="5979E270" w14:textId="10E53A05" w:rsidR="00F85EE3" w:rsidRPr="005A55CA" w:rsidRDefault="00F85EE3" w:rsidP="00F85EE3">
      <w:pPr>
        <w:spacing w:before="0"/>
        <w:rPr>
          <w:sz w:val="22"/>
          <w:szCs w:val="22"/>
        </w:rPr>
      </w:pPr>
      <w:r w:rsidRPr="005A55CA">
        <w:rPr>
          <w:b/>
          <w:sz w:val="22"/>
          <w:szCs w:val="22"/>
        </w:rPr>
        <w:t xml:space="preserve">Lõike 1 </w:t>
      </w:r>
      <w:r w:rsidRPr="005A55CA">
        <w:rPr>
          <w:sz w:val="22"/>
          <w:szCs w:val="22"/>
        </w:rPr>
        <w:t>kohaselt on investeerimis</w:t>
      </w:r>
      <w:r w:rsidR="00110A76">
        <w:rPr>
          <w:sz w:val="22"/>
          <w:szCs w:val="22"/>
        </w:rPr>
        <w:t>projekti pakkuja (st teenuseosutaja</w:t>
      </w:r>
      <w:r>
        <w:rPr>
          <w:sz w:val="22"/>
          <w:szCs w:val="22"/>
        </w:rPr>
        <w:t xml:space="preserve"> või rahastuse taotleja</w:t>
      </w:r>
      <w:r w:rsidR="00110A76">
        <w:rPr>
          <w:sz w:val="22"/>
          <w:szCs w:val="22"/>
        </w:rPr>
        <w:t>)</w:t>
      </w:r>
      <w:r w:rsidRPr="005A55CA">
        <w:rPr>
          <w:sz w:val="22"/>
          <w:szCs w:val="22"/>
        </w:rPr>
        <w:t xml:space="preserve"> kohustatud hüvitama </w:t>
      </w:r>
      <w:r w:rsidR="00110A76">
        <w:rPr>
          <w:sz w:val="22"/>
          <w:szCs w:val="22"/>
        </w:rPr>
        <w:t>kliendile</w:t>
      </w:r>
      <w:r w:rsidR="00110A76" w:rsidRPr="005A55CA">
        <w:rPr>
          <w:sz w:val="22"/>
          <w:szCs w:val="22"/>
        </w:rPr>
        <w:t xml:space="preserve"> </w:t>
      </w:r>
      <w:r w:rsidRPr="005A55CA">
        <w:rPr>
          <w:sz w:val="22"/>
          <w:szCs w:val="22"/>
        </w:rPr>
        <w:t xml:space="preserve">kahju, mis tuleneb erinevusest tegelikkuse ja põhiteabedokumendis esitatud teabe vahel, kui </w:t>
      </w:r>
      <w:r>
        <w:rPr>
          <w:sz w:val="22"/>
          <w:szCs w:val="22"/>
        </w:rPr>
        <w:t>teenuseosutaja või rahastuse taotleja</w:t>
      </w:r>
      <w:r w:rsidRPr="005A55CA">
        <w:rPr>
          <w:sz w:val="22"/>
          <w:szCs w:val="22"/>
        </w:rPr>
        <w:t xml:space="preserve"> teadis või oleks pidanud teadma sellest erinevusest, juhul kui põhiteabedokument sisaldab investeerimis</w:t>
      </w:r>
      <w:r w:rsidR="00110A76">
        <w:rPr>
          <w:sz w:val="22"/>
          <w:szCs w:val="22"/>
        </w:rPr>
        <w:t>projekti</w:t>
      </w:r>
      <w:r w:rsidRPr="005A55CA">
        <w:rPr>
          <w:sz w:val="22"/>
          <w:szCs w:val="22"/>
        </w:rPr>
        <w:t xml:space="preserve"> väärtuse hindamise seisukohalt olulist teavet, mis osutub tegelikkusest erinevaks. </w:t>
      </w:r>
    </w:p>
    <w:p w14:paraId="33F0C9A4" w14:textId="77777777" w:rsidR="00F85EE3" w:rsidRPr="005A55CA" w:rsidRDefault="00F85EE3" w:rsidP="00F85EE3">
      <w:pPr>
        <w:spacing w:before="0"/>
        <w:rPr>
          <w:sz w:val="22"/>
          <w:szCs w:val="22"/>
        </w:rPr>
      </w:pPr>
    </w:p>
    <w:p w14:paraId="37746215" w14:textId="752B764F" w:rsidR="00F85EE3" w:rsidRPr="005A55CA" w:rsidRDefault="00F85EE3" w:rsidP="00F85EE3">
      <w:pPr>
        <w:spacing w:before="0"/>
        <w:rPr>
          <w:sz w:val="22"/>
          <w:szCs w:val="22"/>
        </w:rPr>
      </w:pPr>
      <w:r w:rsidRPr="005A55CA">
        <w:rPr>
          <w:b/>
          <w:sz w:val="22"/>
          <w:szCs w:val="22"/>
        </w:rPr>
        <w:t xml:space="preserve">Lõike 2 </w:t>
      </w:r>
      <w:r w:rsidRPr="005A55CA">
        <w:rPr>
          <w:sz w:val="22"/>
          <w:szCs w:val="22"/>
        </w:rPr>
        <w:t>järgi kohaldub lõikes 1 toodud kahju hüvitamise kohustus ka siis, kui põhiteabedokument on puudulik, sealhulgas kui põhiteabedokumendist on jäetud välja asjakohased faktid, sellisel juhul, kui põhiteabedokumendi puudulikkus tuleneb teabe varjamisest investeerimis</w:t>
      </w:r>
      <w:r w:rsidR="00110A76">
        <w:rPr>
          <w:sz w:val="22"/>
          <w:szCs w:val="22"/>
        </w:rPr>
        <w:t>projekti pakkuja</w:t>
      </w:r>
      <w:r w:rsidRPr="005A55CA">
        <w:rPr>
          <w:sz w:val="22"/>
          <w:szCs w:val="22"/>
        </w:rPr>
        <w:t xml:space="preserve"> poolt. Käesolevat lõiget tuleks kohaldada</w:t>
      </w:r>
      <w:r w:rsidR="00761BF9">
        <w:rPr>
          <w:sz w:val="22"/>
          <w:szCs w:val="22"/>
        </w:rPr>
        <w:t xml:space="preserve"> ka</w:t>
      </w:r>
      <w:r w:rsidRPr="005A55CA">
        <w:rPr>
          <w:sz w:val="22"/>
          <w:szCs w:val="22"/>
        </w:rPr>
        <w:t xml:space="preserve"> juhul, kui rahastuse taotleja on edastanud muudetud põhiteabedokumendi teenuseosutajale, kuid </w:t>
      </w:r>
      <w:r>
        <w:rPr>
          <w:sz w:val="22"/>
          <w:szCs w:val="22"/>
        </w:rPr>
        <w:t xml:space="preserve">vastav </w:t>
      </w:r>
      <w:r w:rsidRPr="005A55CA">
        <w:rPr>
          <w:sz w:val="22"/>
          <w:szCs w:val="22"/>
        </w:rPr>
        <w:t>teenuseosutaja on jätnud muudetud teabe avalikustamata ning jätkanud pakkumisega, mis põhineb ebaõigetel või puudulikel andmetel.</w:t>
      </w:r>
    </w:p>
    <w:p w14:paraId="06E3A0BD" w14:textId="77777777" w:rsidR="00F85EE3" w:rsidRPr="005A55CA" w:rsidRDefault="00F85EE3" w:rsidP="00F85EE3">
      <w:pPr>
        <w:spacing w:before="0"/>
        <w:rPr>
          <w:sz w:val="22"/>
          <w:szCs w:val="22"/>
        </w:rPr>
      </w:pPr>
    </w:p>
    <w:p w14:paraId="659A35B8" w14:textId="1335B06B" w:rsidR="00F85EE3" w:rsidRPr="005A55CA" w:rsidRDefault="00F85EE3" w:rsidP="00F85EE3">
      <w:pPr>
        <w:spacing w:before="0"/>
        <w:rPr>
          <w:sz w:val="22"/>
          <w:szCs w:val="22"/>
        </w:rPr>
      </w:pPr>
      <w:r w:rsidRPr="005A55CA">
        <w:rPr>
          <w:b/>
          <w:sz w:val="22"/>
          <w:szCs w:val="22"/>
        </w:rPr>
        <w:t xml:space="preserve">Lõikes 3 </w:t>
      </w:r>
      <w:r w:rsidRPr="005A55CA">
        <w:rPr>
          <w:sz w:val="22"/>
          <w:szCs w:val="22"/>
        </w:rPr>
        <w:t xml:space="preserve">on sätestatud, et </w:t>
      </w:r>
      <w:r>
        <w:rPr>
          <w:sz w:val="22"/>
          <w:szCs w:val="22"/>
        </w:rPr>
        <w:t>teenuseosutajal või rahastuse taotlejal</w:t>
      </w:r>
      <w:r w:rsidRPr="005A55CA">
        <w:rPr>
          <w:sz w:val="22"/>
          <w:szCs w:val="22"/>
        </w:rPr>
        <w:t xml:space="preserve"> on </w:t>
      </w:r>
      <w:r w:rsidR="00761BF9">
        <w:rPr>
          <w:sz w:val="22"/>
          <w:szCs w:val="22"/>
        </w:rPr>
        <w:t>kliendi</w:t>
      </w:r>
      <w:r w:rsidR="00761BF9" w:rsidRPr="005A55CA">
        <w:rPr>
          <w:sz w:val="22"/>
          <w:szCs w:val="22"/>
        </w:rPr>
        <w:t xml:space="preserve"> </w:t>
      </w:r>
      <w:r w:rsidRPr="005A55CA">
        <w:rPr>
          <w:sz w:val="22"/>
          <w:szCs w:val="22"/>
        </w:rPr>
        <w:t xml:space="preserve">nõusolekul õigus käesoleva paragrahvi lõigetes 1 ja 2 nimetatud kahju hüvitada, võttes </w:t>
      </w:r>
      <w:r w:rsidR="00832CEC">
        <w:rPr>
          <w:sz w:val="22"/>
          <w:szCs w:val="22"/>
        </w:rPr>
        <w:t xml:space="preserve">vastava </w:t>
      </w:r>
      <w:r w:rsidRPr="005A55CA">
        <w:rPr>
          <w:sz w:val="22"/>
          <w:szCs w:val="22"/>
        </w:rPr>
        <w:t xml:space="preserve">instrumendi tagasi hinna eest, millega </w:t>
      </w:r>
      <w:r w:rsidR="00832CEC">
        <w:rPr>
          <w:sz w:val="22"/>
          <w:szCs w:val="22"/>
        </w:rPr>
        <w:t>klient</w:t>
      </w:r>
      <w:r w:rsidRPr="005A55CA">
        <w:rPr>
          <w:sz w:val="22"/>
          <w:szCs w:val="22"/>
        </w:rPr>
        <w:t xml:space="preserve"> investeerimis</w:t>
      </w:r>
      <w:r w:rsidR="00832CEC">
        <w:rPr>
          <w:sz w:val="22"/>
          <w:szCs w:val="22"/>
        </w:rPr>
        <w:t>projekti</w:t>
      </w:r>
      <w:r w:rsidRPr="005A55CA">
        <w:rPr>
          <w:sz w:val="22"/>
          <w:szCs w:val="22"/>
        </w:rPr>
        <w:t xml:space="preserve"> </w:t>
      </w:r>
      <w:r>
        <w:rPr>
          <w:sz w:val="22"/>
          <w:szCs w:val="22"/>
        </w:rPr>
        <w:t>teenuseosutajalt või rahastuse taotlejalt</w:t>
      </w:r>
      <w:r w:rsidRPr="005A55CA">
        <w:rPr>
          <w:sz w:val="22"/>
          <w:szCs w:val="22"/>
        </w:rPr>
        <w:t xml:space="preserve"> omandas. Sellisel viisil investeerimis</w:t>
      </w:r>
      <w:r w:rsidR="00832CEC">
        <w:rPr>
          <w:sz w:val="22"/>
          <w:szCs w:val="22"/>
        </w:rPr>
        <w:t>projekti</w:t>
      </w:r>
      <w:r w:rsidRPr="005A55CA">
        <w:rPr>
          <w:sz w:val="22"/>
          <w:szCs w:val="22"/>
        </w:rPr>
        <w:t xml:space="preserve"> tagasivõtmise korral vabaneb </w:t>
      </w:r>
      <w:r>
        <w:rPr>
          <w:sz w:val="22"/>
          <w:szCs w:val="22"/>
        </w:rPr>
        <w:t>teenuseosutaja või rahastuse taotleja</w:t>
      </w:r>
      <w:r w:rsidRPr="005A55CA">
        <w:rPr>
          <w:sz w:val="22"/>
          <w:szCs w:val="22"/>
        </w:rPr>
        <w:t xml:space="preserve"> </w:t>
      </w:r>
      <w:r w:rsidR="00832CEC">
        <w:rPr>
          <w:sz w:val="22"/>
          <w:szCs w:val="22"/>
        </w:rPr>
        <w:t>kliendile</w:t>
      </w:r>
      <w:r w:rsidRPr="005A55CA">
        <w:rPr>
          <w:sz w:val="22"/>
          <w:szCs w:val="22"/>
        </w:rPr>
        <w:t xml:space="preserve"> muu kahju hüvitamise kohustusest. Teisisõnu võivad </w:t>
      </w:r>
      <w:r>
        <w:rPr>
          <w:sz w:val="22"/>
          <w:szCs w:val="22"/>
        </w:rPr>
        <w:t>teenuseosutaja või rahastuse taotleja</w:t>
      </w:r>
      <w:r w:rsidRPr="005A55CA">
        <w:rPr>
          <w:sz w:val="22"/>
          <w:szCs w:val="22"/>
        </w:rPr>
        <w:t xml:space="preserve"> ja </w:t>
      </w:r>
      <w:r w:rsidR="00832CEC">
        <w:rPr>
          <w:sz w:val="22"/>
          <w:szCs w:val="22"/>
        </w:rPr>
        <w:t>klient</w:t>
      </w:r>
      <w:r w:rsidRPr="005A55CA">
        <w:rPr>
          <w:sz w:val="22"/>
          <w:szCs w:val="22"/>
        </w:rPr>
        <w:t xml:space="preserve"> kokku leppida, et kahju hüvitamise kohustus seisneb </w:t>
      </w:r>
      <w:r w:rsidR="00832CEC">
        <w:rPr>
          <w:sz w:val="22"/>
          <w:szCs w:val="22"/>
        </w:rPr>
        <w:t>kliendile</w:t>
      </w:r>
      <w:r w:rsidRPr="005A55CA">
        <w:rPr>
          <w:sz w:val="22"/>
          <w:szCs w:val="22"/>
        </w:rPr>
        <w:t xml:space="preserve"> tema poolt tasutud investeerimis</w:t>
      </w:r>
      <w:r w:rsidR="00832CEC">
        <w:rPr>
          <w:sz w:val="22"/>
          <w:szCs w:val="22"/>
        </w:rPr>
        <w:t>projekti eest</w:t>
      </w:r>
      <w:r w:rsidRPr="005A55CA">
        <w:rPr>
          <w:sz w:val="22"/>
          <w:szCs w:val="22"/>
        </w:rPr>
        <w:t xml:space="preserve"> ostuhinna tagastamises, </w:t>
      </w:r>
      <w:proofErr w:type="spellStart"/>
      <w:r w:rsidRPr="005A55CA">
        <w:rPr>
          <w:sz w:val="22"/>
          <w:szCs w:val="22"/>
        </w:rPr>
        <w:t>misjuhul</w:t>
      </w:r>
      <w:proofErr w:type="spellEnd"/>
      <w:r w:rsidRPr="005A55CA">
        <w:rPr>
          <w:sz w:val="22"/>
          <w:szCs w:val="22"/>
        </w:rPr>
        <w:t xml:space="preserve"> on teenuseosutaja oma rikkumise heastanud (vähemalt selles osas, mis puudutab kahju hüvitamist). Lisaks on märgitud, et sellisel juhul kohustub </w:t>
      </w:r>
      <w:r w:rsidR="00832CEC">
        <w:rPr>
          <w:sz w:val="22"/>
          <w:szCs w:val="22"/>
        </w:rPr>
        <w:t>klient</w:t>
      </w:r>
      <w:r w:rsidR="00832CEC" w:rsidRPr="005A55CA">
        <w:rPr>
          <w:sz w:val="22"/>
          <w:szCs w:val="22"/>
        </w:rPr>
        <w:t xml:space="preserve"> </w:t>
      </w:r>
      <w:r w:rsidRPr="005A55CA">
        <w:rPr>
          <w:sz w:val="22"/>
          <w:szCs w:val="22"/>
        </w:rPr>
        <w:t>ka tagastama omandatud investeerimis</w:t>
      </w:r>
      <w:r w:rsidR="00832CEC">
        <w:rPr>
          <w:sz w:val="22"/>
          <w:szCs w:val="22"/>
        </w:rPr>
        <w:t>projekti</w:t>
      </w:r>
      <w:r w:rsidRPr="005A55CA">
        <w:rPr>
          <w:sz w:val="22"/>
          <w:szCs w:val="22"/>
        </w:rPr>
        <w:t xml:space="preserve">, kui see on asjakohane. Asjakohasus nimetatud juhul väljendub selles, et kui </w:t>
      </w:r>
      <w:r w:rsidR="00832CEC">
        <w:rPr>
          <w:sz w:val="22"/>
          <w:szCs w:val="22"/>
        </w:rPr>
        <w:t>kliendil</w:t>
      </w:r>
      <w:r w:rsidR="00832CEC" w:rsidRPr="005A55CA">
        <w:rPr>
          <w:sz w:val="22"/>
          <w:szCs w:val="22"/>
        </w:rPr>
        <w:t xml:space="preserve"> </w:t>
      </w:r>
      <w:r w:rsidRPr="005A55CA">
        <w:rPr>
          <w:sz w:val="22"/>
          <w:szCs w:val="22"/>
        </w:rPr>
        <w:t xml:space="preserve">on ka praktikas võimalus nimetatud instrument tagasi anda (st instrument võib olla juba teenuseosutaja valduses, või võib teatud juhtudel olla võimalik ka </w:t>
      </w:r>
      <w:r w:rsidR="00832CEC">
        <w:rPr>
          <w:sz w:val="22"/>
          <w:szCs w:val="22"/>
        </w:rPr>
        <w:t xml:space="preserve">vastav </w:t>
      </w:r>
      <w:r w:rsidRPr="005A55CA">
        <w:rPr>
          <w:sz w:val="22"/>
          <w:szCs w:val="22"/>
        </w:rPr>
        <w:t>instrument kustutada või muul moel kasutuskõlbmatuks teha).</w:t>
      </w:r>
    </w:p>
    <w:p w14:paraId="680BC37C" w14:textId="77777777" w:rsidR="00F85EE3" w:rsidRPr="005A55CA" w:rsidRDefault="00F85EE3" w:rsidP="00F85EE3">
      <w:pPr>
        <w:spacing w:before="0"/>
        <w:rPr>
          <w:sz w:val="22"/>
          <w:szCs w:val="22"/>
        </w:rPr>
      </w:pPr>
    </w:p>
    <w:p w14:paraId="16855973" w14:textId="724D1EBB" w:rsidR="00832CEC" w:rsidRDefault="00F85EE3" w:rsidP="00F85EE3">
      <w:pPr>
        <w:spacing w:before="0"/>
        <w:rPr>
          <w:sz w:val="22"/>
          <w:szCs w:val="22"/>
        </w:rPr>
      </w:pPr>
      <w:r w:rsidRPr="005A55CA">
        <w:rPr>
          <w:b/>
          <w:sz w:val="22"/>
          <w:szCs w:val="22"/>
        </w:rPr>
        <w:t xml:space="preserve">Lõige 4 </w:t>
      </w:r>
      <w:r w:rsidRPr="005A55CA">
        <w:rPr>
          <w:sz w:val="22"/>
          <w:szCs w:val="22"/>
        </w:rPr>
        <w:t xml:space="preserve">täpsustab sama paragrahvi lõiget 1 ja 2 ning märgib, et kahju hüvitamise kohustus on </w:t>
      </w:r>
      <w:r>
        <w:rPr>
          <w:sz w:val="22"/>
          <w:szCs w:val="22"/>
        </w:rPr>
        <w:t>teenuseosutajal või rahastuse taotlejal</w:t>
      </w:r>
      <w:r w:rsidRPr="005A55CA">
        <w:rPr>
          <w:sz w:val="22"/>
          <w:szCs w:val="22"/>
        </w:rPr>
        <w:t xml:space="preserve"> ka juhul, kui põhiteabedokumendis on märgitud teabe allikana kolmas isik. Teisisõnu ei või </w:t>
      </w:r>
      <w:r>
        <w:rPr>
          <w:sz w:val="22"/>
          <w:szCs w:val="22"/>
        </w:rPr>
        <w:t>teenuseosutaja või rahastuse taotleja</w:t>
      </w:r>
      <w:r w:rsidRPr="005A55CA">
        <w:rPr>
          <w:sz w:val="22"/>
          <w:szCs w:val="22"/>
        </w:rPr>
        <w:t xml:space="preserve"> tugineda kolmandalt isikult saadud andmetele vastutust välistava asjaoluna. </w:t>
      </w:r>
    </w:p>
    <w:p w14:paraId="70F78AD7" w14:textId="77777777" w:rsidR="00832CEC" w:rsidRDefault="00832CEC" w:rsidP="00F85EE3">
      <w:pPr>
        <w:spacing w:before="0"/>
        <w:rPr>
          <w:sz w:val="22"/>
          <w:szCs w:val="22"/>
        </w:rPr>
      </w:pPr>
    </w:p>
    <w:p w14:paraId="26575E9D" w14:textId="4428C2CF" w:rsidR="00F85EE3" w:rsidRPr="005A55CA" w:rsidRDefault="00832CEC" w:rsidP="00F85EE3">
      <w:pPr>
        <w:spacing w:before="0"/>
        <w:rPr>
          <w:sz w:val="22"/>
          <w:szCs w:val="22"/>
        </w:rPr>
      </w:pPr>
      <w:r>
        <w:rPr>
          <w:b/>
          <w:bCs/>
          <w:sz w:val="22"/>
          <w:szCs w:val="22"/>
        </w:rPr>
        <w:t xml:space="preserve">Lõike 5 </w:t>
      </w:r>
      <w:r w:rsidR="00F85EE3" w:rsidRPr="005A55CA">
        <w:rPr>
          <w:sz w:val="22"/>
          <w:szCs w:val="22"/>
        </w:rPr>
        <w:t xml:space="preserve">kohaselt vabaneb </w:t>
      </w:r>
      <w:r w:rsidR="00F85EE3">
        <w:rPr>
          <w:sz w:val="22"/>
          <w:szCs w:val="22"/>
        </w:rPr>
        <w:t>teenuseosutaja või rahastuse taotleja</w:t>
      </w:r>
      <w:r w:rsidR="00F85EE3" w:rsidRPr="005A55CA">
        <w:rPr>
          <w:sz w:val="22"/>
          <w:szCs w:val="22"/>
        </w:rPr>
        <w:t xml:space="preserve"> sellisel juhul vastutusest vaid juhul, kui põhiteabedokumendis viidatud või avaldatud teave on esitatud viitega </w:t>
      </w:r>
      <w:r w:rsidR="00F85EE3">
        <w:rPr>
          <w:sz w:val="22"/>
          <w:szCs w:val="22"/>
        </w:rPr>
        <w:t>teenuseosutajast või rahastuse taotlejast</w:t>
      </w:r>
      <w:r w:rsidR="00F85EE3" w:rsidRPr="005A55CA">
        <w:rPr>
          <w:sz w:val="22"/>
          <w:szCs w:val="22"/>
        </w:rPr>
        <w:t xml:space="preserve"> sõltumatule teabeallikale ja </w:t>
      </w:r>
      <w:r w:rsidR="00F85EE3">
        <w:rPr>
          <w:sz w:val="22"/>
          <w:szCs w:val="22"/>
        </w:rPr>
        <w:t>teenuseosutaja või rahastuse taotleja</w:t>
      </w:r>
      <w:r w:rsidR="00F85EE3" w:rsidRPr="005A55CA">
        <w:rPr>
          <w:sz w:val="22"/>
          <w:szCs w:val="22"/>
        </w:rPr>
        <w:t xml:space="preserve"> ei teadnud ega pidanud teadma, et selle viite aluseks olev teave ei ole õige. Selline olukord võib tekkida, kui põhiteabedokumendis sisalduv viide on tehtud ametlikest andmekogudest, näiteks Äriregistrist, saadud andmete põhjal.</w:t>
      </w:r>
    </w:p>
    <w:p w14:paraId="00D57C77" w14:textId="77777777" w:rsidR="00F85EE3" w:rsidRPr="005A55CA" w:rsidRDefault="00F85EE3" w:rsidP="00F85EE3">
      <w:pPr>
        <w:spacing w:before="0"/>
        <w:rPr>
          <w:sz w:val="22"/>
          <w:szCs w:val="22"/>
        </w:rPr>
      </w:pPr>
    </w:p>
    <w:p w14:paraId="19148307" w14:textId="5E1B8386" w:rsidR="00F85EE3" w:rsidRPr="005A55CA" w:rsidRDefault="00F85EE3" w:rsidP="00F85EE3">
      <w:pPr>
        <w:spacing w:before="0"/>
        <w:rPr>
          <w:sz w:val="22"/>
          <w:szCs w:val="22"/>
        </w:rPr>
      </w:pPr>
      <w:r w:rsidRPr="005A55CA">
        <w:rPr>
          <w:b/>
          <w:sz w:val="22"/>
          <w:szCs w:val="22"/>
        </w:rPr>
        <w:t xml:space="preserve">Lõige </w:t>
      </w:r>
      <w:r w:rsidR="00832CEC">
        <w:rPr>
          <w:b/>
          <w:sz w:val="22"/>
          <w:szCs w:val="22"/>
        </w:rPr>
        <w:t>6</w:t>
      </w:r>
      <w:r w:rsidRPr="005A55CA">
        <w:rPr>
          <w:b/>
          <w:sz w:val="22"/>
          <w:szCs w:val="22"/>
        </w:rPr>
        <w:t xml:space="preserve"> </w:t>
      </w:r>
      <w:r w:rsidRPr="005A55CA">
        <w:rPr>
          <w:sz w:val="22"/>
          <w:szCs w:val="22"/>
        </w:rPr>
        <w:t xml:space="preserve">sätestab erandi </w:t>
      </w:r>
      <w:r>
        <w:rPr>
          <w:sz w:val="22"/>
          <w:szCs w:val="22"/>
        </w:rPr>
        <w:t>teenuseosutaja või rahastuse taotleja</w:t>
      </w:r>
      <w:r w:rsidRPr="005A55CA">
        <w:rPr>
          <w:sz w:val="22"/>
          <w:szCs w:val="22"/>
        </w:rPr>
        <w:t xml:space="preserve"> kahju hüvitamise kohustusele. Nimelt ei ole </w:t>
      </w:r>
      <w:r>
        <w:rPr>
          <w:sz w:val="22"/>
          <w:szCs w:val="22"/>
        </w:rPr>
        <w:t>teenuseosutaja või rahastuse taotleja</w:t>
      </w:r>
      <w:r w:rsidRPr="005A55CA">
        <w:rPr>
          <w:sz w:val="22"/>
          <w:szCs w:val="22"/>
        </w:rPr>
        <w:t xml:space="preserve"> kohustatud kahju hüvitama, kui kannatanu investeerimis</w:t>
      </w:r>
      <w:r w:rsidR="00832CEC">
        <w:rPr>
          <w:sz w:val="22"/>
          <w:szCs w:val="22"/>
        </w:rPr>
        <w:t>projekti investeerimise</w:t>
      </w:r>
      <w:r w:rsidRPr="005A55CA">
        <w:rPr>
          <w:sz w:val="22"/>
          <w:szCs w:val="22"/>
        </w:rPr>
        <w:t xml:space="preserve"> hetkel teadis või pidi teadma põhiteabedokumendi mittetäielikkusest või nendes sisalduvast valeteabest. Sama kehtib juhul, kui kogenud </w:t>
      </w:r>
      <w:r w:rsidR="00832CEC">
        <w:rPr>
          <w:sz w:val="22"/>
          <w:szCs w:val="22"/>
        </w:rPr>
        <w:t>kliendist</w:t>
      </w:r>
      <w:r w:rsidR="00832CEC" w:rsidRPr="005A55CA">
        <w:rPr>
          <w:sz w:val="22"/>
          <w:szCs w:val="22"/>
        </w:rPr>
        <w:t xml:space="preserve"> </w:t>
      </w:r>
      <w:r w:rsidRPr="005A55CA">
        <w:rPr>
          <w:sz w:val="22"/>
          <w:szCs w:val="22"/>
        </w:rPr>
        <w:t>kannatanu oleks pidanud investeerimis</w:t>
      </w:r>
      <w:r w:rsidR="00832CEC">
        <w:rPr>
          <w:sz w:val="22"/>
          <w:szCs w:val="22"/>
        </w:rPr>
        <w:t>projekti investeerimisel</w:t>
      </w:r>
      <w:r w:rsidRPr="005A55CA">
        <w:rPr>
          <w:sz w:val="22"/>
          <w:szCs w:val="22"/>
        </w:rPr>
        <w:t xml:space="preserve"> oma tegevuses tavapärase hoolsuse korral aru saama, et põhiteabedokument sisaldab valeteavet või et see ei ole täielik, välja arvatud juhul, kui kahju on tekitatud tahtlikult. Nimetatud käsitlus kattub väärtpaberite pakkumisel ebaõigest või puudulikust teabe esitamisest tuleneva kahju hüvitamise normidega (vt ka väärtpaberituru seaduse § 26 lg 2).</w:t>
      </w:r>
    </w:p>
    <w:p w14:paraId="42F353F3" w14:textId="77777777" w:rsidR="00F85EE3" w:rsidRPr="005A55CA" w:rsidRDefault="00F85EE3" w:rsidP="00F85EE3">
      <w:pPr>
        <w:spacing w:before="0"/>
        <w:rPr>
          <w:sz w:val="22"/>
          <w:szCs w:val="22"/>
        </w:rPr>
      </w:pPr>
    </w:p>
    <w:p w14:paraId="0BE85D4C" w14:textId="4971545A" w:rsidR="00F85EE3" w:rsidRPr="005A55CA" w:rsidRDefault="00F85EE3" w:rsidP="00F85EE3">
      <w:pPr>
        <w:spacing w:before="0"/>
        <w:rPr>
          <w:sz w:val="22"/>
          <w:szCs w:val="22"/>
        </w:rPr>
      </w:pPr>
      <w:r w:rsidRPr="005A55CA">
        <w:rPr>
          <w:b/>
          <w:sz w:val="22"/>
          <w:szCs w:val="22"/>
        </w:rPr>
        <w:t xml:space="preserve">Lõike </w:t>
      </w:r>
      <w:r w:rsidR="00A14736">
        <w:rPr>
          <w:b/>
          <w:sz w:val="22"/>
          <w:szCs w:val="22"/>
        </w:rPr>
        <w:t>7</w:t>
      </w:r>
      <w:r w:rsidRPr="005A55CA">
        <w:rPr>
          <w:b/>
          <w:sz w:val="22"/>
          <w:szCs w:val="22"/>
        </w:rPr>
        <w:t xml:space="preserve"> </w:t>
      </w:r>
      <w:r w:rsidRPr="005A55CA">
        <w:rPr>
          <w:sz w:val="22"/>
          <w:szCs w:val="22"/>
        </w:rPr>
        <w:t>kohaselt on käesolevas paragrahvis sätestatud kahju hüvitamise nõude aegumistähtaeg on viis aastat valeteavet sisaldava või mittetäieliku põhiteabedokumendi avalikustamisest arvates. Antud käsitlus kattub väärtpaberite pakkumisel ebaõigest või puudulikust teabe esitamisest tuleneva kahju hüvitamise normidega (vt ka väärtpaberituru seaduse § 27).</w:t>
      </w:r>
      <w:r w:rsidR="00734E6B">
        <w:rPr>
          <w:sz w:val="22"/>
          <w:szCs w:val="22"/>
        </w:rPr>
        <w:t xml:space="preserve"> EL õigus (EL </w:t>
      </w:r>
      <w:proofErr w:type="spellStart"/>
      <w:r w:rsidR="00734E6B">
        <w:rPr>
          <w:sz w:val="22"/>
          <w:szCs w:val="22"/>
        </w:rPr>
        <w:t>prsopektimäärus</w:t>
      </w:r>
      <w:proofErr w:type="spellEnd"/>
      <w:r w:rsidR="00734E6B">
        <w:rPr>
          <w:sz w:val="22"/>
          <w:szCs w:val="22"/>
        </w:rPr>
        <w:t xml:space="preserve"> ja EL </w:t>
      </w:r>
      <w:proofErr w:type="spellStart"/>
      <w:r w:rsidR="00734E6B">
        <w:rPr>
          <w:sz w:val="22"/>
          <w:szCs w:val="22"/>
        </w:rPr>
        <w:t>ühisrahastusmäärus</w:t>
      </w:r>
      <w:proofErr w:type="spellEnd"/>
      <w:r w:rsidR="00734E6B">
        <w:rPr>
          <w:sz w:val="22"/>
          <w:szCs w:val="22"/>
        </w:rPr>
        <w:t>) otseselt sellist tähtaega (s.t. viit aastat) ette ei näe ja võimaldab liikmesriigil endal määratleva vastava aegumistähtaja. Kuna aga vastav aegumistähtaeg – 5 aastat on siseriiklikus väärtpaberituru õiguses kasutusel juba alates 2002. aastast, siis oleks asjakohane ka siin jätkata analoogilise lähenemisega. Kaudsemalt näeb EL finantssektori õigus ette viieaastase tähtaja kõikvõimalike andmete säilitamisele.</w:t>
      </w:r>
    </w:p>
    <w:p w14:paraId="6C4FD777" w14:textId="77777777" w:rsidR="00F85EE3" w:rsidRPr="005A55CA" w:rsidRDefault="00F85EE3" w:rsidP="00F85EE3">
      <w:pPr>
        <w:spacing w:before="0"/>
        <w:rPr>
          <w:sz w:val="22"/>
          <w:szCs w:val="22"/>
        </w:rPr>
      </w:pPr>
    </w:p>
    <w:p w14:paraId="4E09EC89" w14:textId="1BBDD225" w:rsidR="00F85EE3" w:rsidRPr="005A55CA" w:rsidRDefault="00F85EE3" w:rsidP="00F85EE3">
      <w:pPr>
        <w:spacing w:before="0"/>
        <w:rPr>
          <w:sz w:val="22"/>
          <w:szCs w:val="22"/>
        </w:rPr>
      </w:pPr>
      <w:r w:rsidRPr="005A55CA">
        <w:rPr>
          <w:b/>
          <w:sz w:val="22"/>
          <w:szCs w:val="22"/>
        </w:rPr>
        <w:t xml:space="preserve">Lõige </w:t>
      </w:r>
      <w:r w:rsidR="00A14736">
        <w:rPr>
          <w:b/>
          <w:sz w:val="22"/>
          <w:szCs w:val="22"/>
        </w:rPr>
        <w:t>8</w:t>
      </w:r>
      <w:r w:rsidRPr="005A55CA">
        <w:rPr>
          <w:b/>
          <w:sz w:val="22"/>
          <w:szCs w:val="22"/>
        </w:rPr>
        <w:t xml:space="preserve"> </w:t>
      </w:r>
      <w:r w:rsidRPr="005A55CA">
        <w:rPr>
          <w:sz w:val="22"/>
          <w:szCs w:val="22"/>
        </w:rPr>
        <w:t>lisab, et kokkulepped, millega välistatakse, piiratakse või vähendatakse käesolevas paragrahvis sätestatud hüvitamist ja aegumistähtaega on tühised. Antud käsitlus kattub väärtpaberite pakkumisel ebaõigest või puudulikust teabe esitamisest tuleneva kahju hüvitamise, täpsemalt vastutuse piiramise keelu, normiga (vt ka väärtpaberituru seaduse § 28).</w:t>
      </w:r>
    </w:p>
    <w:p w14:paraId="6DC42ACB" w14:textId="77777777" w:rsidR="00F85EE3" w:rsidRPr="005A55CA" w:rsidRDefault="00F85EE3" w:rsidP="00F85EE3">
      <w:pPr>
        <w:spacing w:before="0"/>
        <w:rPr>
          <w:sz w:val="22"/>
          <w:szCs w:val="22"/>
        </w:rPr>
      </w:pPr>
    </w:p>
    <w:p w14:paraId="19AAA496" w14:textId="42A4F3B0" w:rsidR="00F85EE3" w:rsidRPr="005A55CA" w:rsidRDefault="00F85EE3" w:rsidP="00F85EE3">
      <w:pPr>
        <w:spacing w:before="0"/>
        <w:rPr>
          <w:b/>
          <w:sz w:val="22"/>
          <w:szCs w:val="22"/>
        </w:rPr>
      </w:pPr>
      <w:r w:rsidRPr="005A55CA">
        <w:rPr>
          <w:b/>
          <w:sz w:val="22"/>
          <w:szCs w:val="22"/>
        </w:rPr>
        <w:t xml:space="preserve">Paragrahv </w:t>
      </w:r>
      <w:r w:rsidR="00A14736">
        <w:rPr>
          <w:b/>
          <w:sz w:val="22"/>
          <w:szCs w:val="22"/>
        </w:rPr>
        <w:t>71</w:t>
      </w:r>
      <w:r w:rsidRPr="005A55CA">
        <w:rPr>
          <w:b/>
          <w:sz w:val="22"/>
          <w:szCs w:val="22"/>
        </w:rPr>
        <w:t xml:space="preserve"> </w:t>
      </w:r>
      <w:r w:rsidRPr="005A55CA">
        <w:rPr>
          <w:sz w:val="22"/>
          <w:szCs w:val="22"/>
        </w:rPr>
        <w:t>käsitleb Finantsinspektsiooni õigust peatada investeerimis</w:t>
      </w:r>
      <w:r w:rsidR="00A14736">
        <w:rPr>
          <w:sz w:val="22"/>
          <w:szCs w:val="22"/>
        </w:rPr>
        <w:t>projekti</w:t>
      </w:r>
      <w:r w:rsidRPr="005A55CA">
        <w:rPr>
          <w:sz w:val="22"/>
          <w:szCs w:val="22"/>
        </w:rPr>
        <w:t xml:space="preserve"> pakkumine</w:t>
      </w:r>
      <w:r w:rsidR="00A14736">
        <w:rPr>
          <w:sz w:val="22"/>
          <w:szCs w:val="22"/>
        </w:rPr>
        <w:t xml:space="preserve"> või pakkumist lõpetada</w:t>
      </w:r>
      <w:r w:rsidRPr="005A55CA">
        <w:rPr>
          <w:sz w:val="22"/>
          <w:szCs w:val="22"/>
        </w:rPr>
        <w:t>. Paragrahv põhineb suuremas osas väärtpaberituru seaduse §-s 36 sätestatul.</w:t>
      </w:r>
      <w:r w:rsidR="00A14736">
        <w:rPr>
          <w:sz w:val="22"/>
          <w:szCs w:val="22"/>
        </w:rPr>
        <w:t xml:space="preserve"> Finantsinspektsiooni vastavat õigust rakendatakse Finantsinspektsioonis registreeritud investeerimisprojektidele (vt ka § 68 lg 1 jj).</w:t>
      </w:r>
    </w:p>
    <w:p w14:paraId="4278C544" w14:textId="77777777" w:rsidR="00F85EE3" w:rsidRPr="005A55CA" w:rsidRDefault="00F85EE3" w:rsidP="00F85EE3">
      <w:pPr>
        <w:spacing w:before="0"/>
        <w:rPr>
          <w:b/>
          <w:color w:val="5B9BD5" w:themeColor="accent1"/>
          <w:sz w:val="22"/>
          <w:szCs w:val="22"/>
        </w:rPr>
      </w:pPr>
    </w:p>
    <w:p w14:paraId="2E349314" w14:textId="4D257191" w:rsidR="00F85EE3" w:rsidRPr="005A55CA" w:rsidRDefault="00F85EE3" w:rsidP="00F85EE3">
      <w:pPr>
        <w:spacing w:before="0"/>
        <w:rPr>
          <w:sz w:val="22"/>
          <w:szCs w:val="22"/>
        </w:rPr>
      </w:pPr>
      <w:r w:rsidRPr="005A55CA">
        <w:rPr>
          <w:b/>
          <w:sz w:val="22"/>
          <w:szCs w:val="22"/>
        </w:rPr>
        <w:t>Lõike 1</w:t>
      </w:r>
      <w:r w:rsidRPr="005A55CA">
        <w:rPr>
          <w:sz w:val="22"/>
          <w:szCs w:val="22"/>
        </w:rPr>
        <w:t xml:space="preserve"> kohaselt on Finantsinspektsioonil õigus oma ettekirjutusega nõuda investeerimis</w:t>
      </w:r>
      <w:r w:rsidR="00D473FB">
        <w:rPr>
          <w:sz w:val="22"/>
          <w:szCs w:val="22"/>
        </w:rPr>
        <w:t>projekti</w:t>
      </w:r>
      <w:r w:rsidRPr="005A55CA">
        <w:rPr>
          <w:sz w:val="22"/>
          <w:szCs w:val="22"/>
        </w:rPr>
        <w:t xml:space="preserve"> pakkumise lõpetamist või peatamist, kui:</w:t>
      </w:r>
    </w:p>
    <w:p w14:paraId="31FB23C8" w14:textId="30829E38" w:rsidR="00F85EE3" w:rsidRPr="005A55CA" w:rsidRDefault="00F85EE3" w:rsidP="00F85EE3">
      <w:pPr>
        <w:spacing w:before="0"/>
        <w:rPr>
          <w:sz w:val="22"/>
          <w:szCs w:val="22"/>
        </w:rPr>
      </w:pPr>
      <w:r w:rsidRPr="005A55CA">
        <w:rPr>
          <w:sz w:val="22"/>
          <w:szCs w:val="22"/>
        </w:rPr>
        <w:t xml:space="preserve">1) rikutakse või on alust arvata, et rikutakse </w:t>
      </w:r>
      <w:r>
        <w:rPr>
          <w:sz w:val="22"/>
          <w:szCs w:val="22"/>
        </w:rPr>
        <w:t>investeerimis</w:t>
      </w:r>
      <w:r w:rsidR="00D473FB">
        <w:rPr>
          <w:sz w:val="22"/>
          <w:szCs w:val="22"/>
        </w:rPr>
        <w:t>projekti</w:t>
      </w:r>
      <w:r>
        <w:rPr>
          <w:sz w:val="22"/>
          <w:szCs w:val="22"/>
        </w:rPr>
        <w:t xml:space="preserve"> </w:t>
      </w:r>
      <w:r w:rsidRPr="005A55CA">
        <w:rPr>
          <w:sz w:val="22"/>
          <w:szCs w:val="22"/>
        </w:rPr>
        <w:t>pakkumise kohta käesolevas seaduses ja selle alusel kehtestatud või muudes õigusaktides sätestatud nõudeid;</w:t>
      </w:r>
    </w:p>
    <w:p w14:paraId="0A988E5F" w14:textId="1DFC9C51" w:rsidR="00F85EE3" w:rsidRPr="005A55CA" w:rsidRDefault="00F85EE3" w:rsidP="00F85EE3">
      <w:pPr>
        <w:spacing w:before="0"/>
        <w:rPr>
          <w:sz w:val="22"/>
          <w:szCs w:val="22"/>
        </w:rPr>
      </w:pPr>
      <w:r w:rsidRPr="005A55CA">
        <w:rPr>
          <w:sz w:val="22"/>
          <w:szCs w:val="22"/>
        </w:rPr>
        <w:t xml:space="preserve">2) ei ole kinni peetud põhiteabedokumendis sätestatud </w:t>
      </w:r>
      <w:r>
        <w:rPr>
          <w:sz w:val="22"/>
          <w:szCs w:val="22"/>
        </w:rPr>
        <w:t>investeerimis</w:t>
      </w:r>
      <w:r w:rsidR="00D473FB">
        <w:rPr>
          <w:sz w:val="22"/>
          <w:szCs w:val="22"/>
        </w:rPr>
        <w:t>projekti</w:t>
      </w:r>
      <w:r>
        <w:rPr>
          <w:sz w:val="22"/>
          <w:szCs w:val="22"/>
        </w:rPr>
        <w:t xml:space="preserve"> </w:t>
      </w:r>
      <w:r w:rsidRPr="005A55CA">
        <w:rPr>
          <w:sz w:val="22"/>
          <w:szCs w:val="22"/>
        </w:rPr>
        <w:t>pakkumise tingimustest;</w:t>
      </w:r>
    </w:p>
    <w:p w14:paraId="199A7668" w14:textId="77777777" w:rsidR="00F85EE3" w:rsidRPr="005A55CA" w:rsidRDefault="00F85EE3" w:rsidP="00F85EE3">
      <w:pPr>
        <w:spacing w:before="0"/>
        <w:rPr>
          <w:sz w:val="22"/>
          <w:szCs w:val="22"/>
        </w:rPr>
      </w:pPr>
      <w:r w:rsidRPr="005A55CA">
        <w:rPr>
          <w:sz w:val="22"/>
          <w:szCs w:val="22"/>
        </w:rPr>
        <w:t>3) põhiteabedokumendis registreerimisel esitatud teave on osutunud olulisel määral ebaõigeks;</w:t>
      </w:r>
    </w:p>
    <w:p w14:paraId="55BD277B" w14:textId="78D14339" w:rsidR="00F85EE3" w:rsidRPr="005A55CA" w:rsidRDefault="00F85EE3" w:rsidP="00F85EE3">
      <w:pPr>
        <w:spacing w:before="0"/>
        <w:rPr>
          <w:sz w:val="22"/>
          <w:szCs w:val="22"/>
        </w:rPr>
      </w:pPr>
      <w:r w:rsidRPr="005A55CA">
        <w:rPr>
          <w:sz w:val="22"/>
          <w:szCs w:val="22"/>
        </w:rPr>
        <w:t xml:space="preserve">4) esinevad muud asjaolud, millest tulenevalt Finantsinspektsioonil on põhjendatud kahtlus </w:t>
      </w:r>
      <w:r>
        <w:rPr>
          <w:sz w:val="22"/>
          <w:szCs w:val="22"/>
        </w:rPr>
        <w:t>teenuseosutaja või rahastuse taotleja</w:t>
      </w:r>
      <w:r w:rsidRPr="005A55CA">
        <w:rPr>
          <w:sz w:val="22"/>
          <w:szCs w:val="22"/>
        </w:rPr>
        <w:t xml:space="preserve">poolsete </w:t>
      </w:r>
      <w:r w:rsidR="00D473FB">
        <w:rPr>
          <w:sz w:val="22"/>
          <w:szCs w:val="22"/>
        </w:rPr>
        <w:t xml:space="preserve">investeerimisprojektis osundatud </w:t>
      </w:r>
      <w:r w:rsidRPr="005A55CA">
        <w:rPr>
          <w:sz w:val="22"/>
          <w:szCs w:val="22"/>
        </w:rPr>
        <w:t>kohustuste täitmise kohta.</w:t>
      </w:r>
    </w:p>
    <w:p w14:paraId="54A08042" w14:textId="77777777" w:rsidR="00F85EE3" w:rsidRPr="005A55CA" w:rsidRDefault="00F85EE3" w:rsidP="00F85EE3">
      <w:pPr>
        <w:spacing w:before="0"/>
        <w:rPr>
          <w:sz w:val="22"/>
          <w:szCs w:val="22"/>
        </w:rPr>
      </w:pPr>
      <w:r w:rsidRPr="005A55CA">
        <w:rPr>
          <w:sz w:val="22"/>
          <w:szCs w:val="22"/>
        </w:rPr>
        <w:t xml:space="preserve"> </w:t>
      </w:r>
    </w:p>
    <w:p w14:paraId="6355AA13" w14:textId="77F30D43" w:rsidR="006E7AB3" w:rsidRDefault="00F85EE3" w:rsidP="00F85EE3">
      <w:pPr>
        <w:spacing w:before="0"/>
        <w:rPr>
          <w:sz w:val="22"/>
          <w:szCs w:val="22"/>
        </w:rPr>
      </w:pPr>
      <w:r w:rsidRPr="005A55CA">
        <w:rPr>
          <w:b/>
          <w:sz w:val="22"/>
          <w:szCs w:val="22"/>
        </w:rPr>
        <w:t xml:space="preserve">Lõike 2 </w:t>
      </w:r>
      <w:r w:rsidRPr="005A55CA">
        <w:rPr>
          <w:sz w:val="22"/>
          <w:szCs w:val="22"/>
        </w:rPr>
        <w:t xml:space="preserve">järgi kohustab Finantsinspektsioon </w:t>
      </w:r>
      <w:r>
        <w:rPr>
          <w:sz w:val="22"/>
          <w:szCs w:val="22"/>
        </w:rPr>
        <w:t>teenuseosutajat või rahastuse taotlejat</w:t>
      </w:r>
      <w:r w:rsidRPr="005A55CA">
        <w:rPr>
          <w:sz w:val="22"/>
          <w:szCs w:val="22"/>
        </w:rPr>
        <w:t xml:space="preserve"> pakkumise peatamisel oma ettekirjutusega kõrvaldama pakkumise peatamise aluseks olnud asjaolud. Sama lõike lause 2 kohaselt võib nimetatud asjaolude kõrvaldamisel </w:t>
      </w:r>
      <w:r>
        <w:rPr>
          <w:sz w:val="22"/>
          <w:szCs w:val="22"/>
        </w:rPr>
        <w:t>teenuseosutaja või rahastuse taotleja</w:t>
      </w:r>
      <w:r w:rsidR="00D473FB">
        <w:rPr>
          <w:sz w:val="22"/>
          <w:szCs w:val="22"/>
        </w:rPr>
        <w:t xml:space="preserve"> </w:t>
      </w:r>
      <w:r w:rsidRPr="005A55CA">
        <w:rPr>
          <w:sz w:val="22"/>
          <w:szCs w:val="22"/>
        </w:rPr>
        <w:t xml:space="preserve">Finantsinspektsiooni loal pakkumist jätkata. </w:t>
      </w:r>
    </w:p>
    <w:p w14:paraId="59BF4FA8" w14:textId="77777777" w:rsidR="006E7AB3" w:rsidRDefault="006E7AB3" w:rsidP="00F85EE3">
      <w:pPr>
        <w:spacing w:before="0"/>
        <w:rPr>
          <w:sz w:val="22"/>
          <w:szCs w:val="22"/>
        </w:rPr>
      </w:pPr>
    </w:p>
    <w:p w14:paraId="2C65575E" w14:textId="7FE1AEC9" w:rsidR="00F85EE3" w:rsidRDefault="006E7AB3" w:rsidP="00F85EE3">
      <w:pPr>
        <w:spacing w:before="0"/>
        <w:rPr>
          <w:sz w:val="22"/>
          <w:szCs w:val="22"/>
        </w:rPr>
      </w:pPr>
      <w:r>
        <w:rPr>
          <w:b/>
          <w:bCs/>
          <w:sz w:val="22"/>
          <w:szCs w:val="22"/>
        </w:rPr>
        <w:t xml:space="preserve">Lõike 3 </w:t>
      </w:r>
      <w:r>
        <w:rPr>
          <w:sz w:val="22"/>
          <w:szCs w:val="22"/>
        </w:rPr>
        <w:t>järgi võib r</w:t>
      </w:r>
      <w:r w:rsidR="00F85EE3" w:rsidRPr="0054152C">
        <w:rPr>
          <w:sz w:val="22"/>
          <w:szCs w:val="22"/>
        </w:rPr>
        <w:t>ahastuse taotleja või teenuse osutaja pakkumise peatada</w:t>
      </w:r>
      <w:r>
        <w:rPr>
          <w:sz w:val="22"/>
          <w:szCs w:val="22"/>
        </w:rPr>
        <w:t xml:space="preserve"> omal algatusel</w:t>
      </w:r>
      <w:r w:rsidR="00F85EE3" w:rsidRPr="0054152C">
        <w:rPr>
          <w:sz w:val="22"/>
          <w:szCs w:val="22"/>
        </w:rPr>
        <w:t>, kui on saanud selleks Finantsinspektsiooni eelneva nõusoleku. Sarnaselt väärtpaberituru seaduses sätestatud regulatsioonile</w:t>
      </w:r>
      <w:r w:rsidR="00F85EE3" w:rsidRPr="001100B2">
        <w:rPr>
          <w:sz w:val="22"/>
          <w:szCs w:val="22"/>
        </w:rPr>
        <w:t xml:space="preserve"> tuleb investeerimis</w:t>
      </w:r>
      <w:r>
        <w:rPr>
          <w:sz w:val="22"/>
          <w:szCs w:val="22"/>
        </w:rPr>
        <w:t>projekti</w:t>
      </w:r>
      <w:r w:rsidR="00F85EE3" w:rsidRPr="001100B2">
        <w:rPr>
          <w:sz w:val="22"/>
          <w:szCs w:val="22"/>
        </w:rPr>
        <w:t xml:space="preserve"> pakkumise peatamiseks saada Finantsinspektsiooni nõusolek. </w:t>
      </w:r>
    </w:p>
    <w:p w14:paraId="46D5807F" w14:textId="77777777" w:rsidR="00F85EE3" w:rsidRDefault="00F85EE3" w:rsidP="00F85EE3">
      <w:pPr>
        <w:spacing w:before="0"/>
        <w:rPr>
          <w:sz w:val="22"/>
          <w:szCs w:val="22"/>
        </w:rPr>
      </w:pPr>
    </w:p>
    <w:p w14:paraId="07AF6FB1" w14:textId="20320A46" w:rsidR="00F85EE3" w:rsidRPr="005A55CA" w:rsidRDefault="00F85EE3" w:rsidP="00F85EE3">
      <w:pPr>
        <w:spacing w:before="0"/>
        <w:rPr>
          <w:sz w:val="22"/>
          <w:szCs w:val="22"/>
        </w:rPr>
      </w:pPr>
      <w:r w:rsidRPr="005A55CA">
        <w:rPr>
          <w:sz w:val="22"/>
          <w:szCs w:val="22"/>
        </w:rPr>
        <w:t>Finantsinspektsiooni ettekirjutuse saamisel tuleb investeerimis</w:t>
      </w:r>
      <w:r w:rsidR="006E7AB3">
        <w:rPr>
          <w:sz w:val="22"/>
          <w:szCs w:val="22"/>
        </w:rPr>
        <w:t>projekti</w:t>
      </w:r>
      <w:r w:rsidRPr="005A55CA">
        <w:rPr>
          <w:sz w:val="22"/>
          <w:szCs w:val="22"/>
        </w:rPr>
        <w:t xml:space="preserve"> pakkumine peatada ettekirjutuses toodud tähtajaks, kuid mitte kauemaks kui 10 järjestikuseks tööpäevaks. Lisaks, kui Finantsinspektsiooni ettekirjutuses toodud tähtaja möödumisel ei jätka</w:t>
      </w:r>
      <w:r>
        <w:rPr>
          <w:sz w:val="22"/>
          <w:szCs w:val="22"/>
        </w:rPr>
        <w:t xml:space="preserve"> </w:t>
      </w:r>
      <w:r w:rsidR="006E7AB3">
        <w:rPr>
          <w:sz w:val="22"/>
          <w:szCs w:val="22"/>
        </w:rPr>
        <w:t>te</w:t>
      </w:r>
      <w:r>
        <w:rPr>
          <w:sz w:val="22"/>
          <w:szCs w:val="22"/>
        </w:rPr>
        <w:t>enuseosutaja või rahastuse taotleja investeerimis</w:t>
      </w:r>
      <w:r w:rsidR="006E7AB3">
        <w:rPr>
          <w:sz w:val="22"/>
          <w:szCs w:val="22"/>
        </w:rPr>
        <w:t>projekti</w:t>
      </w:r>
      <w:r>
        <w:rPr>
          <w:sz w:val="22"/>
          <w:szCs w:val="22"/>
        </w:rPr>
        <w:t xml:space="preserve"> </w:t>
      </w:r>
      <w:r w:rsidRPr="005A55CA">
        <w:rPr>
          <w:sz w:val="22"/>
          <w:szCs w:val="22"/>
        </w:rPr>
        <w:t xml:space="preserve">pakkumist, siis on </w:t>
      </w:r>
      <w:r>
        <w:rPr>
          <w:sz w:val="22"/>
          <w:szCs w:val="22"/>
        </w:rPr>
        <w:t xml:space="preserve">teenuseosutaja või rahastuse taotleja </w:t>
      </w:r>
      <w:r w:rsidRPr="005A55CA">
        <w:rPr>
          <w:sz w:val="22"/>
          <w:szCs w:val="22"/>
        </w:rPr>
        <w:t xml:space="preserve">kohustatud 10 tööpäeva jooksul pakkumise tühistama </w:t>
      </w:r>
      <w:r>
        <w:rPr>
          <w:sz w:val="22"/>
          <w:szCs w:val="22"/>
        </w:rPr>
        <w:t>ja</w:t>
      </w:r>
      <w:r w:rsidRPr="005A55CA">
        <w:rPr>
          <w:sz w:val="22"/>
          <w:szCs w:val="22"/>
        </w:rPr>
        <w:t xml:space="preserve"> tagastama </w:t>
      </w:r>
      <w:r w:rsidR="004A5F19">
        <w:rPr>
          <w:sz w:val="22"/>
          <w:szCs w:val="22"/>
        </w:rPr>
        <w:t>kliendile</w:t>
      </w:r>
      <w:r w:rsidRPr="005A55CA">
        <w:rPr>
          <w:sz w:val="22"/>
          <w:szCs w:val="22"/>
        </w:rPr>
        <w:t xml:space="preserve"> tema vara (</w:t>
      </w:r>
      <w:r w:rsidRPr="005A55CA">
        <w:rPr>
          <w:b/>
          <w:sz w:val="22"/>
          <w:szCs w:val="22"/>
        </w:rPr>
        <w:t>lõige 4</w:t>
      </w:r>
      <w:r w:rsidRPr="005A55CA">
        <w:rPr>
          <w:sz w:val="22"/>
          <w:szCs w:val="22"/>
        </w:rPr>
        <w:t>).</w:t>
      </w:r>
    </w:p>
    <w:p w14:paraId="705C8DD3" w14:textId="77777777" w:rsidR="00F85EE3" w:rsidRPr="005A55CA" w:rsidRDefault="00F85EE3" w:rsidP="00F85EE3">
      <w:pPr>
        <w:spacing w:before="0"/>
        <w:rPr>
          <w:sz w:val="22"/>
          <w:szCs w:val="22"/>
        </w:rPr>
      </w:pPr>
    </w:p>
    <w:p w14:paraId="3213821C" w14:textId="06C71545" w:rsidR="00AF4D3E" w:rsidRDefault="00F85EE3" w:rsidP="00C815CD">
      <w:pPr>
        <w:spacing w:before="0"/>
        <w:rPr>
          <w:sz w:val="22"/>
          <w:szCs w:val="22"/>
        </w:rPr>
      </w:pPr>
      <w:r w:rsidRPr="005A55CA">
        <w:rPr>
          <w:b/>
          <w:sz w:val="22"/>
          <w:szCs w:val="22"/>
        </w:rPr>
        <w:t xml:space="preserve">Lõige 5 </w:t>
      </w:r>
      <w:r w:rsidRPr="005A55CA">
        <w:rPr>
          <w:sz w:val="22"/>
          <w:szCs w:val="22"/>
        </w:rPr>
        <w:t xml:space="preserve">käsitleb pakkumise peatamisest </w:t>
      </w:r>
      <w:r>
        <w:rPr>
          <w:sz w:val="22"/>
          <w:szCs w:val="22"/>
        </w:rPr>
        <w:t xml:space="preserve">või lõpetamisest </w:t>
      </w:r>
      <w:r w:rsidRPr="005A55CA">
        <w:rPr>
          <w:sz w:val="22"/>
          <w:szCs w:val="22"/>
        </w:rPr>
        <w:t xml:space="preserve">teavitamist. Esimese lause kohaselt tuleb </w:t>
      </w:r>
      <w:r>
        <w:rPr>
          <w:sz w:val="22"/>
          <w:szCs w:val="22"/>
        </w:rPr>
        <w:t>teenuseosutajal või rahastuse taotlejal</w:t>
      </w:r>
      <w:r w:rsidRPr="005A55CA">
        <w:rPr>
          <w:sz w:val="22"/>
          <w:szCs w:val="22"/>
        </w:rPr>
        <w:t xml:space="preserve"> viivitamata teavitada </w:t>
      </w:r>
      <w:r>
        <w:rPr>
          <w:sz w:val="22"/>
          <w:szCs w:val="22"/>
        </w:rPr>
        <w:t>investeerimis</w:t>
      </w:r>
      <w:r w:rsidR="006E7AB3">
        <w:rPr>
          <w:sz w:val="22"/>
          <w:szCs w:val="22"/>
        </w:rPr>
        <w:t>projekti</w:t>
      </w:r>
      <w:r>
        <w:rPr>
          <w:sz w:val="22"/>
          <w:szCs w:val="22"/>
        </w:rPr>
        <w:t xml:space="preserve"> </w:t>
      </w:r>
      <w:r w:rsidRPr="005A55CA">
        <w:rPr>
          <w:sz w:val="22"/>
          <w:szCs w:val="22"/>
        </w:rPr>
        <w:t xml:space="preserve">pakkumise peatamisest ja selle jätkamisest või tühistamisest vähemalt oma veebilehel. Lisaks sellele avalikustab Finantsinspektsioon </w:t>
      </w:r>
      <w:r>
        <w:rPr>
          <w:sz w:val="22"/>
          <w:szCs w:val="22"/>
        </w:rPr>
        <w:t>investeerimis</w:t>
      </w:r>
      <w:r w:rsidR="006E7AB3">
        <w:rPr>
          <w:sz w:val="22"/>
          <w:szCs w:val="22"/>
        </w:rPr>
        <w:t>projekti</w:t>
      </w:r>
      <w:r>
        <w:rPr>
          <w:sz w:val="22"/>
          <w:szCs w:val="22"/>
        </w:rPr>
        <w:t xml:space="preserve"> </w:t>
      </w:r>
      <w:r w:rsidRPr="005A55CA">
        <w:rPr>
          <w:sz w:val="22"/>
          <w:szCs w:val="22"/>
        </w:rPr>
        <w:t>pakkumise peatamise aluseks oleva ettekirjutuse ja pakkumise peatamiseks antud nõusoleku oma veebilehel</w:t>
      </w:r>
      <w:r w:rsidR="006E7AB3">
        <w:rPr>
          <w:sz w:val="22"/>
          <w:szCs w:val="22"/>
        </w:rPr>
        <w:t xml:space="preserve"> (</w:t>
      </w:r>
      <w:r w:rsidR="006E7AB3">
        <w:rPr>
          <w:b/>
          <w:bCs/>
          <w:sz w:val="22"/>
          <w:szCs w:val="22"/>
        </w:rPr>
        <w:t>lõige 6</w:t>
      </w:r>
      <w:r w:rsidR="006E7AB3">
        <w:rPr>
          <w:sz w:val="22"/>
          <w:szCs w:val="22"/>
        </w:rPr>
        <w:t>)</w:t>
      </w:r>
      <w:r w:rsidRPr="005A55CA">
        <w:rPr>
          <w:sz w:val="22"/>
          <w:szCs w:val="22"/>
        </w:rPr>
        <w:t>.</w:t>
      </w:r>
    </w:p>
    <w:p w14:paraId="07885442" w14:textId="77777777" w:rsidR="006E7AB3" w:rsidRDefault="006E7AB3" w:rsidP="006E7AB3">
      <w:pPr>
        <w:spacing w:before="0"/>
        <w:rPr>
          <w:b/>
          <w:sz w:val="22"/>
          <w:szCs w:val="22"/>
        </w:rPr>
      </w:pPr>
    </w:p>
    <w:p w14:paraId="72988997" w14:textId="77777777" w:rsidR="003057ED" w:rsidRDefault="003057ED" w:rsidP="003057ED">
      <w:pPr>
        <w:spacing w:before="0"/>
        <w:rPr>
          <w:sz w:val="22"/>
          <w:szCs w:val="22"/>
        </w:rPr>
      </w:pPr>
      <w:r w:rsidRPr="00C254A8">
        <w:rPr>
          <w:b/>
          <w:sz w:val="22"/>
          <w:szCs w:val="22"/>
        </w:rPr>
        <w:t xml:space="preserve">Seaduse </w:t>
      </w:r>
      <w:r>
        <w:rPr>
          <w:b/>
          <w:sz w:val="22"/>
          <w:szCs w:val="22"/>
        </w:rPr>
        <w:t>8</w:t>
      </w:r>
      <w:r w:rsidRPr="00C254A8">
        <w:rPr>
          <w:b/>
          <w:sz w:val="22"/>
          <w:szCs w:val="22"/>
        </w:rPr>
        <w:t>. peatükk</w:t>
      </w:r>
      <w:r>
        <w:rPr>
          <w:sz w:val="22"/>
          <w:szCs w:val="22"/>
        </w:rPr>
        <w:t xml:space="preserve"> kehtestab nõuded kapitalile, omavahenditele ja vara hoidmisele.</w:t>
      </w:r>
    </w:p>
    <w:p w14:paraId="60E36D8D" w14:textId="77777777" w:rsidR="003057ED" w:rsidRPr="005A55CA" w:rsidRDefault="003057ED" w:rsidP="003057ED">
      <w:pPr>
        <w:spacing w:before="0"/>
        <w:rPr>
          <w:sz w:val="22"/>
          <w:szCs w:val="22"/>
        </w:rPr>
      </w:pPr>
    </w:p>
    <w:p w14:paraId="0FEE9244" w14:textId="77777777" w:rsidR="003057ED" w:rsidRPr="005A55CA" w:rsidRDefault="003057ED" w:rsidP="003057ED">
      <w:pPr>
        <w:pStyle w:val="Normal2"/>
        <w:rPr>
          <w:szCs w:val="22"/>
        </w:rPr>
      </w:pPr>
      <w:r w:rsidRPr="005A55CA">
        <w:rPr>
          <w:b/>
          <w:szCs w:val="22"/>
        </w:rPr>
        <w:t xml:space="preserve">Paragrahv </w:t>
      </w:r>
      <w:r>
        <w:rPr>
          <w:b/>
          <w:szCs w:val="22"/>
        </w:rPr>
        <w:t>72</w:t>
      </w:r>
      <w:r w:rsidRPr="005A55CA">
        <w:rPr>
          <w:szCs w:val="22"/>
        </w:rPr>
        <w:t xml:space="preserve"> sätestab </w:t>
      </w:r>
      <w:r>
        <w:rPr>
          <w:szCs w:val="22"/>
        </w:rPr>
        <w:t>teenuseosutajatele kohalduvad kapitali</w:t>
      </w:r>
      <w:r w:rsidRPr="005A55CA">
        <w:rPr>
          <w:szCs w:val="22"/>
        </w:rPr>
        <w:t>nõuded.</w:t>
      </w:r>
    </w:p>
    <w:p w14:paraId="4E6DFE96" w14:textId="77777777" w:rsidR="003057ED" w:rsidRPr="005A55CA" w:rsidRDefault="003057ED" w:rsidP="003057ED">
      <w:pPr>
        <w:spacing w:before="0"/>
        <w:rPr>
          <w:rFonts w:eastAsiaTheme="majorEastAsia"/>
          <w:sz w:val="22"/>
          <w:szCs w:val="22"/>
          <w:lang w:eastAsia="en-US"/>
        </w:rPr>
      </w:pPr>
    </w:p>
    <w:p w14:paraId="6CCCB00F" w14:textId="77777777" w:rsidR="003057ED" w:rsidRDefault="003057ED" w:rsidP="003057ED">
      <w:pPr>
        <w:spacing w:before="0"/>
        <w:rPr>
          <w:sz w:val="22"/>
          <w:szCs w:val="22"/>
        </w:rPr>
      </w:pPr>
      <w:r w:rsidRPr="005A55CA">
        <w:rPr>
          <w:b/>
          <w:sz w:val="22"/>
          <w:szCs w:val="22"/>
        </w:rPr>
        <w:t>Lõikega 1</w:t>
      </w:r>
      <w:r w:rsidRPr="005A55CA">
        <w:rPr>
          <w:sz w:val="22"/>
          <w:szCs w:val="22"/>
        </w:rPr>
        <w:t xml:space="preserve"> nähakse ette, et </w:t>
      </w:r>
      <w:proofErr w:type="spellStart"/>
      <w:r>
        <w:rPr>
          <w:sz w:val="22"/>
          <w:szCs w:val="22"/>
        </w:rPr>
        <w:t>ühisrahastus</w:t>
      </w:r>
      <w:r w:rsidRPr="005A55CA">
        <w:rPr>
          <w:sz w:val="22"/>
          <w:szCs w:val="22"/>
        </w:rPr>
        <w:t>teenuse</w:t>
      </w:r>
      <w:proofErr w:type="spellEnd"/>
      <w:r>
        <w:rPr>
          <w:sz w:val="22"/>
          <w:szCs w:val="22"/>
        </w:rPr>
        <w:t xml:space="preserve"> </w:t>
      </w:r>
      <w:r w:rsidRPr="005A55CA">
        <w:rPr>
          <w:sz w:val="22"/>
          <w:szCs w:val="22"/>
        </w:rPr>
        <w:t xml:space="preserve">osutaja osa- või aktsiakapital peab olema vähemalt 25 000 eurot. Suuruse määramisel on võetud aluseks esiteks </w:t>
      </w:r>
      <w:r>
        <w:rPr>
          <w:sz w:val="22"/>
          <w:szCs w:val="22"/>
        </w:rPr>
        <w:t xml:space="preserve">EL </w:t>
      </w:r>
      <w:proofErr w:type="spellStart"/>
      <w:r w:rsidRPr="005A55CA">
        <w:rPr>
          <w:sz w:val="22"/>
          <w:szCs w:val="22"/>
        </w:rPr>
        <w:t>ühisrahastusmäärus</w:t>
      </w:r>
      <w:proofErr w:type="spellEnd"/>
      <w:r w:rsidRPr="005A55CA">
        <w:rPr>
          <w:sz w:val="22"/>
          <w:szCs w:val="22"/>
        </w:rPr>
        <w:t xml:space="preserve">, tagamaks, et algkapital ja nõutavate miinimum omavahendite suurusjärk oleks sama. Samuti peab äriseadustiku kohaselt olema </w:t>
      </w:r>
      <w:r>
        <w:rPr>
          <w:sz w:val="22"/>
          <w:szCs w:val="22"/>
        </w:rPr>
        <w:t>aktsiaseltsi</w:t>
      </w:r>
      <w:r w:rsidRPr="005A55CA">
        <w:rPr>
          <w:sz w:val="22"/>
          <w:szCs w:val="22"/>
        </w:rPr>
        <w:t xml:space="preserve"> aktsiakapital vähemalt 25</w:t>
      </w:r>
      <w:r>
        <w:rPr>
          <w:sz w:val="22"/>
          <w:szCs w:val="22"/>
        </w:rPr>
        <w:t xml:space="preserve"> </w:t>
      </w:r>
      <w:r w:rsidRPr="005A55CA">
        <w:rPr>
          <w:sz w:val="22"/>
          <w:szCs w:val="22"/>
        </w:rPr>
        <w:t>000 eurot.</w:t>
      </w:r>
    </w:p>
    <w:p w14:paraId="038B1B0D" w14:textId="77777777" w:rsidR="003057ED" w:rsidRDefault="003057ED" w:rsidP="003057ED">
      <w:pPr>
        <w:spacing w:before="0"/>
        <w:rPr>
          <w:sz w:val="22"/>
          <w:szCs w:val="22"/>
        </w:rPr>
      </w:pPr>
    </w:p>
    <w:p w14:paraId="0A996EE8" w14:textId="77777777" w:rsidR="003057ED" w:rsidRPr="005A55CA" w:rsidRDefault="003057ED" w:rsidP="003057ED">
      <w:pPr>
        <w:spacing w:before="0"/>
        <w:rPr>
          <w:sz w:val="22"/>
          <w:szCs w:val="22"/>
        </w:rPr>
      </w:pPr>
      <w:r>
        <w:rPr>
          <w:b/>
          <w:sz w:val="22"/>
          <w:szCs w:val="22"/>
        </w:rPr>
        <w:t xml:space="preserve">Lõikes 2 </w:t>
      </w:r>
      <w:r>
        <w:rPr>
          <w:sz w:val="22"/>
          <w:szCs w:val="22"/>
        </w:rPr>
        <w:t xml:space="preserve">on sätestatud kapitalinõuded </w:t>
      </w:r>
      <w:proofErr w:type="spellStart"/>
      <w:r>
        <w:rPr>
          <w:sz w:val="22"/>
          <w:szCs w:val="22"/>
        </w:rPr>
        <w:t>krüptovarateenuse</w:t>
      </w:r>
      <w:proofErr w:type="spellEnd"/>
      <w:r>
        <w:rPr>
          <w:sz w:val="22"/>
          <w:szCs w:val="22"/>
        </w:rPr>
        <w:t xml:space="preserve"> osutajatele. Punkti 1 kohaselt peab osa- või aktsiakapital olema vähemalt 50 000 eurot, kui </w:t>
      </w:r>
      <w:proofErr w:type="spellStart"/>
      <w:r>
        <w:rPr>
          <w:sz w:val="22"/>
          <w:szCs w:val="22"/>
        </w:rPr>
        <w:t>krüptovarateenuse</w:t>
      </w:r>
      <w:proofErr w:type="spellEnd"/>
      <w:r>
        <w:rPr>
          <w:sz w:val="22"/>
          <w:szCs w:val="22"/>
        </w:rPr>
        <w:t xml:space="preserve"> osutaja tegeleb </w:t>
      </w:r>
      <w:proofErr w:type="spellStart"/>
      <w:r>
        <w:rPr>
          <w:sz w:val="22"/>
          <w:szCs w:val="22"/>
        </w:rPr>
        <w:t>krüptovara</w:t>
      </w:r>
      <w:proofErr w:type="spellEnd"/>
      <w:r>
        <w:rPr>
          <w:sz w:val="22"/>
          <w:szCs w:val="22"/>
        </w:rPr>
        <w:t xml:space="preserve"> pakkumisega, </w:t>
      </w:r>
      <w:proofErr w:type="spellStart"/>
      <w:r>
        <w:rPr>
          <w:sz w:val="22"/>
          <w:szCs w:val="22"/>
        </w:rPr>
        <w:t>krüptovaraga</w:t>
      </w:r>
      <w:proofErr w:type="spellEnd"/>
      <w:r>
        <w:rPr>
          <w:sz w:val="22"/>
          <w:szCs w:val="22"/>
        </w:rPr>
        <w:t xml:space="preserve"> seotud korralduste vastuvõtmise, täitmise ja edastamisega kolmandate isikute nimel, </w:t>
      </w:r>
      <w:proofErr w:type="spellStart"/>
      <w:r>
        <w:rPr>
          <w:sz w:val="22"/>
          <w:szCs w:val="22"/>
        </w:rPr>
        <w:t>krüptovara</w:t>
      </w:r>
      <w:proofErr w:type="spellEnd"/>
      <w:r>
        <w:rPr>
          <w:sz w:val="22"/>
          <w:szCs w:val="22"/>
        </w:rPr>
        <w:t xml:space="preserve"> kohta nõu andmise või </w:t>
      </w:r>
      <w:proofErr w:type="spellStart"/>
      <w:r>
        <w:rPr>
          <w:sz w:val="22"/>
          <w:szCs w:val="22"/>
        </w:rPr>
        <w:t>krüptovaraportfelli</w:t>
      </w:r>
      <w:proofErr w:type="spellEnd"/>
      <w:r>
        <w:rPr>
          <w:sz w:val="22"/>
          <w:szCs w:val="22"/>
        </w:rPr>
        <w:t xml:space="preserve"> valitsemisega. Sama lõike teise punkti kohaselt peab osa- või aktsiakapital olema vähemalt 125 000 eurot, kui osutatakse </w:t>
      </w:r>
      <w:proofErr w:type="spellStart"/>
      <w:r>
        <w:rPr>
          <w:sz w:val="22"/>
          <w:szCs w:val="22"/>
        </w:rPr>
        <w:t>krüptovara</w:t>
      </w:r>
      <w:proofErr w:type="spellEnd"/>
      <w:r>
        <w:rPr>
          <w:sz w:val="22"/>
          <w:szCs w:val="22"/>
        </w:rPr>
        <w:t xml:space="preserve"> hoidmist ja haldamist kolmandate isikute nimel või </w:t>
      </w:r>
      <w:proofErr w:type="spellStart"/>
      <w:r>
        <w:rPr>
          <w:sz w:val="22"/>
          <w:szCs w:val="22"/>
        </w:rPr>
        <w:t>krüptovara</w:t>
      </w:r>
      <w:proofErr w:type="spellEnd"/>
      <w:r>
        <w:rPr>
          <w:sz w:val="22"/>
          <w:szCs w:val="22"/>
        </w:rPr>
        <w:t xml:space="preserve"> vahetamist seaduslikuks maksevahendiks olevate rahaliste vahendite või muu </w:t>
      </w:r>
      <w:proofErr w:type="spellStart"/>
      <w:r>
        <w:rPr>
          <w:sz w:val="22"/>
          <w:szCs w:val="22"/>
        </w:rPr>
        <w:t>krüptovara</w:t>
      </w:r>
      <w:proofErr w:type="spellEnd"/>
      <w:r>
        <w:rPr>
          <w:sz w:val="22"/>
          <w:szCs w:val="22"/>
        </w:rPr>
        <w:t xml:space="preserve"> vastu.  Punktiga kolm sätestatakse, et </w:t>
      </w:r>
      <w:proofErr w:type="spellStart"/>
      <w:r>
        <w:rPr>
          <w:sz w:val="22"/>
          <w:szCs w:val="22"/>
        </w:rPr>
        <w:t>krüptovaraga</w:t>
      </w:r>
      <w:proofErr w:type="spellEnd"/>
      <w:r>
        <w:rPr>
          <w:sz w:val="22"/>
          <w:szCs w:val="22"/>
        </w:rPr>
        <w:t xml:space="preserve"> kauplemise platvormi korraldamise korral peab osa- või aktsiakapital olema vähemalt 150 000 eurot. </w:t>
      </w:r>
      <w:proofErr w:type="spellStart"/>
      <w:r w:rsidRPr="000F7CDB">
        <w:rPr>
          <w:sz w:val="22"/>
          <w:szCs w:val="22"/>
        </w:rPr>
        <w:t>Krüptovarateenuse</w:t>
      </w:r>
      <w:proofErr w:type="spellEnd"/>
      <w:r w:rsidRPr="000F7CDB">
        <w:rPr>
          <w:sz w:val="22"/>
          <w:szCs w:val="22"/>
        </w:rPr>
        <w:t xml:space="preserve"> osutaja</w:t>
      </w:r>
      <w:r>
        <w:rPr>
          <w:sz w:val="22"/>
          <w:szCs w:val="22"/>
        </w:rPr>
        <w:t>te</w:t>
      </w:r>
      <w:r w:rsidRPr="000F7CDB">
        <w:rPr>
          <w:sz w:val="22"/>
          <w:szCs w:val="22"/>
        </w:rPr>
        <w:t xml:space="preserve"> algkapitali</w:t>
      </w:r>
      <w:r>
        <w:rPr>
          <w:sz w:val="22"/>
          <w:szCs w:val="22"/>
        </w:rPr>
        <w:t xml:space="preserve"> </w:t>
      </w:r>
      <w:r w:rsidRPr="000F7CDB">
        <w:rPr>
          <w:sz w:val="22"/>
          <w:szCs w:val="22"/>
        </w:rPr>
        <w:t xml:space="preserve">nõuded on viidud kooskõlla </w:t>
      </w:r>
      <w:proofErr w:type="spellStart"/>
      <w:r w:rsidRPr="000F7CDB">
        <w:rPr>
          <w:sz w:val="22"/>
          <w:szCs w:val="22"/>
        </w:rPr>
        <w:t>MiCA</w:t>
      </w:r>
      <w:proofErr w:type="spellEnd"/>
      <w:r w:rsidRPr="000F7CDB">
        <w:rPr>
          <w:sz w:val="22"/>
          <w:szCs w:val="22"/>
        </w:rPr>
        <w:t xml:space="preserve"> ettepanekus sätestatud nõuetega.</w:t>
      </w:r>
    </w:p>
    <w:p w14:paraId="3B408210" w14:textId="77777777" w:rsidR="003057ED" w:rsidRPr="005A55CA" w:rsidRDefault="003057ED" w:rsidP="003057ED">
      <w:pPr>
        <w:spacing w:before="0"/>
        <w:rPr>
          <w:sz w:val="22"/>
          <w:szCs w:val="22"/>
        </w:rPr>
      </w:pPr>
      <w:r>
        <w:rPr>
          <w:sz w:val="22"/>
          <w:szCs w:val="22"/>
        </w:rPr>
        <w:lastRenderedPageBreak/>
        <w:t xml:space="preserve"> </w:t>
      </w:r>
    </w:p>
    <w:p w14:paraId="34CA7A1A" w14:textId="77777777" w:rsidR="003057ED" w:rsidRDefault="003057ED" w:rsidP="003057ED">
      <w:pPr>
        <w:spacing w:before="0"/>
        <w:rPr>
          <w:sz w:val="22"/>
          <w:szCs w:val="22"/>
        </w:rPr>
      </w:pPr>
      <w:r w:rsidRPr="005A55CA">
        <w:rPr>
          <w:b/>
          <w:sz w:val="22"/>
          <w:szCs w:val="22"/>
        </w:rPr>
        <w:t xml:space="preserve">Lõige </w:t>
      </w:r>
      <w:r>
        <w:rPr>
          <w:b/>
          <w:sz w:val="22"/>
          <w:szCs w:val="22"/>
        </w:rPr>
        <w:t>3</w:t>
      </w:r>
      <w:r>
        <w:rPr>
          <w:sz w:val="22"/>
          <w:szCs w:val="22"/>
        </w:rPr>
        <w:t xml:space="preserve"> sätestab, et</w:t>
      </w:r>
      <w:r>
        <w:rPr>
          <w:b/>
          <w:sz w:val="22"/>
          <w:szCs w:val="22"/>
        </w:rPr>
        <w:t xml:space="preserve"> </w:t>
      </w:r>
      <w:r w:rsidRPr="005A55CA">
        <w:rPr>
          <w:sz w:val="22"/>
          <w:szCs w:val="22"/>
        </w:rPr>
        <w:t xml:space="preserve">teenuseosutaja asutamisel uue äriühinguna võib osa- või aktsiakapitali sissemakse olla üksnes rahaline. </w:t>
      </w:r>
      <w:r>
        <w:rPr>
          <w:sz w:val="22"/>
          <w:szCs w:val="22"/>
        </w:rPr>
        <w:t xml:space="preserve">Lõige on täpsustus </w:t>
      </w:r>
      <w:r w:rsidRPr="005A55CA">
        <w:rPr>
          <w:sz w:val="22"/>
          <w:szCs w:val="22"/>
        </w:rPr>
        <w:t>äriseadustiku § 140 lõike</w:t>
      </w:r>
      <w:r>
        <w:rPr>
          <w:sz w:val="22"/>
          <w:szCs w:val="22"/>
        </w:rPr>
        <w:t>le</w:t>
      </w:r>
      <w:r w:rsidRPr="005A55CA">
        <w:rPr>
          <w:sz w:val="22"/>
          <w:szCs w:val="22"/>
        </w:rPr>
        <w:t xml:space="preserve"> 1 ja § 246 lõike</w:t>
      </w:r>
      <w:r>
        <w:rPr>
          <w:sz w:val="22"/>
          <w:szCs w:val="22"/>
        </w:rPr>
        <w:t>le</w:t>
      </w:r>
      <w:r w:rsidRPr="005A55CA">
        <w:rPr>
          <w:sz w:val="22"/>
          <w:szCs w:val="22"/>
        </w:rPr>
        <w:t xml:space="preserve"> 1</w:t>
      </w:r>
      <w:r>
        <w:rPr>
          <w:sz w:val="22"/>
          <w:szCs w:val="22"/>
        </w:rPr>
        <w:t>, mille</w:t>
      </w:r>
      <w:r w:rsidRPr="005A55CA">
        <w:rPr>
          <w:sz w:val="22"/>
          <w:szCs w:val="22"/>
        </w:rPr>
        <w:t xml:space="preserve"> kohaselt võib osa või aktsia sissemakse olla</w:t>
      </w:r>
      <w:r>
        <w:rPr>
          <w:sz w:val="22"/>
          <w:szCs w:val="22"/>
        </w:rPr>
        <w:t xml:space="preserve"> rahaline või mitterahaline.</w:t>
      </w:r>
    </w:p>
    <w:p w14:paraId="56BB0C90" w14:textId="77777777" w:rsidR="003057ED" w:rsidRPr="005A55CA" w:rsidRDefault="003057ED" w:rsidP="003057ED">
      <w:pPr>
        <w:spacing w:before="0"/>
        <w:rPr>
          <w:sz w:val="22"/>
          <w:szCs w:val="22"/>
        </w:rPr>
      </w:pPr>
    </w:p>
    <w:p w14:paraId="60DDD756" w14:textId="77777777" w:rsidR="003057ED" w:rsidRPr="005A55CA" w:rsidRDefault="003057ED" w:rsidP="003057ED">
      <w:pPr>
        <w:spacing w:before="0"/>
        <w:rPr>
          <w:sz w:val="22"/>
          <w:szCs w:val="22"/>
        </w:rPr>
      </w:pPr>
      <w:r w:rsidRPr="005A55CA">
        <w:rPr>
          <w:b/>
          <w:sz w:val="22"/>
          <w:szCs w:val="22"/>
        </w:rPr>
        <w:t xml:space="preserve">Paragrahv </w:t>
      </w:r>
      <w:r>
        <w:rPr>
          <w:b/>
          <w:sz w:val="22"/>
          <w:szCs w:val="22"/>
        </w:rPr>
        <w:t>73</w:t>
      </w:r>
      <w:r w:rsidRPr="005A55CA">
        <w:rPr>
          <w:b/>
          <w:sz w:val="22"/>
          <w:szCs w:val="22"/>
        </w:rPr>
        <w:t xml:space="preserve"> </w:t>
      </w:r>
      <w:r w:rsidRPr="005A55CA">
        <w:rPr>
          <w:sz w:val="22"/>
          <w:szCs w:val="22"/>
        </w:rPr>
        <w:t xml:space="preserve">näeb ette nõuded teenuseosutaja omavahenditele. Paragrahvi eesmärk on tagada teenuseosutaja piisavate vahendite olemasolu ning näha ette nõuded omavahendite miinimum suurusele. </w:t>
      </w:r>
    </w:p>
    <w:p w14:paraId="399AF514" w14:textId="77777777" w:rsidR="003057ED" w:rsidRPr="005A55CA" w:rsidRDefault="003057ED" w:rsidP="003057ED">
      <w:pPr>
        <w:spacing w:before="0"/>
        <w:rPr>
          <w:sz w:val="22"/>
          <w:szCs w:val="22"/>
        </w:rPr>
      </w:pPr>
    </w:p>
    <w:p w14:paraId="08B8DD41" w14:textId="77777777" w:rsidR="003057ED" w:rsidRPr="005A55CA" w:rsidRDefault="003057ED" w:rsidP="003057ED">
      <w:pPr>
        <w:spacing w:before="0"/>
        <w:rPr>
          <w:sz w:val="22"/>
          <w:szCs w:val="22"/>
        </w:rPr>
      </w:pPr>
      <w:r w:rsidRPr="005A55CA">
        <w:rPr>
          <w:b/>
          <w:sz w:val="22"/>
          <w:szCs w:val="22"/>
        </w:rPr>
        <w:t>Lõike 1</w:t>
      </w:r>
      <w:r w:rsidRPr="005A55CA">
        <w:rPr>
          <w:sz w:val="22"/>
          <w:szCs w:val="22"/>
        </w:rPr>
        <w:t xml:space="preserve"> kohaselt peab teenuseosutaja minimaalselt omama omavahendeid kas algkapitali </w:t>
      </w:r>
      <w:r>
        <w:rPr>
          <w:sz w:val="22"/>
          <w:szCs w:val="22"/>
        </w:rPr>
        <w:t xml:space="preserve">ulatuses </w:t>
      </w:r>
      <w:r w:rsidRPr="005A55CA">
        <w:rPr>
          <w:sz w:val="22"/>
          <w:szCs w:val="22"/>
        </w:rPr>
        <w:t>või s</w:t>
      </w:r>
      <w:r>
        <w:rPr>
          <w:sz w:val="22"/>
          <w:szCs w:val="22"/>
        </w:rPr>
        <w:t>ellises</w:t>
      </w:r>
      <w:r w:rsidRPr="005A55CA">
        <w:rPr>
          <w:sz w:val="22"/>
          <w:szCs w:val="22"/>
        </w:rPr>
        <w:t xml:space="preserve"> ulatuses, mis on </w:t>
      </w:r>
      <w:r>
        <w:rPr>
          <w:sz w:val="22"/>
          <w:szCs w:val="22"/>
        </w:rPr>
        <w:t xml:space="preserve">vähemalt </w:t>
      </w:r>
      <w:r w:rsidRPr="005A55CA">
        <w:rPr>
          <w:sz w:val="22"/>
          <w:szCs w:val="22"/>
        </w:rPr>
        <w:t>neljandik eelmise majandusaasta püsivatest üldkuludest. Omavahendite miinimum on kahest viidatud suurusest suure</w:t>
      </w:r>
      <w:r w:rsidRPr="00726B9E">
        <w:rPr>
          <w:sz w:val="22"/>
          <w:szCs w:val="22"/>
        </w:rPr>
        <w:t>m. Üldkulude arvutamise eeskirjad sätestatakse rahandusministri määruses (</w:t>
      </w:r>
      <w:r w:rsidRPr="00726B9E">
        <w:rPr>
          <w:b/>
          <w:sz w:val="22"/>
          <w:szCs w:val="22"/>
        </w:rPr>
        <w:t>lõige 5</w:t>
      </w:r>
      <w:r w:rsidRPr="00726B9E">
        <w:rPr>
          <w:sz w:val="22"/>
          <w:szCs w:val="22"/>
        </w:rPr>
        <w:t xml:space="preserve">). </w:t>
      </w:r>
      <w:r w:rsidRPr="00726B9E">
        <w:rPr>
          <w:b/>
          <w:sz w:val="22"/>
          <w:szCs w:val="22"/>
        </w:rPr>
        <w:t>Lõike</w:t>
      </w:r>
      <w:r w:rsidRPr="005A55CA">
        <w:rPr>
          <w:b/>
          <w:sz w:val="22"/>
          <w:szCs w:val="22"/>
        </w:rPr>
        <w:t xml:space="preserve"> 3</w:t>
      </w:r>
      <w:r w:rsidRPr="005A55CA">
        <w:rPr>
          <w:sz w:val="22"/>
          <w:szCs w:val="22"/>
        </w:rPr>
        <w:t xml:space="preserve"> kohaselt tuleb need üle vaadata igal aastal. Kui teenuseosutaja on tegutsenud alla aasta, siis võib ta kasutada ka prognoose, kuid peab kasutama hakkama varasemate perioodide andmeid kohe, kui need on kättesaadavad (</w:t>
      </w:r>
      <w:r w:rsidRPr="005A55CA">
        <w:rPr>
          <w:b/>
          <w:sz w:val="22"/>
          <w:szCs w:val="22"/>
        </w:rPr>
        <w:t>lõige 4</w:t>
      </w:r>
      <w:r w:rsidRPr="005A55CA">
        <w:rPr>
          <w:sz w:val="22"/>
          <w:szCs w:val="22"/>
        </w:rPr>
        <w:t>).</w:t>
      </w:r>
      <w:r>
        <w:rPr>
          <w:sz w:val="22"/>
          <w:szCs w:val="22"/>
        </w:rPr>
        <w:t xml:space="preserve"> </w:t>
      </w:r>
    </w:p>
    <w:p w14:paraId="370CCA0D" w14:textId="77777777" w:rsidR="003057ED" w:rsidRPr="005A55CA" w:rsidRDefault="003057ED" w:rsidP="003057ED">
      <w:pPr>
        <w:spacing w:before="0"/>
        <w:rPr>
          <w:sz w:val="22"/>
          <w:szCs w:val="22"/>
        </w:rPr>
      </w:pPr>
    </w:p>
    <w:p w14:paraId="00B01A7C" w14:textId="2D632BDF" w:rsidR="003057ED" w:rsidRPr="005A55CA" w:rsidRDefault="003057ED" w:rsidP="003057ED">
      <w:pPr>
        <w:spacing w:before="0"/>
        <w:rPr>
          <w:sz w:val="22"/>
          <w:szCs w:val="22"/>
        </w:rPr>
      </w:pPr>
      <w:r w:rsidRPr="005A55CA">
        <w:rPr>
          <w:b/>
          <w:sz w:val="22"/>
          <w:szCs w:val="22"/>
        </w:rPr>
        <w:t>Lõike 2</w:t>
      </w:r>
      <w:r w:rsidRPr="005A55CA">
        <w:rPr>
          <w:sz w:val="22"/>
          <w:szCs w:val="22"/>
        </w:rPr>
        <w:t xml:space="preserve"> kohaselt koosnevad teenuseosutaja omavahendid esimese taseme põhiomavahenditest vastavalt </w:t>
      </w:r>
      <w:r w:rsidRPr="00F46C48">
        <w:rPr>
          <w:sz w:val="22"/>
          <w:szCs w:val="22"/>
        </w:rPr>
        <w:t>Euroopa Parlamendi ja nõukogu määrus</w:t>
      </w:r>
      <w:r>
        <w:rPr>
          <w:sz w:val="22"/>
          <w:szCs w:val="22"/>
        </w:rPr>
        <w:t>es</w:t>
      </w:r>
      <w:r w:rsidRPr="00F46C48">
        <w:rPr>
          <w:sz w:val="22"/>
          <w:szCs w:val="22"/>
        </w:rPr>
        <w:t xml:space="preserve"> (</w:t>
      </w:r>
      <w:r>
        <w:rPr>
          <w:sz w:val="22"/>
          <w:szCs w:val="22"/>
        </w:rPr>
        <w:t>EL) nr 575/2013, 26. juuni 2013</w:t>
      </w:r>
      <w:r w:rsidRPr="00F46C48">
        <w:rPr>
          <w:sz w:val="22"/>
          <w:szCs w:val="22"/>
        </w:rPr>
        <w:t>, krediidiasutuste ja investeerimisühingute suhtes kohaldatavate usaldatavusnõuete kohta ja määruse (EL) nr 648/2012 muutmise kohta</w:t>
      </w:r>
      <w:r>
        <w:rPr>
          <w:sz w:val="22"/>
          <w:szCs w:val="22"/>
        </w:rPr>
        <w:t xml:space="preserve"> (</w:t>
      </w:r>
      <w:r w:rsidRPr="00F46C48">
        <w:rPr>
          <w:sz w:val="22"/>
          <w:szCs w:val="22"/>
        </w:rPr>
        <w:t>ELT L 176, 27.6.2013, lk 1—337</w:t>
      </w:r>
      <w:r>
        <w:rPr>
          <w:sz w:val="22"/>
          <w:szCs w:val="22"/>
        </w:rPr>
        <w:t>)</w:t>
      </w:r>
      <w:r w:rsidRPr="005A55CA">
        <w:rPr>
          <w:sz w:val="22"/>
          <w:szCs w:val="22"/>
        </w:rPr>
        <w:t xml:space="preserve"> sätestatule</w:t>
      </w:r>
      <w:r w:rsidR="009E5A2E">
        <w:rPr>
          <w:rStyle w:val="FootnoteReference"/>
          <w:sz w:val="22"/>
          <w:szCs w:val="22"/>
        </w:rPr>
        <w:footnoteReference w:id="52"/>
      </w:r>
      <w:r w:rsidRPr="005A55CA">
        <w:rPr>
          <w:sz w:val="22"/>
          <w:szCs w:val="22"/>
        </w:rPr>
        <w:t xml:space="preserve">. Esimese taseme põhiomavahendid on kapitaliinstrumendid (kui on täidetud määruses sätestatud tingimused) ja nende instrumentidega seotud ülekurss, jaotamata kasum, muu akumuleeritud koodkasum, muud reservid ja üldine reserv. </w:t>
      </w:r>
    </w:p>
    <w:p w14:paraId="7EF4BEA4" w14:textId="77777777" w:rsidR="003057ED" w:rsidRDefault="003057ED" w:rsidP="003057ED">
      <w:pPr>
        <w:spacing w:before="0"/>
        <w:rPr>
          <w:sz w:val="22"/>
          <w:szCs w:val="22"/>
        </w:rPr>
      </w:pPr>
    </w:p>
    <w:p w14:paraId="0E42913E" w14:textId="77777777" w:rsidR="003057ED" w:rsidRDefault="003057ED" w:rsidP="003057ED">
      <w:pPr>
        <w:spacing w:before="0"/>
        <w:rPr>
          <w:sz w:val="22"/>
          <w:szCs w:val="22"/>
        </w:rPr>
      </w:pPr>
      <w:r w:rsidRPr="00593E4C">
        <w:rPr>
          <w:sz w:val="22"/>
          <w:szCs w:val="22"/>
        </w:rPr>
        <w:t>Teenuseosutaja on kohustatud rakendama meetmeid, mis tagavad igal hetkel võimaluse omavahendite arvutamiseks piisava täpsusega</w:t>
      </w:r>
      <w:r>
        <w:rPr>
          <w:sz w:val="22"/>
          <w:szCs w:val="22"/>
        </w:rPr>
        <w:t xml:space="preserve"> (</w:t>
      </w:r>
      <w:r w:rsidRPr="00C254A8">
        <w:rPr>
          <w:b/>
          <w:sz w:val="22"/>
          <w:szCs w:val="22"/>
        </w:rPr>
        <w:t>lõige 6</w:t>
      </w:r>
      <w:r>
        <w:rPr>
          <w:sz w:val="22"/>
          <w:szCs w:val="22"/>
        </w:rPr>
        <w:t>)</w:t>
      </w:r>
      <w:r w:rsidRPr="00593E4C">
        <w:rPr>
          <w:sz w:val="22"/>
          <w:szCs w:val="22"/>
        </w:rPr>
        <w:t>.</w:t>
      </w:r>
    </w:p>
    <w:p w14:paraId="2ACAB9B0" w14:textId="77777777" w:rsidR="003057ED" w:rsidRPr="005A55CA" w:rsidRDefault="003057ED" w:rsidP="003057ED">
      <w:pPr>
        <w:spacing w:before="0"/>
        <w:rPr>
          <w:sz w:val="22"/>
          <w:szCs w:val="22"/>
        </w:rPr>
      </w:pPr>
    </w:p>
    <w:p w14:paraId="3E425753" w14:textId="77777777" w:rsidR="003057ED" w:rsidRPr="005A55CA" w:rsidRDefault="003057ED" w:rsidP="003057ED">
      <w:pPr>
        <w:pStyle w:val="Normal2"/>
        <w:rPr>
          <w:szCs w:val="22"/>
        </w:rPr>
      </w:pPr>
      <w:r w:rsidRPr="005A55CA">
        <w:rPr>
          <w:b/>
          <w:szCs w:val="22"/>
        </w:rPr>
        <w:t xml:space="preserve">Paragrahv </w:t>
      </w:r>
      <w:r>
        <w:rPr>
          <w:b/>
          <w:szCs w:val="22"/>
        </w:rPr>
        <w:t>74</w:t>
      </w:r>
      <w:r w:rsidRPr="005A55CA">
        <w:rPr>
          <w:szCs w:val="22"/>
        </w:rPr>
        <w:t xml:space="preserve"> sätestab kliendi vara hoidmise nõuded.</w:t>
      </w:r>
    </w:p>
    <w:p w14:paraId="121CE272" w14:textId="77777777" w:rsidR="003057ED" w:rsidRPr="005A55CA" w:rsidRDefault="003057ED" w:rsidP="003057ED">
      <w:pPr>
        <w:spacing w:before="0"/>
        <w:rPr>
          <w:sz w:val="22"/>
          <w:szCs w:val="22"/>
          <w:lang w:eastAsia="en-US"/>
        </w:rPr>
      </w:pPr>
    </w:p>
    <w:p w14:paraId="7927FA57" w14:textId="77777777" w:rsidR="003057ED" w:rsidRDefault="003057ED" w:rsidP="003057ED">
      <w:pPr>
        <w:spacing w:before="0"/>
        <w:rPr>
          <w:sz w:val="22"/>
          <w:szCs w:val="22"/>
        </w:rPr>
      </w:pPr>
      <w:r w:rsidRPr="005A55CA">
        <w:rPr>
          <w:b/>
          <w:sz w:val="22"/>
          <w:szCs w:val="22"/>
        </w:rPr>
        <w:t>Lõi</w:t>
      </w:r>
      <w:r>
        <w:rPr>
          <w:b/>
          <w:sz w:val="22"/>
          <w:szCs w:val="22"/>
        </w:rPr>
        <w:t>ke</w:t>
      </w:r>
      <w:r w:rsidRPr="005A55CA">
        <w:rPr>
          <w:b/>
          <w:sz w:val="22"/>
          <w:szCs w:val="22"/>
        </w:rPr>
        <w:t xml:space="preserve"> 1</w:t>
      </w:r>
      <w:r>
        <w:rPr>
          <w:b/>
          <w:sz w:val="22"/>
          <w:szCs w:val="22"/>
        </w:rPr>
        <w:t xml:space="preserve"> </w:t>
      </w:r>
      <w:r w:rsidRPr="00C254A8">
        <w:rPr>
          <w:sz w:val="22"/>
          <w:szCs w:val="22"/>
        </w:rPr>
        <w:t>kohaselt on</w:t>
      </w:r>
      <w:r w:rsidRPr="005A55CA">
        <w:rPr>
          <w:sz w:val="22"/>
          <w:szCs w:val="22"/>
        </w:rPr>
        <w:t xml:space="preserve"> teenuseosutajal </w:t>
      </w:r>
      <w:r>
        <w:rPr>
          <w:sz w:val="22"/>
          <w:szCs w:val="22"/>
        </w:rPr>
        <w:t>kohustus</w:t>
      </w:r>
      <w:r w:rsidRPr="005A55CA">
        <w:rPr>
          <w:sz w:val="22"/>
          <w:szCs w:val="22"/>
        </w:rPr>
        <w:t xml:space="preserve"> lähtuda vara lahususe printsiibist. Klientidelt saadud investeeringute tegemise, edasilaenamise või tagasimaksmise eesmärgil rahalisi või muid vahendeid tuleb</w:t>
      </w:r>
      <w:r>
        <w:rPr>
          <w:sz w:val="22"/>
          <w:szCs w:val="22"/>
        </w:rPr>
        <w:t xml:space="preserve"> </w:t>
      </w:r>
      <w:r w:rsidRPr="005A55CA">
        <w:rPr>
          <w:sz w:val="22"/>
          <w:szCs w:val="22"/>
        </w:rPr>
        <w:t>hoida lahus enda ja teenuseosutamisega mitteseotud tegevusaladega seotud varast. Lisaks tuleb klienti informeerida vara hoidmisega seotud nõuetest, sealhulgast sellest kui vara hoidmise teenuseid pakub kolmas osapool. Teenuseosutaja peab ka säilitama andmeid, pidama selliseid registreid ja raamatupidamisarvestust, mis võimaldavad tal igal ajal viivitamata eristada kliendi jaoks hoitava</w:t>
      </w:r>
      <w:r>
        <w:rPr>
          <w:sz w:val="22"/>
          <w:szCs w:val="22"/>
        </w:rPr>
        <w:t>t</w:t>
      </w:r>
      <w:r w:rsidRPr="005A55CA">
        <w:rPr>
          <w:sz w:val="22"/>
          <w:szCs w:val="22"/>
        </w:rPr>
        <w:t xml:space="preserve"> vara teiste klientide jaoks hoitavast varast ja klientide vara oma varast, ning mis tagab nende täpsuse ja vastavuse tegelikkuses klientide jaoks hoitavatele klientide rahale. Regulaarselt tuleb kontrollida ka teenuseosutaja sisese raamatupidamisarvestuse, andmete ja registrite vastavust selliseid varasid hoidvate kolmandate isikute arvestusele, andmetele ja registritele. Teenuseosutaja peab rakendama vastavaid organisatsioonilisi meetmeid kliendi vara või </w:t>
      </w:r>
      <w:r>
        <w:rPr>
          <w:sz w:val="22"/>
          <w:szCs w:val="22"/>
        </w:rPr>
        <w:t>sellega</w:t>
      </w:r>
      <w:r w:rsidRPr="005A55CA">
        <w:rPr>
          <w:sz w:val="22"/>
          <w:szCs w:val="22"/>
        </w:rPr>
        <w:t xml:space="preserve"> seotud õiguste kaotamise või vähenemise niisuguse riski maandamiseks, mis tuleneb vara väärkasutamisest, pettusest, haldamises esinevatest puudustest, ebakorrektsest registripidamisest või hooletusest.</w:t>
      </w:r>
    </w:p>
    <w:p w14:paraId="0DBBCE06" w14:textId="77777777" w:rsidR="003057ED" w:rsidRDefault="003057ED" w:rsidP="003057ED">
      <w:pPr>
        <w:spacing w:before="0"/>
        <w:rPr>
          <w:sz w:val="22"/>
          <w:szCs w:val="22"/>
        </w:rPr>
      </w:pPr>
    </w:p>
    <w:p w14:paraId="78DB7DBD" w14:textId="77777777" w:rsidR="003057ED" w:rsidRPr="005A55CA" w:rsidRDefault="003057ED" w:rsidP="003057ED">
      <w:pPr>
        <w:spacing w:before="0"/>
        <w:rPr>
          <w:sz w:val="22"/>
          <w:szCs w:val="22"/>
        </w:rPr>
      </w:pPr>
      <w:r w:rsidRPr="00251CAB">
        <w:rPr>
          <w:b/>
          <w:sz w:val="22"/>
          <w:szCs w:val="22"/>
        </w:rPr>
        <w:t>Lõikega 1</w:t>
      </w:r>
      <w:r>
        <w:rPr>
          <w:sz w:val="22"/>
          <w:szCs w:val="22"/>
        </w:rPr>
        <w:t xml:space="preserve"> nähakse ette </w:t>
      </w:r>
      <w:proofErr w:type="spellStart"/>
      <w:r>
        <w:rPr>
          <w:sz w:val="22"/>
          <w:szCs w:val="22"/>
        </w:rPr>
        <w:t>üldprintsiip</w:t>
      </w:r>
      <w:proofErr w:type="spellEnd"/>
      <w:r>
        <w:rPr>
          <w:sz w:val="22"/>
          <w:szCs w:val="22"/>
        </w:rPr>
        <w:t xml:space="preserve">, mille kohaselt peab teenuseosutaja </w:t>
      </w:r>
      <w:r w:rsidRPr="00593E4C">
        <w:rPr>
          <w:sz w:val="22"/>
          <w:szCs w:val="22"/>
        </w:rPr>
        <w:t xml:space="preserve">hoidma lahus </w:t>
      </w:r>
      <w:r>
        <w:rPr>
          <w:sz w:val="22"/>
          <w:szCs w:val="22"/>
        </w:rPr>
        <w:t xml:space="preserve">ja </w:t>
      </w:r>
      <w:r w:rsidRPr="00593E4C">
        <w:rPr>
          <w:sz w:val="22"/>
          <w:szCs w:val="22"/>
        </w:rPr>
        <w:t>eraldi kontol või kontodel teenuseosutamisega seoses talle usaldatud kliendi vara enda ja teenuseosutamisega mitteseotud varast</w:t>
      </w:r>
      <w:r>
        <w:rPr>
          <w:sz w:val="22"/>
          <w:szCs w:val="22"/>
        </w:rPr>
        <w:t>.</w:t>
      </w:r>
    </w:p>
    <w:p w14:paraId="1773B965" w14:textId="77777777" w:rsidR="003057ED" w:rsidRPr="005A55CA" w:rsidRDefault="003057ED" w:rsidP="003057ED">
      <w:pPr>
        <w:spacing w:before="0"/>
        <w:rPr>
          <w:b/>
          <w:sz w:val="22"/>
          <w:szCs w:val="22"/>
        </w:rPr>
      </w:pPr>
    </w:p>
    <w:p w14:paraId="4D9C0360" w14:textId="77777777" w:rsidR="003057ED" w:rsidRPr="00251CAB" w:rsidRDefault="003057ED" w:rsidP="003057ED">
      <w:pPr>
        <w:spacing w:before="0"/>
        <w:rPr>
          <w:sz w:val="22"/>
          <w:szCs w:val="22"/>
        </w:rPr>
      </w:pPr>
      <w:r w:rsidRPr="00251CAB">
        <w:rPr>
          <w:b/>
          <w:sz w:val="22"/>
          <w:szCs w:val="22"/>
        </w:rPr>
        <w:t>Lõikega 2</w:t>
      </w:r>
      <w:r w:rsidRPr="00251CAB">
        <w:rPr>
          <w:sz w:val="22"/>
          <w:szCs w:val="22"/>
        </w:rPr>
        <w:t xml:space="preserve"> nähakse ette teenuseosutajale kohustus kehtestada </w:t>
      </w:r>
      <w:proofErr w:type="spellStart"/>
      <w:r w:rsidRPr="00251CAB">
        <w:rPr>
          <w:sz w:val="22"/>
          <w:szCs w:val="22"/>
        </w:rPr>
        <w:t>sise</w:t>
      </w:r>
      <w:proofErr w:type="spellEnd"/>
      <w:r w:rsidRPr="00251CAB">
        <w:rPr>
          <w:sz w:val="22"/>
          <w:szCs w:val="22"/>
        </w:rPr>
        <w:t>-eeskirjadega oma klientide vara kaitsmise ja hoidmise põhimõtted.</w:t>
      </w:r>
    </w:p>
    <w:p w14:paraId="753A4FBD" w14:textId="77777777" w:rsidR="003057ED" w:rsidRPr="00251CAB" w:rsidRDefault="003057ED" w:rsidP="003057ED">
      <w:pPr>
        <w:spacing w:before="0"/>
        <w:rPr>
          <w:sz w:val="22"/>
          <w:szCs w:val="22"/>
        </w:rPr>
      </w:pPr>
    </w:p>
    <w:p w14:paraId="59120C01" w14:textId="77777777" w:rsidR="003057ED" w:rsidRPr="00251CAB" w:rsidRDefault="003057ED" w:rsidP="003057ED">
      <w:pPr>
        <w:spacing w:before="0"/>
        <w:rPr>
          <w:sz w:val="22"/>
          <w:szCs w:val="22"/>
        </w:rPr>
      </w:pPr>
      <w:r w:rsidRPr="00251CAB">
        <w:rPr>
          <w:b/>
          <w:sz w:val="22"/>
          <w:szCs w:val="22"/>
        </w:rPr>
        <w:t xml:space="preserve">Lõikes 3 </w:t>
      </w:r>
      <w:r w:rsidRPr="00251CAB">
        <w:rPr>
          <w:sz w:val="22"/>
          <w:szCs w:val="22"/>
        </w:rPr>
        <w:t xml:space="preserve">on täpsustatud, et kui teenuseosutaja pakub talle usaldatud kliendi varaga seoses makseteenuseid, sealhulgas täidab klientide maksejuhised makseasutuste ja e-raha asutuste seaduse tähenduses, siis peab teenuseosutaja omama makseasutuse </w:t>
      </w:r>
      <w:r>
        <w:rPr>
          <w:sz w:val="22"/>
          <w:szCs w:val="22"/>
        </w:rPr>
        <w:t xml:space="preserve">või e-raha asutuse </w:t>
      </w:r>
      <w:r w:rsidRPr="00251CAB">
        <w:rPr>
          <w:sz w:val="22"/>
          <w:szCs w:val="22"/>
        </w:rPr>
        <w:t xml:space="preserve">tegevusluba. </w:t>
      </w:r>
    </w:p>
    <w:p w14:paraId="2463766E" w14:textId="77777777" w:rsidR="003057ED" w:rsidRPr="00251CAB" w:rsidRDefault="003057ED" w:rsidP="003057ED">
      <w:pPr>
        <w:spacing w:before="0"/>
        <w:rPr>
          <w:sz w:val="22"/>
          <w:szCs w:val="22"/>
        </w:rPr>
      </w:pPr>
    </w:p>
    <w:p w14:paraId="16C31B4D" w14:textId="77777777" w:rsidR="003057ED" w:rsidRPr="005A55CA" w:rsidRDefault="003057ED" w:rsidP="003057ED">
      <w:pPr>
        <w:spacing w:before="0"/>
        <w:rPr>
          <w:sz w:val="22"/>
          <w:szCs w:val="22"/>
        </w:rPr>
      </w:pPr>
      <w:r w:rsidRPr="00251CAB">
        <w:rPr>
          <w:b/>
          <w:sz w:val="22"/>
          <w:szCs w:val="22"/>
        </w:rPr>
        <w:t xml:space="preserve">Lõike 4 </w:t>
      </w:r>
      <w:r w:rsidRPr="00251CAB">
        <w:rPr>
          <w:sz w:val="22"/>
          <w:szCs w:val="22"/>
        </w:rPr>
        <w:t>kohaselt juhul kui teenuseosutaja ei paku talle usaldatud kliendi varaga seoses makseteenuseid ise või kolmanda osapoole kaudu, peab ta tagama, et tema vahendusel investeerimis</w:t>
      </w:r>
      <w:r>
        <w:rPr>
          <w:sz w:val="22"/>
          <w:szCs w:val="22"/>
        </w:rPr>
        <w:t xml:space="preserve">projekte </w:t>
      </w:r>
      <w:r w:rsidRPr="00251CAB">
        <w:rPr>
          <w:sz w:val="22"/>
          <w:szCs w:val="22"/>
        </w:rPr>
        <w:t xml:space="preserve">pakkuvad </w:t>
      </w:r>
      <w:r w:rsidRPr="00251CAB">
        <w:rPr>
          <w:sz w:val="22"/>
          <w:szCs w:val="22"/>
        </w:rPr>
        <w:lastRenderedPageBreak/>
        <w:t>rahastuse taotlejad saavad raha makseteenuse osutaja kaudu vastavalt makseasutuste ja e-raha asutuste seaduses sätestatule.</w:t>
      </w:r>
      <w:r w:rsidRPr="005A55CA">
        <w:rPr>
          <w:sz w:val="22"/>
          <w:szCs w:val="22"/>
        </w:rPr>
        <w:t xml:space="preserve"> </w:t>
      </w:r>
    </w:p>
    <w:p w14:paraId="55FB1B6F" w14:textId="77777777" w:rsidR="003057ED" w:rsidRPr="005A55CA" w:rsidRDefault="003057ED" w:rsidP="003057ED">
      <w:pPr>
        <w:spacing w:before="0"/>
        <w:rPr>
          <w:sz w:val="22"/>
          <w:szCs w:val="22"/>
        </w:rPr>
      </w:pPr>
    </w:p>
    <w:p w14:paraId="1D584F96" w14:textId="77777777" w:rsidR="003057ED" w:rsidRPr="005A55CA" w:rsidRDefault="003057ED" w:rsidP="003057ED">
      <w:pPr>
        <w:spacing w:before="0"/>
        <w:rPr>
          <w:sz w:val="22"/>
          <w:szCs w:val="22"/>
        </w:rPr>
      </w:pPr>
      <w:r w:rsidRPr="005A55CA">
        <w:rPr>
          <w:b/>
          <w:sz w:val="22"/>
          <w:szCs w:val="22"/>
        </w:rPr>
        <w:t>Lõige 5</w:t>
      </w:r>
      <w:r>
        <w:rPr>
          <w:sz w:val="22"/>
          <w:szCs w:val="22"/>
        </w:rPr>
        <w:t xml:space="preserve"> täpsustab, et t</w:t>
      </w:r>
      <w:r w:rsidRPr="005A55CA">
        <w:rPr>
          <w:sz w:val="22"/>
          <w:szCs w:val="22"/>
        </w:rPr>
        <w:t>eenuseosutaja kliendi vara arvel ei rahuldata teenuseosutaja teiste võlausaldajate nõudeid. Klientide vara kuulub välistamisele pankrotiseaduse § 123 kohaselt</w:t>
      </w:r>
      <w:r>
        <w:rPr>
          <w:sz w:val="22"/>
          <w:szCs w:val="22"/>
        </w:rPr>
        <w:t xml:space="preserve"> (vt ka eelnõu § 85 lg 4)</w:t>
      </w:r>
      <w:r w:rsidRPr="005A55CA">
        <w:rPr>
          <w:sz w:val="22"/>
          <w:szCs w:val="22"/>
        </w:rPr>
        <w:t>.</w:t>
      </w:r>
    </w:p>
    <w:p w14:paraId="5FF1F44C" w14:textId="77777777" w:rsidR="003057ED" w:rsidRPr="005A55CA" w:rsidRDefault="003057ED" w:rsidP="003057ED">
      <w:pPr>
        <w:spacing w:before="0"/>
        <w:rPr>
          <w:sz w:val="22"/>
          <w:szCs w:val="22"/>
        </w:rPr>
      </w:pPr>
    </w:p>
    <w:p w14:paraId="6035FA66" w14:textId="77777777" w:rsidR="003057ED" w:rsidRPr="005A55CA" w:rsidRDefault="003057ED" w:rsidP="003057ED">
      <w:pPr>
        <w:spacing w:before="0"/>
        <w:rPr>
          <w:sz w:val="22"/>
          <w:szCs w:val="22"/>
        </w:rPr>
      </w:pPr>
      <w:r w:rsidRPr="005A55CA">
        <w:rPr>
          <w:b/>
          <w:sz w:val="22"/>
          <w:szCs w:val="22"/>
        </w:rPr>
        <w:t>Lõike 6</w:t>
      </w:r>
      <w:r w:rsidRPr="005A55CA">
        <w:rPr>
          <w:sz w:val="22"/>
          <w:szCs w:val="22"/>
        </w:rPr>
        <w:t xml:space="preserve"> täpsustatakse, et seaduses sätestatud garantiifondis olev raha ei kuulu teenuseosutaja vara hulka.</w:t>
      </w:r>
    </w:p>
    <w:p w14:paraId="11D3FF63" w14:textId="77777777" w:rsidR="003057ED" w:rsidRPr="005A55CA" w:rsidRDefault="003057ED" w:rsidP="003057ED">
      <w:pPr>
        <w:spacing w:before="0"/>
        <w:rPr>
          <w:sz w:val="22"/>
          <w:szCs w:val="22"/>
        </w:rPr>
      </w:pPr>
    </w:p>
    <w:p w14:paraId="0CF934C3" w14:textId="77777777" w:rsidR="003057ED" w:rsidRPr="005A55CA" w:rsidRDefault="003057ED" w:rsidP="003057ED">
      <w:pPr>
        <w:spacing w:before="0"/>
        <w:rPr>
          <w:sz w:val="22"/>
          <w:szCs w:val="22"/>
        </w:rPr>
      </w:pPr>
      <w:r w:rsidRPr="005A55CA">
        <w:rPr>
          <w:b/>
          <w:sz w:val="22"/>
          <w:szCs w:val="22"/>
        </w:rPr>
        <w:t>Lõikega 7</w:t>
      </w:r>
      <w:r w:rsidRPr="005A55CA">
        <w:rPr>
          <w:sz w:val="22"/>
          <w:szCs w:val="22"/>
        </w:rPr>
        <w:t xml:space="preserve"> antakse valdkonna eest vastutavale ministrile volitusnorm kehtestada täpsemad </w:t>
      </w:r>
      <w:r>
        <w:rPr>
          <w:sz w:val="22"/>
          <w:szCs w:val="22"/>
        </w:rPr>
        <w:t>nõuded klientide</w:t>
      </w:r>
      <w:r w:rsidRPr="005A55CA">
        <w:rPr>
          <w:sz w:val="22"/>
          <w:szCs w:val="22"/>
        </w:rPr>
        <w:t xml:space="preserve"> vara hoidmise</w:t>
      </w:r>
      <w:r>
        <w:rPr>
          <w:sz w:val="22"/>
          <w:szCs w:val="22"/>
        </w:rPr>
        <w:t>le</w:t>
      </w:r>
      <w:r w:rsidRPr="005A55CA">
        <w:rPr>
          <w:sz w:val="22"/>
          <w:szCs w:val="22"/>
        </w:rPr>
        <w:t xml:space="preserve">. </w:t>
      </w:r>
    </w:p>
    <w:p w14:paraId="4F69CE5E" w14:textId="77777777" w:rsidR="003057ED" w:rsidRDefault="003057ED" w:rsidP="003057ED">
      <w:pPr>
        <w:spacing w:before="0"/>
        <w:rPr>
          <w:b/>
          <w:sz w:val="22"/>
          <w:szCs w:val="22"/>
        </w:rPr>
      </w:pPr>
    </w:p>
    <w:p w14:paraId="291EC876" w14:textId="77777777" w:rsidR="003057ED" w:rsidRPr="00593E4C" w:rsidRDefault="003057ED" w:rsidP="003057ED">
      <w:pPr>
        <w:spacing w:before="0"/>
        <w:rPr>
          <w:b/>
          <w:sz w:val="22"/>
          <w:szCs w:val="22"/>
        </w:rPr>
      </w:pPr>
    </w:p>
    <w:p w14:paraId="1CFD2851" w14:textId="77777777" w:rsidR="003057ED" w:rsidRDefault="003057ED" w:rsidP="003057ED">
      <w:pPr>
        <w:spacing w:before="0"/>
        <w:rPr>
          <w:sz w:val="22"/>
          <w:szCs w:val="22"/>
        </w:rPr>
      </w:pPr>
      <w:r w:rsidRPr="00593E4C">
        <w:rPr>
          <w:b/>
          <w:sz w:val="22"/>
          <w:szCs w:val="22"/>
        </w:rPr>
        <w:t xml:space="preserve">Seaduse </w:t>
      </w:r>
      <w:r>
        <w:rPr>
          <w:b/>
          <w:sz w:val="22"/>
          <w:szCs w:val="22"/>
        </w:rPr>
        <w:t>9</w:t>
      </w:r>
      <w:r w:rsidRPr="00593E4C">
        <w:rPr>
          <w:b/>
          <w:sz w:val="22"/>
          <w:szCs w:val="22"/>
        </w:rPr>
        <w:t>. peatükk</w:t>
      </w:r>
      <w:r>
        <w:rPr>
          <w:sz w:val="22"/>
          <w:szCs w:val="22"/>
        </w:rPr>
        <w:t xml:space="preserve"> sätestab nõuded raamatupidamisele ja Finantsinspektsioonile esitatavatele aruannetele.</w:t>
      </w:r>
    </w:p>
    <w:p w14:paraId="37006FE9" w14:textId="77777777" w:rsidR="003057ED" w:rsidRPr="005A55CA" w:rsidRDefault="003057ED" w:rsidP="003057ED">
      <w:pPr>
        <w:spacing w:before="0"/>
        <w:rPr>
          <w:sz w:val="22"/>
          <w:szCs w:val="22"/>
        </w:rPr>
      </w:pPr>
    </w:p>
    <w:p w14:paraId="26D2183C" w14:textId="77777777" w:rsidR="003057ED" w:rsidRPr="005A55CA" w:rsidRDefault="003057ED" w:rsidP="003057ED">
      <w:pPr>
        <w:pStyle w:val="Normal2"/>
        <w:rPr>
          <w:szCs w:val="22"/>
        </w:rPr>
      </w:pPr>
      <w:r w:rsidRPr="005A55CA">
        <w:rPr>
          <w:rStyle w:val="NormalMrk"/>
          <w:b/>
          <w:szCs w:val="22"/>
        </w:rPr>
        <w:t xml:space="preserve">Paragrahvi </w:t>
      </w:r>
      <w:r>
        <w:rPr>
          <w:rStyle w:val="NormalMrk"/>
          <w:b/>
          <w:szCs w:val="22"/>
        </w:rPr>
        <w:t>75</w:t>
      </w:r>
      <w:r w:rsidRPr="005A55CA">
        <w:rPr>
          <w:rStyle w:val="NormalMrk"/>
          <w:szCs w:val="22"/>
        </w:rPr>
        <w:t xml:space="preserve"> kohaselt tuleb</w:t>
      </w:r>
      <w:r w:rsidRPr="005A55CA">
        <w:rPr>
          <w:szCs w:val="22"/>
        </w:rPr>
        <w:t xml:space="preserve"> raamatupidamisarvestust ja aruandlust korraldada vastavalt seaduses, raamatupidamise seaduses, teenuseosutaja põhikirjas ja raamatupidamise </w:t>
      </w:r>
      <w:proofErr w:type="spellStart"/>
      <w:r w:rsidRPr="005A55CA">
        <w:rPr>
          <w:szCs w:val="22"/>
        </w:rPr>
        <w:t>sise</w:t>
      </w:r>
      <w:proofErr w:type="spellEnd"/>
      <w:r w:rsidRPr="005A55CA">
        <w:rPr>
          <w:szCs w:val="22"/>
        </w:rPr>
        <w:t xml:space="preserve">-eeskirjas ning muudes õigusaktides sätestatule. </w:t>
      </w:r>
      <w:r>
        <w:rPr>
          <w:szCs w:val="22"/>
        </w:rPr>
        <w:t>Teenuseosutaja raamatupidamine peab vastama muuhulgas ka raamatupidamise seaduse §-le 4.</w:t>
      </w:r>
    </w:p>
    <w:p w14:paraId="64F8806C" w14:textId="77777777" w:rsidR="003057ED" w:rsidRDefault="003057ED" w:rsidP="003057ED">
      <w:pPr>
        <w:pStyle w:val="Normal2"/>
        <w:tabs>
          <w:tab w:val="left" w:pos="1701"/>
        </w:tabs>
        <w:rPr>
          <w:rStyle w:val="NormalMrk"/>
          <w:b/>
          <w:bCs/>
          <w:szCs w:val="22"/>
        </w:rPr>
      </w:pPr>
    </w:p>
    <w:p w14:paraId="2C63AC24" w14:textId="77777777" w:rsidR="003057ED" w:rsidRPr="005A55CA" w:rsidRDefault="003057ED" w:rsidP="003057ED">
      <w:pPr>
        <w:pStyle w:val="Normal2"/>
        <w:tabs>
          <w:tab w:val="left" w:pos="1701"/>
        </w:tabs>
        <w:rPr>
          <w:szCs w:val="22"/>
        </w:rPr>
      </w:pPr>
      <w:r w:rsidRPr="005A55CA">
        <w:rPr>
          <w:rStyle w:val="NormalMrk"/>
          <w:b/>
          <w:szCs w:val="22"/>
        </w:rPr>
        <w:t>Paragrahv</w:t>
      </w:r>
      <w:r>
        <w:rPr>
          <w:rStyle w:val="NormalMrk"/>
          <w:b/>
          <w:szCs w:val="22"/>
        </w:rPr>
        <w:t>iga</w:t>
      </w:r>
      <w:r w:rsidRPr="005A55CA">
        <w:rPr>
          <w:rStyle w:val="NormalMrk"/>
          <w:b/>
          <w:szCs w:val="22"/>
        </w:rPr>
        <w:t xml:space="preserve"> 7</w:t>
      </w:r>
      <w:r>
        <w:rPr>
          <w:rStyle w:val="NormalMrk"/>
          <w:b/>
          <w:szCs w:val="22"/>
        </w:rPr>
        <w:t>6</w:t>
      </w:r>
      <w:r w:rsidRPr="005A55CA">
        <w:rPr>
          <w:szCs w:val="22"/>
        </w:rPr>
        <w:t xml:space="preserve"> kehtestatakse nõuded aruannete Finantsinspektsioonile esitamisele. </w:t>
      </w:r>
    </w:p>
    <w:p w14:paraId="06CFB30E" w14:textId="77777777" w:rsidR="003057ED" w:rsidRPr="005A55CA" w:rsidRDefault="003057ED" w:rsidP="003057ED">
      <w:pPr>
        <w:spacing w:before="0"/>
        <w:rPr>
          <w:i/>
          <w:sz w:val="22"/>
          <w:szCs w:val="22"/>
        </w:rPr>
      </w:pPr>
    </w:p>
    <w:p w14:paraId="6914C89F" w14:textId="77777777" w:rsidR="003057ED" w:rsidRPr="005A55CA" w:rsidRDefault="003057ED" w:rsidP="003057ED">
      <w:pPr>
        <w:spacing w:before="0"/>
        <w:rPr>
          <w:rFonts w:eastAsiaTheme="majorEastAsia"/>
          <w:sz w:val="22"/>
          <w:szCs w:val="22"/>
        </w:rPr>
      </w:pPr>
      <w:r w:rsidRPr="005A55CA">
        <w:rPr>
          <w:rFonts w:eastAsiaTheme="majorEastAsia"/>
          <w:b/>
          <w:sz w:val="22"/>
          <w:szCs w:val="22"/>
        </w:rPr>
        <w:t>Lõike 1</w:t>
      </w:r>
      <w:r w:rsidRPr="005A55CA">
        <w:rPr>
          <w:rFonts w:eastAsiaTheme="majorEastAsia"/>
          <w:sz w:val="22"/>
          <w:szCs w:val="22"/>
        </w:rPr>
        <w:t xml:space="preserve"> kohaselt peab teenuseosutaja koostama ja Finantsinspektsioonile esitama aruanded vastavalt õigusaktides sätestatule. </w:t>
      </w:r>
    </w:p>
    <w:p w14:paraId="5D615FDD" w14:textId="77777777" w:rsidR="003057ED" w:rsidRPr="005A55CA" w:rsidRDefault="003057ED" w:rsidP="003057ED">
      <w:pPr>
        <w:spacing w:before="0"/>
        <w:rPr>
          <w:rFonts w:eastAsiaTheme="majorEastAsia"/>
          <w:sz w:val="22"/>
          <w:szCs w:val="22"/>
        </w:rPr>
      </w:pPr>
    </w:p>
    <w:p w14:paraId="7BA794E5" w14:textId="77777777" w:rsidR="003057ED" w:rsidRPr="005A55CA" w:rsidRDefault="003057ED" w:rsidP="003057ED">
      <w:pPr>
        <w:spacing w:before="0"/>
        <w:rPr>
          <w:rFonts w:eastAsiaTheme="majorEastAsia"/>
          <w:sz w:val="22"/>
          <w:szCs w:val="22"/>
        </w:rPr>
      </w:pPr>
      <w:r w:rsidRPr="005A55CA">
        <w:rPr>
          <w:rFonts w:eastAsiaTheme="majorEastAsia"/>
          <w:b/>
          <w:sz w:val="22"/>
          <w:szCs w:val="22"/>
        </w:rPr>
        <w:t>Lõikes 2</w:t>
      </w:r>
      <w:r w:rsidRPr="005A55CA">
        <w:rPr>
          <w:rFonts w:eastAsiaTheme="majorEastAsia"/>
          <w:sz w:val="22"/>
          <w:szCs w:val="22"/>
        </w:rPr>
        <w:t xml:space="preserve"> on loetelu aruannetest, mis tuleb Finantsinspektsioonile esitada. Esitama peab majandusaasta aruande, </w:t>
      </w:r>
      <w:r>
        <w:rPr>
          <w:rFonts w:eastAsiaTheme="majorEastAsia"/>
          <w:sz w:val="22"/>
          <w:szCs w:val="22"/>
        </w:rPr>
        <w:t xml:space="preserve">käesoleva seaduse § 78 lõige 4 sätestatud omavahendite kontrolli kohta koostatud </w:t>
      </w:r>
      <w:r w:rsidRPr="005A55CA">
        <w:rPr>
          <w:rFonts w:eastAsiaTheme="majorEastAsia"/>
          <w:sz w:val="22"/>
          <w:szCs w:val="22"/>
        </w:rPr>
        <w:t xml:space="preserve">vandeaudiitori aruande ärakirja, kasumi jaotamise või kahjumi katmise ettepaneku ja otsuse ning üldkoosoleku </w:t>
      </w:r>
      <w:r>
        <w:rPr>
          <w:rFonts w:eastAsiaTheme="majorEastAsia"/>
          <w:sz w:val="22"/>
          <w:szCs w:val="22"/>
        </w:rPr>
        <w:t xml:space="preserve">või osanike koosoleku </w:t>
      </w:r>
      <w:r w:rsidRPr="005A55CA">
        <w:rPr>
          <w:rFonts w:eastAsiaTheme="majorEastAsia"/>
          <w:sz w:val="22"/>
          <w:szCs w:val="22"/>
        </w:rPr>
        <w:t>protokolli väljavõtte majandusaasta aruande kinnitamise või kinnitamata jätmise otsuse kohta kahe nädala jooksul pärast aktsionäride üldkoosoleku</w:t>
      </w:r>
      <w:r>
        <w:rPr>
          <w:rFonts w:eastAsiaTheme="majorEastAsia"/>
          <w:sz w:val="22"/>
          <w:szCs w:val="22"/>
        </w:rPr>
        <w:t xml:space="preserve"> või osanike koosoleku</w:t>
      </w:r>
      <w:r w:rsidRPr="005A55CA">
        <w:rPr>
          <w:rFonts w:eastAsiaTheme="majorEastAsia"/>
          <w:sz w:val="22"/>
          <w:szCs w:val="22"/>
        </w:rPr>
        <w:t xml:space="preserve"> toimumist</w:t>
      </w:r>
      <w:r>
        <w:rPr>
          <w:rFonts w:eastAsiaTheme="majorEastAsia"/>
          <w:sz w:val="22"/>
          <w:szCs w:val="22"/>
        </w:rPr>
        <w:t xml:space="preserve">, kuid mitte hiljem kui kuus kuud pärast majandusaasta lõppu. </w:t>
      </w:r>
      <w:proofErr w:type="spellStart"/>
      <w:r>
        <w:rPr>
          <w:rFonts w:eastAsiaTheme="majorEastAsia"/>
          <w:sz w:val="22"/>
          <w:szCs w:val="22"/>
        </w:rPr>
        <w:t>Viimatinimetatud</w:t>
      </w:r>
      <w:proofErr w:type="spellEnd"/>
      <w:r>
        <w:rPr>
          <w:rFonts w:eastAsiaTheme="majorEastAsia"/>
          <w:sz w:val="22"/>
          <w:szCs w:val="22"/>
        </w:rPr>
        <w:t xml:space="preserve"> täpsustuse eesmärk on mitte siduda § 76 lg 2 nimetatud aruanded vaid aktsionäride üldkoosoleku või osanike koosoleku toimumisega, vaid piirata ka ajaliselt, millise aja jooksul nimetatud koosolek peab toimuma, tagamaks viidatud sättes nimetatud aruannete kohane esitamine Finantsinspektsioonile. Erand nimetatud andmete ja dokumentide esitamisele kohaldub siis, kui teenuseosutaja on avalikustanud eeltoodud andmed ja dokumendid oma veebilehel.</w:t>
      </w:r>
    </w:p>
    <w:p w14:paraId="67081FCF" w14:textId="77777777" w:rsidR="003057ED" w:rsidRPr="005A55CA" w:rsidRDefault="003057ED" w:rsidP="003057ED">
      <w:pPr>
        <w:spacing w:before="0"/>
        <w:rPr>
          <w:sz w:val="22"/>
          <w:szCs w:val="22"/>
        </w:rPr>
      </w:pPr>
    </w:p>
    <w:p w14:paraId="3DB9238A" w14:textId="77777777" w:rsidR="003057ED" w:rsidRPr="005A55CA" w:rsidRDefault="003057ED" w:rsidP="003057ED">
      <w:pPr>
        <w:pStyle w:val="Normal2"/>
        <w:rPr>
          <w:szCs w:val="22"/>
        </w:rPr>
      </w:pPr>
      <w:r w:rsidRPr="005A55CA">
        <w:rPr>
          <w:b/>
          <w:szCs w:val="22"/>
        </w:rPr>
        <w:t xml:space="preserve">Lõiked 3, 4 ja </w:t>
      </w:r>
      <w:r>
        <w:rPr>
          <w:b/>
          <w:szCs w:val="22"/>
        </w:rPr>
        <w:t>6</w:t>
      </w:r>
      <w:r w:rsidRPr="005A55CA">
        <w:rPr>
          <w:b/>
          <w:szCs w:val="22"/>
        </w:rPr>
        <w:t>.</w:t>
      </w:r>
      <w:r w:rsidRPr="005A55CA">
        <w:rPr>
          <w:szCs w:val="22"/>
        </w:rPr>
        <w:t xml:space="preserve"> Teenuseosutaja esitab kord kvartalis </w:t>
      </w:r>
      <w:r>
        <w:rPr>
          <w:szCs w:val="22"/>
        </w:rPr>
        <w:t xml:space="preserve">ja aastas </w:t>
      </w:r>
      <w:r w:rsidRPr="005A55CA">
        <w:rPr>
          <w:szCs w:val="22"/>
        </w:rPr>
        <w:t>Finantsinspektsioonile bilansiaruande, kasumiaruande, omavahendite aruande</w:t>
      </w:r>
      <w:r>
        <w:rPr>
          <w:szCs w:val="22"/>
        </w:rPr>
        <w:t>, klientide vara aruande</w:t>
      </w:r>
      <w:r w:rsidRPr="005A55CA">
        <w:rPr>
          <w:szCs w:val="22"/>
        </w:rPr>
        <w:t xml:space="preserve"> ja tehingute aruande. Aruannete sisu, vormid, koostamise metoodika ja esitamise korra kehtestab valdkonna eest vastutav minister</w:t>
      </w:r>
      <w:r>
        <w:rPr>
          <w:szCs w:val="22"/>
        </w:rPr>
        <w:t xml:space="preserve"> (</w:t>
      </w:r>
      <w:r w:rsidRPr="004F2349">
        <w:rPr>
          <w:b/>
          <w:szCs w:val="22"/>
        </w:rPr>
        <w:t>lõige 6</w:t>
      </w:r>
      <w:r>
        <w:rPr>
          <w:szCs w:val="22"/>
        </w:rPr>
        <w:t>)</w:t>
      </w:r>
      <w:r w:rsidRPr="005A55CA">
        <w:rPr>
          <w:szCs w:val="22"/>
        </w:rPr>
        <w:t>.</w:t>
      </w:r>
      <w:r>
        <w:rPr>
          <w:i/>
          <w:szCs w:val="22"/>
        </w:rPr>
        <w:t xml:space="preserve"> </w:t>
      </w:r>
      <w:r w:rsidRPr="005A55CA">
        <w:rPr>
          <w:szCs w:val="22"/>
        </w:rPr>
        <w:t xml:space="preserve">Aruanded tuleb esitada 20 päeva jooksul pärast aruandeperioodi lõppu ning kui esitamispäev langeb puhkepäevale, siis tuleb aruanne esitada hiljemalt puhkepäevale järgneval esimesel tööpäeval. </w:t>
      </w:r>
    </w:p>
    <w:p w14:paraId="029528B9" w14:textId="77777777" w:rsidR="003057ED" w:rsidRPr="005A55CA" w:rsidRDefault="003057ED" w:rsidP="003057ED">
      <w:pPr>
        <w:keepNext/>
        <w:keepLines/>
        <w:spacing w:before="0"/>
        <w:outlineLvl w:val="1"/>
        <w:rPr>
          <w:sz w:val="22"/>
          <w:szCs w:val="22"/>
        </w:rPr>
      </w:pPr>
    </w:p>
    <w:p w14:paraId="2F47EE8A" w14:textId="77777777" w:rsidR="003057ED" w:rsidRPr="005A55CA" w:rsidRDefault="003057ED" w:rsidP="003057ED">
      <w:pPr>
        <w:pStyle w:val="Normal2"/>
        <w:rPr>
          <w:szCs w:val="22"/>
        </w:rPr>
      </w:pPr>
      <w:r>
        <w:rPr>
          <w:b/>
          <w:szCs w:val="22"/>
        </w:rPr>
        <w:t>Lõike 5</w:t>
      </w:r>
      <w:r>
        <w:rPr>
          <w:szCs w:val="22"/>
        </w:rPr>
        <w:t xml:space="preserve"> kohaselt</w:t>
      </w:r>
      <w:r w:rsidRPr="005A55CA">
        <w:rPr>
          <w:szCs w:val="22"/>
        </w:rPr>
        <w:t xml:space="preserve"> </w:t>
      </w:r>
      <w:r>
        <w:rPr>
          <w:szCs w:val="22"/>
        </w:rPr>
        <w:t xml:space="preserve">on Finantsinspektsioonil lisaks õigus nõuda </w:t>
      </w:r>
      <w:r w:rsidRPr="005A55CA">
        <w:rPr>
          <w:szCs w:val="22"/>
        </w:rPr>
        <w:t>regulaarse</w:t>
      </w:r>
      <w:r>
        <w:rPr>
          <w:szCs w:val="22"/>
        </w:rPr>
        <w:t>l</w:t>
      </w:r>
      <w:r w:rsidRPr="005A55CA">
        <w:rPr>
          <w:szCs w:val="22"/>
        </w:rPr>
        <w:t>t või ühekordse</w:t>
      </w:r>
      <w:r>
        <w:rPr>
          <w:szCs w:val="22"/>
        </w:rPr>
        <w:t>l</w:t>
      </w:r>
      <w:r w:rsidRPr="005A55CA">
        <w:rPr>
          <w:szCs w:val="22"/>
        </w:rPr>
        <w:t xml:space="preserve">t </w:t>
      </w:r>
      <w:r>
        <w:rPr>
          <w:szCs w:val="22"/>
        </w:rPr>
        <w:t xml:space="preserve">andmeid ja dokumente, mis on vajalikud järelevalve teostamiseks. </w:t>
      </w:r>
    </w:p>
    <w:p w14:paraId="7596F9DA" w14:textId="77777777" w:rsidR="003057ED" w:rsidRPr="00C254A8" w:rsidRDefault="003057ED" w:rsidP="003057ED">
      <w:pPr>
        <w:spacing w:before="0"/>
        <w:rPr>
          <w:sz w:val="22"/>
          <w:szCs w:val="22"/>
        </w:rPr>
      </w:pPr>
    </w:p>
    <w:p w14:paraId="3BFC093F" w14:textId="77777777" w:rsidR="003057ED" w:rsidRPr="005A55CA" w:rsidRDefault="003057ED" w:rsidP="003057ED">
      <w:pPr>
        <w:pStyle w:val="Normal2"/>
        <w:rPr>
          <w:b/>
          <w:szCs w:val="22"/>
        </w:rPr>
      </w:pPr>
      <w:r w:rsidRPr="005A55CA">
        <w:rPr>
          <w:b/>
          <w:szCs w:val="22"/>
        </w:rPr>
        <w:t>Paragrahv 7</w:t>
      </w:r>
      <w:r>
        <w:rPr>
          <w:b/>
          <w:szCs w:val="22"/>
        </w:rPr>
        <w:t>7</w:t>
      </w:r>
      <w:r w:rsidRPr="005A55CA">
        <w:rPr>
          <w:b/>
          <w:szCs w:val="22"/>
        </w:rPr>
        <w:t xml:space="preserve"> </w:t>
      </w:r>
      <w:r w:rsidRPr="005A55CA">
        <w:rPr>
          <w:szCs w:val="22"/>
        </w:rPr>
        <w:t>kehtestab nõuded</w:t>
      </w:r>
      <w:r w:rsidRPr="005A55CA">
        <w:rPr>
          <w:b/>
          <w:szCs w:val="22"/>
        </w:rPr>
        <w:t xml:space="preserve"> </w:t>
      </w:r>
      <w:r w:rsidRPr="005A55CA">
        <w:rPr>
          <w:szCs w:val="22"/>
        </w:rPr>
        <w:t>Finantsinspektsioonile esitatud aruannete kontrolli</w:t>
      </w:r>
      <w:r>
        <w:rPr>
          <w:szCs w:val="22"/>
        </w:rPr>
        <w:t>,</w:t>
      </w:r>
      <w:r w:rsidRPr="005A55CA">
        <w:rPr>
          <w:szCs w:val="22"/>
        </w:rPr>
        <w:t xml:space="preserve"> puuduste kõrvaldamise </w:t>
      </w:r>
      <w:r>
        <w:rPr>
          <w:szCs w:val="22"/>
        </w:rPr>
        <w:t xml:space="preserve">ja algandmete säilitamise </w:t>
      </w:r>
      <w:r w:rsidRPr="005A55CA">
        <w:rPr>
          <w:szCs w:val="22"/>
        </w:rPr>
        <w:t>kohta.</w:t>
      </w:r>
    </w:p>
    <w:p w14:paraId="4EFB82D6" w14:textId="77777777" w:rsidR="003057ED" w:rsidRPr="005A55CA" w:rsidRDefault="003057ED" w:rsidP="003057ED">
      <w:pPr>
        <w:spacing w:before="0"/>
        <w:rPr>
          <w:i/>
          <w:sz w:val="22"/>
          <w:szCs w:val="22"/>
        </w:rPr>
      </w:pPr>
    </w:p>
    <w:p w14:paraId="21D73A7D" w14:textId="77777777" w:rsidR="003057ED" w:rsidRPr="005A55CA" w:rsidRDefault="003057ED" w:rsidP="003057ED">
      <w:pPr>
        <w:spacing w:before="0"/>
        <w:rPr>
          <w:sz w:val="22"/>
          <w:szCs w:val="22"/>
        </w:rPr>
      </w:pPr>
      <w:r w:rsidRPr="005A55CA">
        <w:rPr>
          <w:b/>
          <w:sz w:val="22"/>
          <w:szCs w:val="22"/>
        </w:rPr>
        <w:t>Lõiked 1 ja 2.</w:t>
      </w:r>
      <w:r w:rsidRPr="005A55CA">
        <w:rPr>
          <w:sz w:val="22"/>
          <w:szCs w:val="22"/>
        </w:rPr>
        <w:t xml:space="preserve"> Finantsinspektsioon hindab esitatud aruannete nõuetekohasust ning juhul, kui tuvastab nendes puudusi, siis teavitab sellest kohe ka aruande esitajat.</w:t>
      </w:r>
      <w:r>
        <w:rPr>
          <w:sz w:val="22"/>
          <w:szCs w:val="22"/>
        </w:rPr>
        <w:t xml:space="preserve"> </w:t>
      </w:r>
    </w:p>
    <w:p w14:paraId="58EB92B8" w14:textId="77777777" w:rsidR="003057ED" w:rsidRPr="005A55CA" w:rsidRDefault="003057ED" w:rsidP="003057ED">
      <w:pPr>
        <w:spacing w:before="0"/>
        <w:rPr>
          <w:sz w:val="22"/>
          <w:szCs w:val="22"/>
        </w:rPr>
      </w:pPr>
    </w:p>
    <w:p w14:paraId="6068775B" w14:textId="77777777" w:rsidR="003057ED" w:rsidRPr="005A55CA" w:rsidRDefault="003057ED" w:rsidP="003057ED">
      <w:pPr>
        <w:spacing w:before="0"/>
        <w:rPr>
          <w:b/>
          <w:sz w:val="22"/>
          <w:szCs w:val="22"/>
        </w:rPr>
      </w:pPr>
      <w:r w:rsidRPr="005A55CA">
        <w:rPr>
          <w:b/>
          <w:sz w:val="22"/>
          <w:szCs w:val="22"/>
        </w:rPr>
        <w:t xml:space="preserve">Lõige 3. </w:t>
      </w:r>
      <w:r w:rsidRPr="005A55CA">
        <w:rPr>
          <w:sz w:val="22"/>
          <w:szCs w:val="22"/>
        </w:rPr>
        <w:t xml:space="preserve">Teenuseosutaja peab puudused kõrvaldama ning esitama Finantsinspektsioonile korrigeeritud aruande. </w:t>
      </w:r>
      <w:r w:rsidRPr="005A55CA">
        <w:rPr>
          <w:bCs/>
          <w:sz w:val="22"/>
          <w:szCs w:val="22"/>
        </w:rPr>
        <w:t>Et tagada aruannete õigsust igal ajahetkel, sätestatakse aruande esitajale kohustus esitada korrigeeritud aruanne kohe ka juhul, kui aruande esitaja on ise varem esitatud andmetes vea tuvastanud.</w:t>
      </w:r>
    </w:p>
    <w:p w14:paraId="22B7C816" w14:textId="77777777" w:rsidR="003057ED" w:rsidRPr="005A55CA" w:rsidRDefault="003057ED" w:rsidP="003057ED">
      <w:pPr>
        <w:spacing w:before="0"/>
        <w:rPr>
          <w:sz w:val="22"/>
          <w:szCs w:val="22"/>
        </w:rPr>
      </w:pPr>
    </w:p>
    <w:p w14:paraId="7F83A84A" w14:textId="77777777" w:rsidR="003057ED" w:rsidRPr="005A55CA" w:rsidRDefault="003057ED" w:rsidP="003057ED">
      <w:pPr>
        <w:spacing w:before="0"/>
        <w:rPr>
          <w:b/>
          <w:sz w:val="22"/>
          <w:szCs w:val="22"/>
        </w:rPr>
      </w:pPr>
      <w:r w:rsidRPr="005A55CA">
        <w:rPr>
          <w:b/>
          <w:sz w:val="22"/>
          <w:szCs w:val="22"/>
        </w:rPr>
        <w:lastRenderedPageBreak/>
        <w:t xml:space="preserve">Lõige 4. </w:t>
      </w:r>
      <w:r w:rsidRPr="005A55CA">
        <w:rPr>
          <w:sz w:val="22"/>
          <w:szCs w:val="22"/>
        </w:rPr>
        <w:t>N</w:t>
      </w:r>
      <w:r w:rsidRPr="005A55CA">
        <w:rPr>
          <w:bCs/>
          <w:sz w:val="22"/>
          <w:szCs w:val="22"/>
        </w:rPr>
        <w:t>ähakse ette, et aruande esitaja peab säilitama aruande koostamisel kasutatud algandmete allikaks olevaid dokumente vähemalt viis aastat.</w:t>
      </w:r>
      <w:r w:rsidRPr="005A55CA">
        <w:rPr>
          <w:b/>
          <w:sz w:val="22"/>
          <w:szCs w:val="22"/>
        </w:rPr>
        <w:t xml:space="preserve"> </w:t>
      </w:r>
    </w:p>
    <w:p w14:paraId="78DC16D7" w14:textId="77777777" w:rsidR="003057ED" w:rsidRPr="00C254A8" w:rsidRDefault="003057ED" w:rsidP="003057ED">
      <w:pPr>
        <w:spacing w:before="0"/>
        <w:rPr>
          <w:sz w:val="22"/>
          <w:szCs w:val="22"/>
        </w:rPr>
      </w:pPr>
    </w:p>
    <w:p w14:paraId="2E652EF7" w14:textId="77777777" w:rsidR="003057ED" w:rsidRPr="005A55CA" w:rsidRDefault="003057ED" w:rsidP="003057ED">
      <w:pPr>
        <w:spacing w:before="0"/>
        <w:ind w:right="-64"/>
        <w:rPr>
          <w:sz w:val="22"/>
          <w:szCs w:val="22"/>
        </w:rPr>
      </w:pPr>
      <w:r w:rsidRPr="005A55CA">
        <w:rPr>
          <w:b/>
          <w:bCs/>
          <w:sz w:val="22"/>
          <w:szCs w:val="22"/>
        </w:rPr>
        <w:t>Paragrahvis</w:t>
      </w:r>
      <w:r w:rsidRPr="005A55CA">
        <w:rPr>
          <w:b/>
          <w:sz w:val="22"/>
          <w:szCs w:val="22"/>
        </w:rPr>
        <w:t xml:space="preserve"> 7</w:t>
      </w:r>
      <w:r>
        <w:rPr>
          <w:b/>
          <w:sz w:val="22"/>
          <w:szCs w:val="22"/>
        </w:rPr>
        <w:t>8</w:t>
      </w:r>
      <w:r w:rsidRPr="005A55CA">
        <w:rPr>
          <w:sz w:val="22"/>
          <w:szCs w:val="22"/>
        </w:rPr>
        <w:t xml:space="preserve"> sätestatakse nõuded teenuseosutaja audiitorettevõtjale, tema määramisele ja audiitorkontrollile. </w:t>
      </w:r>
    </w:p>
    <w:p w14:paraId="7AC7931E" w14:textId="77777777" w:rsidR="003057ED" w:rsidRPr="005A55CA" w:rsidRDefault="003057ED" w:rsidP="003057ED">
      <w:pPr>
        <w:spacing w:before="0"/>
        <w:ind w:right="-64"/>
        <w:rPr>
          <w:sz w:val="22"/>
          <w:szCs w:val="22"/>
        </w:rPr>
      </w:pPr>
    </w:p>
    <w:p w14:paraId="5563DA7C" w14:textId="0825583F" w:rsidR="003057ED" w:rsidRPr="005A55CA" w:rsidRDefault="003057ED" w:rsidP="003057ED">
      <w:pPr>
        <w:spacing w:before="0"/>
        <w:rPr>
          <w:sz w:val="22"/>
          <w:szCs w:val="22"/>
        </w:rPr>
      </w:pPr>
      <w:r>
        <w:rPr>
          <w:sz w:val="22"/>
          <w:szCs w:val="22"/>
        </w:rPr>
        <w:t>Kõnealuse paragrahviga s</w:t>
      </w:r>
      <w:r w:rsidRPr="005A55CA">
        <w:rPr>
          <w:sz w:val="22"/>
          <w:szCs w:val="22"/>
        </w:rPr>
        <w:t xml:space="preserve">ätestatakse nõue, mille kohaselt teenuseosutaja raamatupidamise aastaaruanne peab olema </w:t>
      </w:r>
      <w:r>
        <w:rPr>
          <w:sz w:val="22"/>
          <w:szCs w:val="22"/>
        </w:rPr>
        <w:t>kontrollitud</w:t>
      </w:r>
      <w:r w:rsidRPr="005A55CA">
        <w:rPr>
          <w:sz w:val="22"/>
          <w:szCs w:val="22"/>
        </w:rPr>
        <w:t xml:space="preserve"> (</w:t>
      </w:r>
      <w:r w:rsidRPr="005A55CA">
        <w:rPr>
          <w:b/>
          <w:sz w:val="22"/>
          <w:szCs w:val="22"/>
        </w:rPr>
        <w:t>lõige 1</w:t>
      </w:r>
      <w:r w:rsidRPr="005A55CA">
        <w:rPr>
          <w:sz w:val="22"/>
          <w:szCs w:val="22"/>
        </w:rPr>
        <w:t>).</w:t>
      </w:r>
      <w:r>
        <w:rPr>
          <w:sz w:val="22"/>
          <w:szCs w:val="22"/>
        </w:rPr>
        <w:t xml:space="preserve"> </w:t>
      </w:r>
      <w:r w:rsidRPr="005A55CA">
        <w:rPr>
          <w:sz w:val="22"/>
          <w:szCs w:val="22"/>
        </w:rPr>
        <w:t>Auditeerimiskohustuse üldnõuded on sätestatud audiitortegevuse seaduses,</w:t>
      </w:r>
      <w:r>
        <w:rPr>
          <w:sz w:val="22"/>
          <w:szCs w:val="22"/>
        </w:rPr>
        <w:t xml:space="preserve"> </w:t>
      </w:r>
      <w:r w:rsidRPr="005A55CA">
        <w:rPr>
          <w:sz w:val="22"/>
          <w:szCs w:val="22"/>
        </w:rPr>
        <w:t xml:space="preserve">kuid need ei pruugi tagada kõigi teenuseosutajate (näiteks väiksema tegevusmahuga osaühingute) raamatupidamisaruannete </w:t>
      </w:r>
      <w:r w:rsidRPr="00CF2ECF">
        <w:rPr>
          <w:sz w:val="22"/>
          <w:szCs w:val="22"/>
        </w:rPr>
        <w:t>auditeerimise</w:t>
      </w:r>
      <w:r w:rsidRPr="005A55CA">
        <w:rPr>
          <w:sz w:val="22"/>
          <w:szCs w:val="22"/>
        </w:rPr>
        <w:t xml:space="preserve"> kohustust. Raamatupidamisaruannete auditeerimise nõude kehtestamise eesmärk on tagada usaldusväärne informatsioon teenuseosutaja finantsseisundi ja majandustulemuste kohta nii Finantsinspektsioonile järelevalve teostamiseks kui ka avalikkusele äriregistris avalikustatud aruannetes.</w:t>
      </w:r>
    </w:p>
    <w:p w14:paraId="72C1B929" w14:textId="77777777" w:rsidR="003057ED" w:rsidRPr="005A55CA" w:rsidRDefault="003057ED" w:rsidP="003057ED">
      <w:pPr>
        <w:spacing w:before="0"/>
        <w:ind w:right="-64"/>
        <w:rPr>
          <w:sz w:val="22"/>
          <w:szCs w:val="22"/>
        </w:rPr>
      </w:pPr>
    </w:p>
    <w:p w14:paraId="0CE94C3D" w14:textId="77777777" w:rsidR="003057ED" w:rsidRPr="005A55CA" w:rsidRDefault="003057ED" w:rsidP="003057ED">
      <w:pPr>
        <w:spacing w:before="0"/>
        <w:ind w:right="-64"/>
        <w:rPr>
          <w:sz w:val="22"/>
          <w:szCs w:val="22"/>
        </w:rPr>
      </w:pPr>
      <w:r w:rsidRPr="005A55CA">
        <w:rPr>
          <w:b/>
          <w:sz w:val="22"/>
          <w:szCs w:val="22"/>
        </w:rPr>
        <w:t xml:space="preserve">Lõiked 2 ja 3. </w:t>
      </w:r>
      <w:r w:rsidRPr="005A55CA">
        <w:rPr>
          <w:sz w:val="22"/>
          <w:szCs w:val="22"/>
        </w:rPr>
        <w:t xml:space="preserve">Audiitorettevõtjaks võib nimetada </w:t>
      </w:r>
      <w:r>
        <w:rPr>
          <w:sz w:val="22"/>
          <w:szCs w:val="22"/>
        </w:rPr>
        <w:t>audiitortegevuse seaduse §-s 7 lõikes 2 nimetatud isiku, st vandeaudiitorite ühingu või FIE-na tegutseva vandeaudiitori</w:t>
      </w:r>
      <w:r w:rsidRPr="005A55CA">
        <w:rPr>
          <w:sz w:val="22"/>
          <w:szCs w:val="22"/>
        </w:rPr>
        <w:t xml:space="preserve">. Audiitori võib nimetada mitte rohkem kui 5 aastat ja uueks </w:t>
      </w:r>
      <w:r>
        <w:rPr>
          <w:sz w:val="22"/>
          <w:szCs w:val="22"/>
        </w:rPr>
        <w:t xml:space="preserve">vahetult järgmiseks </w:t>
      </w:r>
      <w:r w:rsidRPr="005A55CA">
        <w:rPr>
          <w:sz w:val="22"/>
          <w:szCs w:val="22"/>
        </w:rPr>
        <w:t>perioodiks nimetamise õiguseta.</w:t>
      </w:r>
    </w:p>
    <w:p w14:paraId="6D1E7AD4" w14:textId="77777777" w:rsidR="003057ED" w:rsidRPr="005A55CA" w:rsidRDefault="003057ED" w:rsidP="003057ED">
      <w:pPr>
        <w:spacing w:before="0"/>
        <w:rPr>
          <w:i/>
          <w:sz w:val="22"/>
          <w:szCs w:val="22"/>
        </w:rPr>
      </w:pPr>
    </w:p>
    <w:p w14:paraId="455AF979" w14:textId="77777777" w:rsidR="003057ED" w:rsidRPr="00251301" w:rsidRDefault="003057ED" w:rsidP="003057ED">
      <w:pPr>
        <w:pStyle w:val="CM1"/>
        <w:jc w:val="both"/>
        <w:rPr>
          <w:sz w:val="22"/>
          <w:szCs w:val="22"/>
        </w:rPr>
      </w:pPr>
      <w:r w:rsidRPr="00251301">
        <w:rPr>
          <w:b/>
          <w:sz w:val="22"/>
          <w:szCs w:val="22"/>
        </w:rPr>
        <w:t>Lõikes 4</w:t>
      </w:r>
      <w:r w:rsidRPr="00251301">
        <w:rPr>
          <w:sz w:val="22"/>
          <w:szCs w:val="22"/>
        </w:rPr>
        <w:t xml:space="preserve"> on sätestatud, et audiitorettevõtja peab kontrollima teenuseosutaja poolt omavahendite kohta kehtestatud nõuete täitmist </w:t>
      </w:r>
      <w:r>
        <w:rPr>
          <w:sz w:val="22"/>
          <w:szCs w:val="22"/>
        </w:rPr>
        <w:t xml:space="preserve">bilansipäeva seisuga </w:t>
      </w:r>
      <w:r w:rsidRPr="00251301">
        <w:rPr>
          <w:sz w:val="22"/>
          <w:szCs w:val="22"/>
        </w:rPr>
        <w:t xml:space="preserve">ning esitama sellekohase arvamuse teenuseosutajale ja Finantsinspektsioonile. Tegemist on eraldi töövõtuga, mitte audiitorkontrolli raames teostatava töövõtuga. Audiitorkontrolli ja omavahendite kontrolli võivad läbi viia erinevad audiitorettevõtjad, kuid on optimaalne, kui seda teostaks üks ja seesama audiitorettevõtja. </w:t>
      </w:r>
    </w:p>
    <w:p w14:paraId="4E216482" w14:textId="77777777" w:rsidR="003057ED" w:rsidRDefault="003057ED" w:rsidP="003057ED">
      <w:pPr>
        <w:pStyle w:val="CM1"/>
        <w:jc w:val="both"/>
        <w:rPr>
          <w:sz w:val="22"/>
          <w:szCs w:val="22"/>
        </w:rPr>
      </w:pPr>
    </w:p>
    <w:p w14:paraId="7219A8FD" w14:textId="3D2EB09B" w:rsidR="003057ED" w:rsidRPr="00251301" w:rsidRDefault="003057ED" w:rsidP="003057ED">
      <w:pPr>
        <w:pStyle w:val="CM1"/>
        <w:jc w:val="both"/>
        <w:rPr>
          <w:sz w:val="22"/>
          <w:szCs w:val="22"/>
        </w:rPr>
      </w:pPr>
      <w:r w:rsidRPr="00251301">
        <w:rPr>
          <w:sz w:val="22"/>
          <w:szCs w:val="22"/>
        </w:rPr>
        <w:t xml:space="preserve">Audit viiakse läbi </w:t>
      </w:r>
      <w:proofErr w:type="spellStart"/>
      <w:r w:rsidRPr="00251301">
        <w:rPr>
          <w:sz w:val="22"/>
          <w:szCs w:val="22"/>
        </w:rPr>
        <w:t>AudS</w:t>
      </w:r>
      <w:proofErr w:type="spellEnd"/>
      <w:r w:rsidRPr="00251301">
        <w:rPr>
          <w:sz w:val="22"/>
          <w:szCs w:val="22"/>
        </w:rPr>
        <w:t xml:space="preserve"> § 46 alusel kehtestatud auditi standardite alusel ning need konkreetsed standardid näevad ette, et audiitorkontrolli objektiks on finantsaruanne, mille koostamise aluseks on üldtunnustatud (raamatupidamis)raamistik. „Omavahendite kohta kehtestatud nõuded“ ei ole kehtestatud üldtunnustatud (raamatupidamis)raamistiku poolt ning seetõttu ei ole võimalik auditi käigus kontrollida omavahendite kohta kehtestatud nõuete täitmist. Audiitorkogu on märkinud, et sobivaim töövõtt on antud juhul ISAE 3000 standardi nõuete alusel läbiviidav töövõtt. </w:t>
      </w:r>
    </w:p>
    <w:p w14:paraId="68346E67" w14:textId="77777777" w:rsidR="003057ED" w:rsidRPr="00181317" w:rsidRDefault="003057ED" w:rsidP="003057ED">
      <w:pPr>
        <w:spacing w:before="0"/>
        <w:rPr>
          <w:i/>
          <w:sz w:val="22"/>
          <w:szCs w:val="22"/>
        </w:rPr>
      </w:pPr>
    </w:p>
    <w:p w14:paraId="3E7C609A" w14:textId="77777777" w:rsidR="003057ED" w:rsidRPr="00181317" w:rsidRDefault="003057ED" w:rsidP="003057ED">
      <w:pPr>
        <w:pStyle w:val="CM1"/>
        <w:jc w:val="both"/>
        <w:rPr>
          <w:sz w:val="22"/>
          <w:szCs w:val="22"/>
        </w:rPr>
      </w:pPr>
      <w:r w:rsidRPr="00181317">
        <w:rPr>
          <w:b/>
          <w:sz w:val="22"/>
          <w:szCs w:val="22"/>
        </w:rPr>
        <w:t>Lõiked 5 ja 6.</w:t>
      </w:r>
      <w:r w:rsidRPr="00181317">
        <w:rPr>
          <w:sz w:val="22"/>
          <w:szCs w:val="22"/>
        </w:rPr>
        <w:t xml:space="preserve"> </w:t>
      </w:r>
      <w:r>
        <w:rPr>
          <w:sz w:val="22"/>
          <w:szCs w:val="22"/>
        </w:rPr>
        <w:t xml:space="preserve">Lõike 5 kohaselt määrab </w:t>
      </w:r>
      <w:r w:rsidRPr="00181317">
        <w:rPr>
          <w:sz w:val="22"/>
          <w:szCs w:val="22"/>
        </w:rPr>
        <w:t xml:space="preserve">Finantsinspektsioon </w:t>
      </w:r>
      <w:r>
        <w:rPr>
          <w:sz w:val="22"/>
          <w:szCs w:val="22"/>
        </w:rPr>
        <w:t xml:space="preserve"> audiitorettevõtja</w:t>
      </w:r>
      <w:r w:rsidRPr="00181317">
        <w:rPr>
          <w:sz w:val="22"/>
          <w:szCs w:val="22"/>
        </w:rPr>
        <w:t xml:space="preserve">, kui üldkoosolek </w:t>
      </w:r>
      <w:r>
        <w:rPr>
          <w:sz w:val="22"/>
          <w:szCs w:val="22"/>
        </w:rPr>
        <w:t xml:space="preserve">või osanike koosolek </w:t>
      </w:r>
      <w:r w:rsidRPr="00181317">
        <w:rPr>
          <w:sz w:val="22"/>
          <w:szCs w:val="22"/>
        </w:rPr>
        <w:t xml:space="preserve">ei ole audiitorettevõtjat seaduses sätestatud korras nimetanud, üldkoosoleku </w:t>
      </w:r>
      <w:r>
        <w:rPr>
          <w:sz w:val="22"/>
          <w:szCs w:val="22"/>
        </w:rPr>
        <w:t xml:space="preserve">või osanike koosoleku </w:t>
      </w:r>
      <w:r w:rsidRPr="00181317">
        <w:rPr>
          <w:sz w:val="22"/>
          <w:szCs w:val="22"/>
        </w:rPr>
        <w:t xml:space="preserve">nimetatud audiitorettevõtja loobus audiitorkontrolli läbiviimisest ning üldkoosolek ei ole seaduses sätestatud korras nimetanud uut audiitorettevõtjat või kui audiitorettevõtja on kaotanud Finantsinspektsiooni arvamuse kohaselt usalduse. Audiitorettevõtja usaldusväärsuse hindamisel võib Finantsinspektsioon lähtuda </w:t>
      </w:r>
      <w:proofErr w:type="spellStart"/>
      <w:r w:rsidRPr="00181317">
        <w:rPr>
          <w:sz w:val="22"/>
          <w:szCs w:val="22"/>
        </w:rPr>
        <w:t>AudS</w:t>
      </w:r>
      <w:proofErr w:type="spellEnd"/>
      <w:r w:rsidRPr="00181317">
        <w:rPr>
          <w:sz w:val="22"/>
          <w:szCs w:val="22"/>
        </w:rPr>
        <w:t xml:space="preserve"> § 39 lõikes 3 sätestatud kriteeriumitest. </w:t>
      </w:r>
    </w:p>
    <w:p w14:paraId="4492BF19" w14:textId="77777777" w:rsidR="003057ED" w:rsidRPr="00181317" w:rsidRDefault="003057ED" w:rsidP="003057ED">
      <w:pPr>
        <w:pStyle w:val="CM1"/>
        <w:jc w:val="both"/>
      </w:pPr>
    </w:p>
    <w:p w14:paraId="4CBA030A" w14:textId="77777777" w:rsidR="003057ED" w:rsidRPr="005A55CA" w:rsidRDefault="003057ED" w:rsidP="003057ED">
      <w:pPr>
        <w:autoSpaceDE w:val="0"/>
        <w:autoSpaceDN w:val="0"/>
        <w:adjustRightInd w:val="0"/>
        <w:spacing w:before="0"/>
        <w:rPr>
          <w:sz w:val="22"/>
          <w:szCs w:val="22"/>
        </w:rPr>
      </w:pPr>
      <w:r>
        <w:rPr>
          <w:sz w:val="22"/>
          <w:szCs w:val="22"/>
        </w:rPr>
        <w:t>Sedasi</w:t>
      </w:r>
      <w:r w:rsidRPr="005A55CA">
        <w:rPr>
          <w:sz w:val="22"/>
          <w:szCs w:val="22"/>
        </w:rPr>
        <w:t xml:space="preserve"> määratud audiitorettevõtja volitused kestavad kuni üldkoosoleku </w:t>
      </w:r>
      <w:r>
        <w:rPr>
          <w:sz w:val="22"/>
          <w:szCs w:val="22"/>
        </w:rPr>
        <w:t xml:space="preserve">või osanike koosoleku </w:t>
      </w:r>
      <w:r w:rsidRPr="005A55CA">
        <w:rPr>
          <w:sz w:val="22"/>
          <w:szCs w:val="22"/>
        </w:rPr>
        <w:t xml:space="preserve">poolt uue audiitori nimetamiseni. </w:t>
      </w:r>
    </w:p>
    <w:p w14:paraId="17137220" w14:textId="77777777" w:rsidR="003057ED" w:rsidRPr="00C254A8" w:rsidRDefault="003057ED" w:rsidP="003057ED">
      <w:pPr>
        <w:spacing w:before="0"/>
        <w:rPr>
          <w:sz w:val="22"/>
          <w:szCs w:val="22"/>
        </w:rPr>
      </w:pPr>
    </w:p>
    <w:p w14:paraId="600DE0C8" w14:textId="77777777" w:rsidR="003057ED" w:rsidRPr="005A55CA" w:rsidRDefault="003057ED" w:rsidP="003057ED">
      <w:pPr>
        <w:spacing w:before="0"/>
        <w:rPr>
          <w:sz w:val="22"/>
          <w:szCs w:val="22"/>
        </w:rPr>
      </w:pPr>
      <w:r w:rsidRPr="005A55CA">
        <w:rPr>
          <w:rFonts w:eastAsiaTheme="majorEastAsia"/>
          <w:b/>
          <w:sz w:val="22"/>
          <w:szCs w:val="22"/>
        </w:rPr>
        <w:t xml:space="preserve">Paragrahvi </w:t>
      </w:r>
      <w:r>
        <w:rPr>
          <w:rFonts w:eastAsiaTheme="majorEastAsia"/>
          <w:b/>
          <w:sz w:val="22"/>
          <w:szCs w:val="22"/>
        </w:rPr>
        <w:t>79</w:t>
      </w:r>
      <w:r w:rsidRPr="005A55CA">
        <w:rPr>
          <w:rFonts w:eastAsiaTheme="majorEastAsia"/>
          <w:b/>
          <w:sz w:val="22"/>
          <w:szCs w:val="22"/>
        </w:rPr>
        <w:t xml:space="preserve"> </w:t>
      </w:r>
      <w:r w:rsidRPr="005A55CA">
        <w:rPr>
          <w:rFonts w:eastAsiaTheme="majorEastAsia"/>
          <w:sz w:val="22"/>
          <w:szCs w:val="22"/>
        </w:rPr>
        <w:t>eesmärk on näha ette audiitor</w:t>
      </w:r>
      <w:r>
        <w:rPr>
          <w:rFonts w:eastAsiaTheme="majorEastAsia"/>
          <w:sz w:val="22"/>
          <w:szCs w:val="22"/>
        </w:rPr>
        <w:t>ettevõtjale</w:t>
      </w:r>
      <w:r w:rsidRPr="005A55CA">
        <w:rPr>
          <w:rFonts w:eastAsiaTheme="majorEastAsia"/>
          <w:sz w:val="22"/>
          <w:szCs w:val="22"/>
        </w:rPr>
        <w:t xml:space="preserve"> kohustus informeerida Finantsinspektsiooni paragrahvis sätestatud asjaoludest.</w:t>
      </w:r>
      <w:r>
        <w:rPr>
          <w:rFonts w:eastAsiaTheme="majorEastAsia"/>
          <w:b/>
          <w:sz w:val="22"/>
          <w:szCs w:val="22"/>
        </w:rPr>
        <w:t xml:space="preserve"> </w:t>
      </w:r>
    </w:p>
    <w:p w14:paraId="0F754A7A" w14:textId="77777777" w:rsidR="003057ED" w:rsidRPr="005A55CA" w:rsidRDefault="003057ED" w:rsidP="003057ED">
      <w:pPr>
        <w:spacing w:before="0"/>
        <w:rPr>
          <w:i/>
          <w:sz w:val="22"/>
          <w:szCs w:val="22"/>
        </w:rPr>
      </w:pPr>
    </w:p>
    <w:p w14:paraId="21B6DA6D" w14:textId="77777777" w:rsidR="003057ED" w:rsidRPr="005A55CA" w:rsidRDefault="003057ED" w:rsidP="003057ED">
      <w:pPr>
        <w:spacing w:before="0"/>
        <w:rPr>
          <w:sz w:val="22"/>
          <w:szCs w:val="22"/>
        </w:rPr>
      </w:pPr>
      <w:r w:rsidRPr="005A55CA">
        <w:rPr>
          <w:b/>
          <w:sz w:val="22"/>
          <w:szCs w:val="22"/>
        </w:rPr>
        <w:t>Lõige 1.</w:t>
      </w:r>
      <w:r w:rsidRPr="005A55CA">
        <w:rPr>
          <w:sz w:val="22"/>
          <w:szCs w:val="22"/>
        </w:rPr>
        <w:t xml:space="preserve"> Sätestatakse</w:t>
      </w:r>
      <w:r>
        <w:rPr>
          <w:sz w:val="22"/>
          <w:szCs w:val="22"/>
        </w:rPr>
        <w:t xml:space="preserve"> </w:t>
      </w:r>
      <w:r w:rsidRPr="005A55CA">
        <w:rPr>
          <w:sz w:val="22"/>
          <w:szCs w:val="22"/>
        </w:rPr>
        <w:t>audiitorettevõtjale kohustus informeerida Finantsinspektsiooni audiitorkontrolli käigus ilmnenud õigusaktide olulise rikkumise või muude teenuseosutaja tegevust ohustavate</w:t>
      </w:r>
      <w:r>
        <w:rPr>
          <w:sz w:val="22"/>
          <w:szCs w:val="22"/>
        </w:rPr>
        <w:t xml:space="preserve"> </w:t>
      </w:r>
      <w:r w:rsidRPr="005A55CA">
        <w:rPr>
          <w:sz w:val="22"/>
          <w:szCs w:val="22"/>
        </w:rPr>
        <w:t>asjaolude ilmnemisel.</w:t>
      </w:r>
      <w:r>
        <w:rPr>
          <w:sz w:val="22"/>
          <w:szCs w:val="22"/>
        </w:rPr>
        <w:t xml:space="preserve"> </w:t>
      </w:r>
      <w:r w:rsidRPr="005A55CA">
        <w:rPr>
          <w:sz w:val="22"/>
          <w:szCs w:val="22"/>
        </w:rPr>
        <w:t>Nimetatud sätte kehtestamine on vajalik selleks, et Finantsinspektsioon saaks vajadusel viivitamata kohaldada asjakohaseid järelevalvemeetmeid, samuti selleks, et audiitoril oleks seadusega sätestatud õigus eespoolkirjeldatud info edastamiseks ning et see ei tähendaks tema jaoks konfidentsiaalsusnõude rikkumist (</w:t>
      </w:r>
      <w:r w:rsidRPr="005A55CA">
        <w:rPr>
          <w:b/>
          <w:sz w:val="22"/>
          <w:szCs w:val="22"/>
        </w:rPr>
        <w:t>lõige 3</w:t>
      </w:r>
      <w:r w:rsidRPr="005A55CA">
        <w:rPr>
          <w:sz w:val="22"/>
          <w:szCs w:val="22"/>
        </w:rPr>
        <w:t xml:space="preserve">). </w:t>
      </w:r>
    </w:p>
    <w:p w14:paraId="7EE65299" w14:textId="77777777" w:rsidR="003057ED" w:rsidRPr="005A55CA" w:rsidRDefault="003057ED" w:rsidP="003057ED">
      <w:pPr>
        <w:spacing w:before="0"/>
        <w:rPr>
          <w:sz w:val="22"/>
          <w:szCs w:val="22"/>
        </w:rPr>
      </w:pPr>
    </w:p>
    <w:p w14:paraId="64FBB0F7" w14:textId="77777777" w:rsidR="003057ED" w:rsidRPr="005A55CA" w:rsidRDefault="003057ED" w:rsidP="003057ED">
      <w:pPr>
        <w:spacing w:before="0"/>
        <w:rPr>
          <w:sz w:val="22"/>
          <w:szCs w:val="22"/>
        </w:rPr>
      </w:pPr>
      <w:r w:rsidRPr="005A55CA">
        <w:rPr>
          <w:b/>
          <w:sz w:val="22"/>
          <w:szCs w:val="22"/>
        </w:rPr>
        <w:t>Lõige 2.</w:t>
      </w:r>
      <w:r w:rsidRPr="005A55CA">
        <w:rPr>
          <w:sz w:val="22"/>
          <w:szCs w:val="22"/>
        </w:rPr>
        <w:t xml:space="preserve"> Samuti on audiitorettevõtjal kohustatud viivitamata kirjalikult teavitama Finantsinspektsiooni teenuseosutajaga märkimisväärses seoses oleva isiku auditeerimise käigus talle teatavaks saanud asjaoludest, mille tulemuseks on teenuseosutaja tegevust ohustavate asjaolude ilmnemine. </w:t>
      </w:r>
    </w:p>
    <w:p w14:paraId="26C0D776" w14:textId="77777777" w:rsidR="003057ED" w:rsidRDefault="003057ED" w:rsidP="003057ED">
      <w:pPr>
        <w:spacing w:before="0"/>
        <w:rPr>
          <w:sz w:val="22"/>
          <w:szCs w:val="22"/>
        </w:rPr>
      </w:pPr>
    </w:p>
    <w:p w14:paraId="4F169AA4" w14:textId="77777777" w:rsidR="003057ED" w:rsidRPr="00941420" w:rsidRDefault="003057ED" w:rsidP="003057ED">
      <w:pPr>
        <w:spacing w:before="0"/>
        <w:rPr>
          <w:sz w:val="22"/>
          <w:szCs w:val="22"/>
        </w:rPr>
      </w:pPr>
      <w:r>
        <w:rPr>
          <w:b/>
          <w:sz w:val="22"/>
          <w:szCs w:val="22"/>
        </w:rPr>
        <w:t xml:space="preserve">Lõike 3 </w:t>
      </w:r>
      <w:r>
        <w:rPr>
          <w:sz w:val="22"/>
          <w:szCs w:val="22"/>
        </w:rPr>
        <w:t>täpsustab, et Finantsinspektsioonile samas paragrahvis sätestatud andmete edastamisega ei riku audiitorettevõtja temale õigusakti või lepinguga pandud konfidentsiaalsusnõudeid.</w:t>
      </w:r>
    </w:p>
    <w:p w14:paraId="31375813" w14:textId="77777777" w:rsidR="003057ED" w:rsidRDefault="003057ED" w:rsidP="003057ED">
      <w:pPr>
        <w:spacing w:before="0"/>
        <w:rPr>
          <w:sz w:val="22"/>
          <w:szCs w:val="22"/>
        </w:rPr>
      </w:pPr>
    </w:p>
    <w:p w14:paraId="333AAA38" w14:textId="77777777" w:rsidR="003057ED" w:rsidRDefault="003057ED" w:rsidP="003057ED">
      <w:pPr>
        <w:spacing w:before="0"/>
        <w:rPr>
          <w:sz w:val="22"/>
          <w:szCs w:val="22"/>
        </w:rPr>
      </w:pPr>
      <w:r w:rsidRPr="00251CAB">
        <w:rPr>
          <w:b/>
          <w:sz w:val="22"/>
          <w:szCs w:val="22"/>
        </w:rPr>
        <w:t>Seaduse 10. peatükk</w:t>
      </w:r>
      <w:r>
        <w:rPr>
          <w:sz w:val="22"/>
          <w:szCs w:val="22"/>
        </w:rPr>
        <w:t xml:space="preserve"> kehtestab nõuded teenuseosutaja ümberkujundamisele, ühinemisele, lõpetamisele ja pankrotile.</w:t>
      </w:r>
    </w:p>
    <w:p w14:paraId="6CA0ED99" w14:textId="77777777" w:rsidR="003057ED" w:rsidRDefault="003057ED" w:rsidP="003057ED">
      <w:pPr>
        <w:spacing w:before="0"/>
        <w:rPr>
          <w:sz w:val="22"/>
          <w:szCs w:val="22"/>
        </w:rPr>
      </w:pPr>
    </w:p>
    <w:p w14:paraId="74C7FCD1" w14:textId="77777777" w:rsidR="003057ED" w:rsidRPr="005A55CA" w:rsidRDefault="003057ED" w:rsidP="003057ED">
      <w:pPr>
        <w:spacing w:before="0"/>
        <w:rPr>
          <w:sz w:val="22"/>
          <w:szCs w:val="22"/>
        </w:rPr>
      </w:pPr>
      <w:r w:rsidRPr="005A55CA">
        <w:rPr>
          <w:b/>
          <w:sz w:val="22"/>
          <w:szCs w:val="22"/>
        </w:rPr>
        <w:t xml:space="preserve">Paragrahv </w:t>
      </w:r>
      <w:r>
        <w:rPr>
          <w:b/>
          <w:sz w:val="22"/>
          <w:szCs w:val="22"/>
        </w:rPr>
        <w:t>80</w:t>
      </w:r>
      <w:r w:rsidRPr="005A55CA">
        <w:rPr>
          <w:sz w:val="22"/>
          <w:szCs w:val="22"/>
        </w:rPr>
        <w:t xml:space="preserve"> kehtestab nõuded teenuseosutaja </w:t>
      </w:r>
      <w:r w:rsidRPr="00CF2ECF">
        <w:rPr>
          <w:bCs/>
          <w:sz w:val="22"/>
          <w:szCs w:val="22"/>
        </w:rPr>
        <w:t>ümberkujundamisele</w:t>
      </w:r>
      <w:r w:rsidRPr="005A55CA">
        <w:rPr>
          <w:sz w:val="22"/>
          <w:szCs w:val="22"/>
        </w:rPr>
        <w:t>. Käesoleva seaduse kohaselt võib teenuseosutaja tegutseda üksnes kapitaliühinguna, ehk asutades selleks osaühingu või aktsiaseltsi. Algselt tegutsemiseks valitud ja sobilik vorm, näiteks osaühing, võib tegutsemise käigus osutuda mingil hetkel ebapiisavaks, kui see ei suuda enam ettevõtte vajadusi rahuldada. Variandina võ</w:t>
      </w:r>
      <w:r>
        <w:rPr>
          <w:sz w:val="22"/>
          <w:szCs w:val="22"/>
        </w:rPr>
        <w:t>i</w:t>
      </w:r>
      <w:r w:rsidRPr="005A55CA">
        <w:rPr>
          <w:sz w:val="22"/>
          <w:szCs w:val="22"/>
        </w:rPr>
        <w:t>b osaühing tegevuse lõpetada ja asutada uue äriühingu, kuid see ei pruugi olla mõistlik. Seetõttu on käesolevas seaduses ette nähtud võimalus äriühingu ümberkujundamiseks, kusjuures on tagatud ka piisav kontroll protsessi üle.</w:t>
      </w:r>
    </w:p>
    <w:p w14:paraId="373AD00B" w14:textId="77777777" w:rsidR="003057ED" w:rsidRPr="005A55CA" w:rsidRDefault="003057ED" w:rsidP="003057ED">
      <w:pPr>
        <w:spacing w:before="0"/>
        <w:rPr>
          <w:sz w:val="22"/>
          <w:szCs w:val="22"/>
        </w:rPr>
      </w:pPr>
    </w:p>
    <w:p w14:paraId="664C020C" w14:textId="77777777" w:rsidR="003057ED" w:rsidRPr="005A55CA" w:rsidRDefault="003057ED" w:rsidP="003057ED">
      <w:pPr>
        <w:spacing w:before="0"/>
        <w:rPr>
          <w:sz w:val="22"/>
          <w:szCs w:val="22"/>
        </w:rPr>
      </w:pPr>
      <w:r w:rsidRPr="005A55CA">
        <w:rPr>
          <w:b/>
          <w:sz w:val="22"/>
          <w:szCs w:val="22"/>
        </w:rPr>
        <w:t>Lõike 1</w:t>
      </w:r>
      <w:r w:rsidRPr="005A55CA">
        <w:rPr>
          <w:sz w:val="22"/>
          <w:szCs w:val="22"/>
        </w:rPr>
        <w:t xml:space="preserve"> kohaselt on teenuseosutaja ümberkujundamine lubatud üksnes osaühingust aktsiaseltsiks. Selline võimalus on lubatud ka näiteks krediidiandjatel. </w:t>
      </w:r>
      <w:r w:rsidRPr="005A55CA">
        <w:rPr>
          <w:color w:val="202020"/>
          <w:sz w:val="22"/>
          <w:szCs w:val="22"/>
        </w:rPr>
        <w:t>Osaühinguna asutatud teenuseosutaja ümber kujundamiseks aktsiaseltsiks</w:t>
      </w:r>
      <w:r w:rsidRPr="005A55CA">
        <w:rPr>
          <w:sz w:val="22"/>
          <w:szCs w:val="22"/>
        </w:rPr>
        <w:t xml:space="preserve"> peab ettevõtja järgima muuhulgas äriseadustikus sätestatud nõudeid ja kohandama ettevõtte tegevuse vastavaks.</w:t>
      </w:r>
    </w:p>
    <w:p w14:paraId="0CF76E37" w14:textId="77777777" w:rsidR="003057ED" w:rsidRPr="005A55CA" w:rsidRDefault="003057ED" w:rsidP="003057ED">
      <w:pPr>
        <w:spacing w:before="0"/>
        <w:rPr>
          <w:sz w:val="22"/>
          <w:szCs w:val="22"/>
        </w:rPr>
      </w:pPr>
    </w:p>
    <w:p w14:paraId="0B4BDE05" w14:textId="77777777" w:rsidR="003057ED" w:rsidRPr="005A55CA" w:rsidRDefault="003057ED" w:rsidP="003057ED">
      <w:pPr>
        <w:spacing w:before="0"/>
        <w:rPr>
          <w:sz w:val="22"/>
          <w:szCs w:val="22"/>
        </w:rPr>
      </w:pPr>
      <w:r w:rsidRPr="005A55CA">
        <w:rPr>
          <w:b/>
          <w:sz w:val="22"/>
          <w:szCs w:val="22"/>
        </w:rPr>
        <w:t xml:space="preserve">Lõike 2 </w:t>
      </w:r>
      <w:r w:rsidRPr="005A55CA">
        <w:rPr>
          <w:sz w:val="22"/>
          <w:szCs w:val="22"/>
        </w:rPr>
        <w:t>järgi toimub teenuseosutaja ümberkujundamine äriseadustikus sätestatud korras, kui käesolevast seadusest ei tulene teisiti. Teisisõnu tuleks teenuseosutaja ümberkujundamisel lähtuda äriseadustikus ümberkujundamise kohta sätestatust, arvestades käesolevas peatükis toodud erisustega.</w:t>
      </w:r>
    </w:p>
    <w:p w14:paraId="78911578" w14:textId="77777777" w:rsidR="003057ED" w:rsidRPr="005A55CA" w:rsidRDefault="003057ED" w:rsidP="003057ED">
      <w:pPr>
        <w:spacing w:before="0"/>
        <w:rPr>
          <w:sz w:val="22"/>
          <w:szCs w:val="22"/>
        </w:rPr>
      </w:pPr>
    </w:p>
    <w:p w14:paraId="70F18A83" w14:textId="77777777" w:rsidR="003057ED" w:rsidRPr="005A55CA" w:rsidRDefault="003057ED" w:rsidP="003057ED">
      <w:pPr>
        <w:spacing w:before="0"/>
        <w:rPr>
          <w:sz w:val="22"/>
          <w:szCs w:val="22"/>
        </w:rPr>
      </w:pPr>
      <w:r w:rsidRPr="005A55CA">
        <w:rPr>
          <w:sz w:val="22"/>
          <w:szCs w:val="22"/>
        </w:rPr>
        <w:t xml:space="preserve">Täiendava tingimusena võrreldes äriseadustikuga on </w:t>
      </w:r>
      <w:r w:rsidRPr="005A55CA">
        <w:rPr>
          <w:b/>
          <w:sz w:val="22"/>
          <w:szCs w:val="22"/>
        </w:rPr>
        <w:t>lõikes 3</w:t>
      </w:r>
      <w:r w:rsidRPr="005A55CA">
        <w:rPr>
          <w:sz w:val="22"/>
          <w:szCs w:val="22"/>
        </w:rPr>
        <w:t xml:space="preserve"> ette nähtud asjaomane luba finantsjärelevalvelt. Lõikes 3 tuuakse välja </w:t>
      </w:r>
      <w:r>
        <w:rPr>
          <w:sz w:val="22"/>
          <w:szCs w:val="22"/>
        </w:rPr>
        <w:t>dokumendid</w:t>
      </w:r>
      <w:r w:rsidRPr="005A55CA">
        <w:rPr>
          <w:sz w:val="22"/>
          <w:szCs w:val="22"/>
        </w:rPr>
        <w:t>, mi</w:t>
      </w:r>
      <w:r>
        <w:rPr>
          <w:sz w:val="22"/>
          <w:szCs w:val="22"/>
        </w:rPr>
        <w:t>lle alusel otsustatakse</w:t>
      </w:r>
      <w:r w:rsidRPr="005A55CA">
        <w:rPr>
          <w:sz w:val="22"/>
          <w:szCs w:val="22"/>
        </w:rPr>
        <w:t xml:space="preserve"> ümberkujundamise loa </w:t>
      </w:r>
      <w:r>
        <w:rPr>
          <w:sz w:val="22"/>
          <w:szCs w:val="22"/>
        </w:rPr>
        <w:t>andmine</w:t>
      </w:r>
      <w:r w:rsidRPr="005A55CA">
        <w:rPr>
          <w:sz w:val="22"/>
          <w:szCs w:val="22"/>
        </w:rPr>
        <w:t xml:space="preserve">. Selleks tuleb eelnevalt Finantsinspektsioonile esitada ettevõtte üldkoosoleku </w:t>
      </w:r>
      <w:r>
        <w:rPr>
          <w:sz w:val="22"/>
          <w:szCs w:val="22"/>
        </w:rPr>
        <w:t xml:space="preserve">või osanike koosoleku </w:t>
      </w:r>
      <w:r w:rsidRPr="005A55CA">
        <w:rPr>
          <w:sz w:val="22"/>
          <w:szCs w:val="22"/>
        </w:rPr>
        <w:t>otsus põhikirja muutmise kohta (</w:t>
      </w:r>
      <w:r w:rsidRPr="00322E9B">
        <w:rPr>
          <w:b/>
          <w:sz w:val="22"/>
          <w:szCs w:val="22"/>
        </w:rPr>
        <w:t>punkt 1</w:t>
      </w:r>
      <w:r w:rsidRPr="005A55CA">
        <w:rPr>
          <w:sz w:val="22"/>
          <w:szCs w:val="22"/>
        </w:rPr>
        <w:t>), üldkoosoleku</w:t>
      </w:r>
      <w:r>
        <w:rPr>
          <w:sz w:val="22"/>
          <w:szCs w:val="22"/>
        </w:rPr>
        <w:t xml:space="preserve"> või osanike koosoleku</w:t>
      </w:r>
      <w:r w:rsidRPr="005A55CA">
        <w:rPr>
          <w:sz w:val="22"/>
          <w:szCs w:val="22"/>
        </w:rPr>
        <w:t xml:space="preserve"> protokoll (</w:t>
      </w:r>
      <w:r w:rsidRPr="00322E9B">
        <w:rPr>
          <w:b/>
          <w:sz w:val="22"/>
          <w:szCs w:val="22"/>
        </w:rPr>
        <w:t>punkt 2</w:t>
      </w:r>
      <w:r w:rsidRPr="005A55CA">
        <w:rPr>
          <w:sz w:val="22"/>
          <w:szCs w:val="22"/>
        </w:rPr>
        <w:t>), põhikirja uu</w:t>
      </w:r>
      <w:r>
        <w:rPr>
          <w:sz w:val="22"/>
          <w:szCs w:val="22"/>
        </w:rPr>
        <w:t>s</w:t>
      </w:r>
      <w:r w:rsidRPr="005A55CA">
        <w:rPr>
          <w:sz w:val="22"/>
          <w:szCs w:val="22"/>
        </w:rPr>
        <w:t xml:space="preserve"> tekst (</w:t>
      </w:r>
      <w:r w:rsidRPr="00322E9B">
        <w:rPr>
          <w:b/>
          <w:sz w:val="22"/>
          <w:szCs w:val="22"/>
        </w:rPr>
        <w:t>punkt 3</w:t>
      </w:r>
      <w:r w:rsidRPr="005A55CA">
        <w:rPr>
          <w:sz w:val="22"/>
          <w:szCs w:val="22"/>
        </w:rPr>
        <w:t>) ja ümberkujundamisaruande vastavalt äriseadustiku §-le 479 (</w:t>
      </w:r>
      <w:r w:rsidRPr="00322E9B">
        <w:rPr>
          <w:b/>
          <w:sz w:val="22"/>
          <w:szCs w:val="22"/>
        </w:rPr>
        <w:t>punkt 4</w:t>
      </w:r>
      <w:r w:rsidRPr="005A55CA">
        <w:rPr>
          <w:sz w:val="22"/>
          <w:szCs w:val="22"/>
        </w:rPr>
        <w:t>). Ümberkujundamisaruanne on kirjalik aruanne, mille koostavad ühingu juhatus või ühingut juhtima õigustatud osanikud. Lõike 3 punkti 4 kohaselt peab Finantsinspektsioonile esitatav ümberkujundamisaruanne olema ka audiitor</w:t>
      </w:r>
      <w:r>
        <w:rPr>
          <w:sz w:val="22"/>
          <w:szCs w:val="22"/>
        </w:rPr>
        <w:t>ettevõtja</w:t>
      </w:r>
      <w:r w:rsidRPr="005A55CA">
        <w:rPr>
          <w:sz w:val="22"/>
          <w:szCs w:val="22"/>
        </w:rPr>
        <w:t xml:space="preserve"> poolt eelnevalt kontrollitud. Täpsemad nõuded sätestavad eelnimetatud aruandele ÄS § 479 lõiked 1-2.</w:t>
      </w:r>
    </w:p>
    <w:p w14:paraId="7D5BAF69" w14:textId="77777777" w:rsidR="003057ED" w:rsidRPr="005A55CA" w:rsidRDefault="003057ED" w:rsidP="003057ED">
      <w:pPr>
        <w:spacing w:before="0"/>
        <w:rPr>
          <w:sz w:val="22"/>
          <w:szCs w:val="22"/>
        </w:rPr>
      </w:pPr>
    </w:p>
    <w:p w14:paraId="416537AB" w14:textId="77777777" w:rsidR="003057ED" w:rsidRPr="005A55CA" w:rsidRDefault="003057ED" w:rsidP="003057ED">
      <w:pPr>
        <w:shd w:val="clear" w:color="auto" w:fill="FFFFFF"/>
        <w:spacing w:before="0"/>
        <w:rPr>
          <w:color w:val="202020"/>
          <w:sz w:val="22"/>
          <w:szCs w:val="22"/>
        </w:rPr>
      </w:pPr>
      <w:r w:rsidRPr="005A55CA">
        <w:rPr>
          <w:b/>
          <w:color w:val="202020"/>
          <w:sz w:val="22"/>
          <w:szCs w:val="22"/>
        </w:rPr>
        <w:t>Lõige 4</w:t>
      </w:r>
      <w:r w:rsidRPr="005A55CA">
        <w:rPr>
          <w:color w:val="202020"/>
          <w:sz w:val="22"/>
          <w:szCs w:val="22"/>
        </w:rPr>
        <w:t xml:space="preserve"> sätestab finantsjärelevalvele ajaraamistiku, mille jooksul peab Finantsinspektsioon tegema motiveeritud otsuse ümberkujundamiseks nõusoleku andmise või sellest keeldumise kohta. Nimetatud lõike kohaselt teeb Finantsinspektsioon ümberkujundamise otsuse kohta motiveeritud otsuse nõusoleku andmise või sellest keeldumise kohta üldjuhul ühe kuu jooksul alates nõuetekohaste dokumentide ja andmete saamisest. Maksimaalselt võib nimetatud otsuse tegemine aega võtta kolm kuud ümberkujundamistaotluse esitamisest.</w:t>
      </w:r>
    </w:p>
    <w:p w14:paraId="631583F2" w14:textId="77777777" w:rsidR="003057ED" w:rsidRPr="005A55CA" w:rsidRDefault="003057ED" w:rsidP="003057ED">
      <w:pPr>
        <w:spacing w:before="0"/>
        <w:rPr>
          <w:sz w:val="22"/>
          <w:szCs w:val="22"/>
        </w:rPr>
      </w:pPr>
    </w:p>
    <w:p w14:paraId="4B73B92C" w14:textId="77777777" w:rsidR="003057ED" w:rsidRPr="005A55CA" w:rsidRDefault="003057ED" w:rsidP="003057ED">
      <w:pPr>
        <w:shd w:val="clear" w:color="auto" w:fill="FFFFFF"/>
        <w:spacing w:before="0"/>
        <w:rPr>
          <w:color w:val="202020"/>
          <w:sz w:val="22"/>
          <w:szCs w:val="22"/>
        </w:rPr>
      </w:pPr>
      <w:r w:rsidRPr="005A55CA">
        <w:rPr>
          <w:b/>
          <w:sz w:val="22"/>
          <w:szCs w:val="22"/>
        </w:rPr>
        <w:t>Lõige 5</w:t>
      </w:r>
      <w:r w:rsidRPr="005A55CA">
        <w:rPr>
          <w:sz w:val="22"/>
          <w:szCs w:val="22"/>
        </w:rPr>
        <w:t xml:space="preserve"> kehtestab finantsjärelevalvele õiguse keelduda ümberkujundamise loa andmisest.</w:t>
      </w:r>
      <w:r w:rsidRPr="005A55CA">
        <w:rPr>
          <w:color w:val="202020"/>
          <w:sz w:val="22"/>
          <w:szCs w:val="22"/>
        </w:rPr>
        <w:t xml:space="preserve"> Kuivõrd loa andmisest keeldumisega kaasneb tugev isiku õiguste riive, siis on konkreetsemad ümberkujundamise keeldumise alused äärmiselt olulised. Lõike 5 kohaselt võib Finantsinspektsioon keelduda ümberkujundamise loa andmisest, kui ümberkujundamise luba taotleva teenuseosutaja juhid ei vasta käesolevast seadusest ja selle alusel antud õigusaktidest tulenevatele nõuetele (</w:t>
      </w:r>
      <w:r w:rsidRPr="00C52E83">
        <w:rPr>
          <w:b/>
          <w:color w:val="202020"/>
          <w:sz w:val="22"/>
          <w:szCs w:val="22"/>
        </w:rPr>
        <w:t>punkt 1</w:t>
      </w:r>
      <w:r w:rsidRPr="005A55CA">
        <w:rPr>
          <w:color w:val="202020"/>
          <w:sz w:val="22"/>
          <w:szCs w:val="22"/>
        </w:rPr>
        <w:t>). Keeldumise aluseks võivad samuti olla olukorrad, kus ümberkujundamise luba taotleva teenuseosutaja finantsseisund ei vasta käesolevas seaduses sätestatud nõuetele (</w:t>
      </w:r>
      <w:r w:rsidRPr="00C52E83">
        <w:rPr>
          <w:b/>
          <w:color w:val="202020"/>
          <w:sz w:val="22"/>
          <w:szCs w:val="22"/>
        </w:rPr>
        <w:t>punkt 2</w:t>
      </w:r>
      <w:r w:rsidRPr="005A55CA">
        <w:rPr>
          <w:color w:val="202020"/>
          <w:sz w:val="22"/>
          <w:szCs w:val="22"/>
        </w:rPr>
        <w:t>) või ümberkujundamisega seotud dokumentatsioon ei vasta käesolevas seaduses või muudes õigusaktides sätestatud nõuetele (</w:t>
      </w:r>
      <w:r w:rsidRPr="00C52E83">
        <w:rPr>
          <w:b/>
          <w:color w:val="202020"/>
          <w:sz w:val="22"/>
          <w:szCs w:val="22"/>
        </w:rPr>
        <w:t>punkt 3</w:t>
      </w:r>
      <w:r w:rsidRPr="005A55CA">
        <w:rPr>
          <w:color w:val="202020"/>
          <w:sz w:val="22"/>
          <w:szCs w:val="22"/>
        </w:rPr>
        <w:t>). Kui teenuseosutaja ümberkujundamine takistab teenuseosutaja üle vajalikul tasemel järelevalve teostamist (</w:t>
      </w:r>
      <w:r w:rsidRPr="00C52E83">
        <w:rPr>
          <w:b/>
          <w:color w:val="202020"/>
          <w:sz w:val="22"/>
          <w:szCs w:val="22"/>
        </w:rPr>
        <w:t>punkt 4</w:t>
      </w:r>
      <w:r w:rsidRPr="005A55CA">
        <w:rPr>
          <w:color w:val="202020"/>
          <w:sz w:val="22"/>
          <w:szCs w:val="22"/>
        </w:rPr>
        <w:t>) või kui ümberkujundamine võib muul põhjusel kahjustada teenuseosutaja klientide või teiste võlausaldajate huve (</w:t>
      </w:r>
      <w:r w:rsidRPr="00C52E83">
        <w:rPr>
          <w:b/>
          <w:color w:val="202020"/>
          <w:sz w:val="22"/>
          <w:szCs w:val="22"/>
        </w:rPr>
        <w:t>punkt 5</w:t>
      </w:r>
      <w:r w:rsidRPr="005A55CA">
        <w:rPr>
          <w:color w:val="202020"/>
          <w:sz w:val="22"/>
          <w:szCs w:val="22"/>
        </w:rPr>
        <w:t xml:space="preserve">), on </w:t>
      </w:r>
      <w:r>
        <w:rPr>
          <w:color w:val="202020"/>
          <w:sz w:val="22"/>
          <w:szCs w:val="22"/>
        </w:rPr>
        <w:t>F</w:t>
      </w:r>
      <w:r w:rsidRPr="005A55CA">
        <w:rPr>
          <w:color w:val="202020"/>
          <w:sz w:val="22"/>
          <w:szCs w:val="22"/>
        </w:rPr>
        <w:t xml:space="preserve">inantsinspektsioonil õigus keelduda ümberkujundamise loa andmisest. Samuti on oluline, et finantsjärelevalve õigus keelduda ei oleks piiratud üksnes eelnimetatud olukordadega, vaid kui esineb muu oluline alus ümberkujundamise mittelubamiseks, siis lõike 5 </w:t>
      </w:r>
      <w:r w:rsidRPr="00C52E83">
        <w:rPr>
          <w:b/>
          <w:color w:val="202020"/>
          <w:sz w:val="22"/>
          <w:szCs w:val="22"/>
        </w:rPr>
        <w:t>punkt 6</w:t>
      </w:r>
      <w:r w:rsidRPr="005A55CA">
        <w:rPr>
          <w:color w:val="202020"/>
          <w:sz w:val="22"/>
          <w:szCs w:val="22"/>
        </w:rPr>
        <w:t xml:space="preserve"> annab selle aluse.</w:t>
      </w:r>
    </w:p>
    <w:p w14:paraId="3193BA28" w14:textId="77777777" w:rsidR="003057ED" w:rsidRPr="005A55CA" w:rsidRDefault="003057ED" w:rsidP="003057ED">
      <w:pPr>
        <w:shd w:val="clear" w:color="auto" w:fill="FFFFFF"/>
        <w:spacing w:before="0"/>
        <w:rPr>
          <w:sz w:val="22"/>
          <w:szCs w:val="22"/>
        </w:rPr>
      </w:pPr>
    </w:p>
    <w:p w14:paraId="0B595CF6" w14:textId="77777777" w:rsidR="003057ED" w:rsidRPr="005A55CA" w:rsidRDefault="003057ED" w:rsidP="003057ED">
      <w:pPr>
        <w:shd w:val="clear" w:color="auto" w:fill="FFFFFF"/>
        <w:spacing w:before="0"/>
        <w:rPr>
          <w:sz w:val="22"/>
          <w:szCs w:val="22"/>
        </w:rPr>
      </w:pPr>
      <w:r w:rsidRPr="005A55CA">
        <w:rPr>
          <w:b/>
          <w:sz w:val="22"/>
          <w:szCs w:val="22"/>
        </w:rPr>
        <w:t xml:space="preserve">Lõige 6 </w:t>
      </w:r>
      <w:r w:rsidRPr="005A55CA">
        <w:rPr>
          <w:sz w:val="22"/>
          <w:szCs w:val="22"/>
        </w:rPr>
        <w:t>sätestab, et Äriregistrile esitatavale avaldusele lisatakse Finantsinspektsiooni luba teenuseosutaja ümberkujundamiseks, millest tulenevalt on vajalik saada Finantsinspektsiooni luba enne ümberkujundamise lõpuleviimist äriregistri kandega.</w:t>
      </w:r>
    </w:p>
    <w:p w14:paraId="7E500754" w14:textId="77777777" w:rsidR="003057ED" w:rsidRPr="005A55CA" w:rsidRDefault="003057ED" w:rsidP="003057ED">
      <w:pPr>
        <w:shd w:val="clear" w:color="auto" w:fill="FFFFFF"/>
        <w:spacing w:before="0"/>
        <w:rPr>
          <w:sz w:val="22"/>
          <w:szCs w:val="22"/>
        </w:rPr>
      </w:pPr>
    </w:p>
    <w:p w14:paraId="5F362A09" w14:textId="77777777" w:rsidR="003057ED" w:rsidRPr="005A55CA" w:rsidRDefault="003057ED" w:rsidP="003057ED">
      <w:pPr>
        <w:shd w:val="clear" w:color="auto" w:fill="FFFFFF"/>
        <w:spacing w:before="0"/>
        <w:rPr>
          <w:sz w:val="22"/>
          <w:szCs w:val="22"/>
        </w:rPr>
      </w:pPr>
      <w:r w:rsidRPr="005A55CA">
        <w:rPr>
          <w:b/>
          <w:sz w:val="22"/>
          <w:szCs w:val="22"/>
        </w:rPr>
        <w:lastRenderedPageBreak/>
        <w:t>Lõike 7</w:t>
      </w:r>
      <w:r w:rsidRPr="005A55CA">
        <w:rPr>
          <w:sz w:val="22"/>
          <w:szCs w:val="22"/>
        </w:rPr>
        <w:t xml:space="preserve"> kohaselt avalikustab Finantsinspektsioon ümberkujundamisloa andmise otsuse hiljemalt otsuse tegemisele järgneval tööpäeval oma veebilehel.</w:t>
      </w:r>
    </w:p>
    <w:p w14:paraId="3BF77350" w14:textId="77777777" w:rsidR="003057ED" w:rsidRDefault="003057ED" w:rsidP="003057ED">
      <w:pPr>
        <w:shd w:val="clear" w:color="auto" w:fill="FFFFFF"/>
        <w:spacing w:before="0"/>
        <w:rPr>
          <w:color w:val="202020"/>
          <w:sz w:val="22"/>
          <w:szCs w:val="22"/>
        </w:rPr>
      </w:pPr>
    </w:p>
    <w:p w14:paraId="1F0F87F3" w14:textId="77777777" w:rsidR="003057ED" w:rsidRPr="005A55CA" w:rsidRDefault="003057ED" w:rsidP="003057ED">
      <w:pPr>
        <w:shd w:val="clear" w:color="auto" w:fill="FFFFFF"/>
        <w:spacing w:before="0"/>
        <w:rPr>
          <w:color w:val="202020"/>
          <w:sz w:val="22"/>
          <w:szCs w:val="22"/>
        </w:rPr>
      </w:pPr>
      <w:r w:rsidRPr="009764C9">
        <w:rPr>
          <w:b/>
          <w:color w:val="202020"/>
          <w:sz w:val="22"/>
          <w:szCs w:val="22"/>
        </w:rPr>
        <w:t>Paragrahv 8</w:t>
      </w:r>
      <w:r>
        <w:rPr>
          <w:b/>
          <w:color w:val="202020"/>
          <w:sz w:val="22"/>
          <w:szCs w:val="22"/>
        </w:rPr>
        <w:t>1</w:t>
      </w:r>
      <w:r w:rsidRPr="009764C9">
        <w:rPr>
          <w:color w:val="202020"/>
          <w:sz w:val="22"/>
          <w:szCs w:val="22"/>
        </w:rPr>
        <w:t xml:space="preserve"> sätestab nõuded </w:t>
      </w:r>
      <w:r w:rsidRPr="009764C9">
        <w:rPr>
          <w:b/>
          <w:color w:val="202020"/>
          <w:sz w:val="22"/>
          <w:szCs w:val="22"/>
        </w:rPr>
        <w:t>ühinemisele</w:t>
      </w:r>
      <w:r w:rsidRPr="009764C9">
        <w:rPr>
          <w:color w:val="202020"/>
          <w:sz w:val="22"/>
          <w:szCs w:val="22"/>
        </w:rPr>
        <w:t>.</w:t>
      </w:r>
      <w:r w:rsidRPr="005A55CA">
        <w:rPr>
          <w:color w:val="202020"/>
          <w:sz w:val="22"/>
          <w:szCs w:val="22"/>
        </w:rPr>
        <w:t xml:space="preserve"> </w:t>
      </w:r>
    </w:p>
    <w:p w14:paraId="31DF3E7C" w14:textId="77777777" w:rsidR="003057ED" w:rsidRPr="005A55CA" w:rsidRDefault="003057ED" w:rsidP="003057ED">
      <w:pPr>
        <w:pStyle w:val="Normal2"/>
        <w:rPr>
          <w:color w:val="202020"/>
          <w:szCs w:val="22"/>
        </w:rPr>
      </w:pPr>
    </w:p>
    <w:p w14:paraId="5C6CE047" w14:textId="77777777" w:rsidR="003057ED" w:rsidRDefault="003057ED" w:rsidP="003057ED">
      <w:pPr>
        <w:pStyle w:val="Normal2"/>
        <w:rPr>
          <w:color w:val="202020"/>
          <w:szCs w:val="22"/>
        </w:rPr>
      </w:pPr>
      <w:r w:rsidRPr="005A55CA">
        <w:rPr>
          <w:color w:val="202020"/>
          <w:szCs w:val="22"/>
        </w:rPr>
        <w:t xml:space="preserve">Ühinemine on üks võimalustest ettevõtte tegevuse ümberkorraldamiseks ja levinud eeskätt kontsernisiseselt. Põhjuseid selleks võib olla mitmeid, näiteks kontsernistruktuuri lihtsustamine. Ühinemise tulemusena peab vähemalt üks esialgne äriühing lõppema. Terminit „ühinevad ühingud“ kasutatakse </w:t>
      </w:r>
      <w:proofErr w:type="spellStart"/>
      <w:r w:rsidRPr="005A55CA">
        <w:rPr>
          <w:color w:val="202020"/>
          <w:szCs w:val="22"/>
        </w:rPr>
        <w:t>üldmõistena</w:t>
      </w:r>
      <w:proofErr w:type="spellEnd"/>
      <w:r w:rsidRPr="005A55CA">
        <w:rPr>
          <w:color w:val="202020"/>
          <w:szCs w:val="22"/>
        </w:rPr>
        <w:t xml:space="preserve"> ühinemisel osalevate ühingute nimetamiseks. „Ühendatav ühing“ on ettevõte, mis protsessi tulemusena lõpeb. „Ühendav ühing“ jätkab ühinemise tulemusel aga tegevust.</w:t>
      </w:r>
      <w:r w:rsidRPr="00CF2ECF">
        <w:rPr>
          <w:color w:val="202020"/>
          <w:szCs w:val="22"/>
          <w:vertAlign w:val="superscript"/>
        </w:rPr>
        <w:footnoteReference w:id="53"/>
      </w:r>
      <w:r w:rsidRPr="00CF2ECF">
        <w:rPr>
          <w:color w:val="202020"/>
          <w:szCs w:val="22"/>
          <w:vertAlign w:val="superscript"/>
        </w:rPr>
        <w:t xml:space="preserve"> </w:t>
      </w:r>
      <w:r w:rsidRPr="005A55CA">
        <w:rPr>
          <w:color w:val="202020"/>
          <w:szCs w:val="22"/>
        </w:rPr>
        <w:t xml:space="preserve">Ühinemise korral läheb ühendatava ühingu vara, mis hõlmab ka kohustusi, täielikult üle ühendavale ühingule </w:t>
      </w:r>
      <w:proofErr w:type="spellStart"/>
      <w:r w:rsidRPr="005A55CA">
        <w:rPr>
          <w:color w:val="202020"/>
          <w:szCs w:val="22"/>
        </w:rPr>
        <w:t>üldõigusjärgluse</w:t>
      </w:r>
      <w:proofErr w:type="spellEnd"/>
      <w:r w:rsidRPr="005A55CA">
        <w:rPr>
          <w:color w:val="202020"/>
          <w:szCs w:val="22"/>
        </w:rPr>
        <w:t xml:space="preserve"> korras.</w:t>
      </w:r>
      <w:r w:rsidRPr="00CF2ECF">
        <w:rPr>
          <w:color w:val="202020"/>
          <w:szCs w:val="22"/>
          <w:vertAlign w:val="superscript"/>
        </w:rPr>
        <w:footnoteReference w:id="54"/>
      </w:r>
    </w:p>
    <w:p w14:paraId="57E4FDB3" w14:textId="77777777" w:rsidR="003057ED" w:rsidRDefault="003057ED" w:rsidP="003057ED">
      <w:pPr>
        <w:pStyle w:val="Normal2"/>
        <w:rPr>
          <w:color w:val="202020"/>
          <w:szCs w:val="22"/>
        </w:rPr>
      </w:pPr>
    </w:p>
    <w:p w14:paraId="06E5AA2D" w14:textId="77777777" w:rsidR="003057ED" w:rsidRPr="00F5601D" w:rsidRDefault="003057ED" w:rsidP="003057ED">
      <w:pPr>
        <w:pStyle w:val="Normal2"/>
        <w:rPr>
          <w:color w:val="202020"/>
          <w:szCs w:val="22"/>
        </w:rPr>
      </w:pPr>
      <w:r w:rsidRPr="00F5601D">
        <w:rPr>
          <w:b/>
          <w:bCs w:val="0"/>
          <w:color w:val="202020"/>
          <w:szCs w:val="22"/>
        </w:rPr>
        <w:t>Lõige 1</w:t>
      </w:r>
      <w:r>
        <w:rPr>
          <w:b/>
          <w:bCs w:val="0"/>
          <w:color w:val="202020"/>
          <w:szCs w:val="22"/>
        </w:rPr>
        <w:t xml:space="preserve"> </w:t>
      </w:r>
      <w:r w:rsidRPr="00F5601D">
        <w:rPr>
          <w:color w:val="202020"/>
          <w:szCs w:val="22"/>
        </w:rPr>
        <w:t xml:space="preserve">ütleb, et teenuseosutaja ühineb äriseadustikus sätestatud korras, kui käesolevast seadusest ei tulene teisiti. </w:t>
      </w:r>
      <w:r>
        <w:rPr>
          <w:color w:val="202020"/>
          <w:szCs w:val="22"/>
        </w:rPr>
        <w:t>Üldised ühinemisnõuded tulenevad ÄS 31. peatükist.</w:t>
      </w:r>
      <w:r w:rsidRPr="00F5601D">
        <w:rPr>
          <w:color w:val="202020"/>
          <w:szCs w:val="22"/>
        </w:rPr>
        <w:t xml:space="preserve"> </w:t>
      </w:r>
    </w:p>
    <w:p w14:paraId="33BE3446" w14:textId="77777777" w:rsidR="003057ED" w:rsidRPr="00FB7158" w:rsidRDefault="003057ED" w:rsidP="003057ED">
      <w:pPr>
        <w:pStyle w:val="Normal2"/>
        <w:rPr>
          <w:sz w:val="18"/>
          <w:szCs w:val="18"/>
        </w:rPr>
      </w:pPr>
    </w:p>
    <w:p w14:paraId="22E8368D" w14:textId="77777777" w:rsidR="003057ED" w:rsidRPr="00DF6C20" w:rsidRDefault="003057ED" w:rsidP="003057ED">
      <w:pPr>
        <w:pStyle w:val="Normal2"/>
        <w:rPr>
          <w:b/>
          <w:szCs w:val="22"/>
        </w:rPr>
      </w:pPr>
      <w:r w:rsidRPr="00DF6C20">
        <w:rPr>
          <w:b/>
          <w:szCs w:val="22"/>
        </w:rPr>
        <w:t>Joonis 10. Ühinevate ühingute jätkumine pärast ühinemist</w:t>
      </w:r>
    </w:p>
    <w:p w14:paraId="41817FE3" w14:textId="77777777" w:rsidR="003057ED" w:rsidRDefault="003057ED" w:rsidP="003057ED">
      <w:pPr>
        <w:pStyle w:val="Normal2"/>
        <w:jc w:val="center"/>
        <w:rPr>
          <w:b/>
          <w:color w:val="202020"/>
          <w:szCs w:val="22"/>
        </w:rPr>
      </w:pPr>
      <w:r>
        <w:rPr>
          <w:b/>
          <w:noProof/>
          <w:color w:val="202020"/>
          <w:szCs w:val="22"/>
          <w:lang w:val="en-GB" w:eastAsia="en-GB"/>
        </w:rPr>
        <w:drawing>
          <wp:inline distT="0" distB="0" distL="0" distR="0" wp14:anchorId="7906EC4E" wp14:editId="19A4668C">
            <wp:extent cx="2407920" cy="2091055"/>
            <wp:effectExtent l="0" t="0" r="0" b="4445"/>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7920" cy="2091055"/>
                    </a:xfrm>
                    <a:prstGeom prst="rect">
                      <a:avLst/>
                    </a:prstGeom>
                    <a:noFill/>
                  </pic:spPr>
                </pic:pic>
              </a:graphicData>
            </a:graphic>
          </wp:inline>
        </w:drawing>
      </w:r>
    </w:p>
    <w:p w14:paraId="2013F7F1" w14:textId="77777777" w:rsidR="003057ED" w:rsidRDefault="003057ED" w:rsidP="003057ED">
      <w:pPr>
        <w:pStyle w:val="Normal2"/>
        <w:rPr>
          <w:b/>
          <w:color w:val="202020"/>
          <w:szCs w:val="22"/>
        </w:rPr>
      </w:pPr>
    </w:p>
    <w:p w14:paraId="391B8F2D" w14:textId="77777777" w:rsidR="003057ED" w:rsidRDefault="003057ED" w:rsidP="003057ED">
      <w:pPr>
        <w:pStyle w:val="Normal2"/>
        <w:rPr>
          <w:color w:val="202020"/>
          <w:szCs w:val="22"/>
        </w:rPr>
      </w:pPr>
      <w:r w:rsidRPr="005A55CA">
        <w:rPr>
          <w:b/>
          <w:color w:val="202020"/>
          <w:szCs w:val="22"/>
        </w:rPr>
        <w:t xml:space="preserve">Lõige </w:t>
      </w:r>
      <w:r>
        <w:rPr>
          <w:b/>
          <w:color w:val="202020"/>
          <w:szCs w:val="22"/>
        </w:rPr>
        <w:t>2</w:t>
      </w:r>
      <w:r w:rsidRPr="005A55CA">
        <w:rPr>
          <w:color w:val="202020"/>
          <w:szCs w:val="22"/>
        </w:rPr>
        <w:t xml:space="preserve"> annab teenuseosutajale õiguse ühenda</w:t>
      </w:r>
      <w:r>
        <w:rPr>
          <w:color w:val="202020"/>
          <w:szCs w:val="22"/>
        </w:rPr>
        <w:t>ta</w:t>
      </w:r>
      <w:r w:rsidRPr="005A55CA">
        <w:rPr>
          <w:color w:val="202020"/>
          <w:szCs w:val="22"/>
        </w:rPr>
        <w:t xml:space="preserve">va ühinguna ühineda. </w:t>
      </w:r>
      <w:r>
        <w:rPr>
          <w:color w:val="202020"/>
          <w:szCs w:val="22"/>
        </w:rPr>
        <w:t>E</w:t>
      </w:r>
      <w:r w:rsidRPr="005A55CA">
        <w:rPr>
          <w:color w:val="202020"/>
          <w:szCs w:val="22"/>
        </w:rPr>
        <w:t>elviidatud ühinemisprotsess võib toimuda teise teenuseosutajaga</w:t>
      </w:r>
      <w:r>
        <w:rPr>
          <w:color w:val="202020"/>
          <w:szCs w:val="22"/>
        </w:rPr>
        <w:t xml:space="preserve"> või teise lepinguriigi krediidiasutuse, investeerimisühingu, e-raha asutuse või makseasutusega, või äriühinguga, kellele on väljastatud EL </w:t>
      </w:r>
      <w:proofErr w:type="spellStart"/>
      <w:r>
        <w:rPr>
          <w:color w:val="202020"/>
          <w:szCs w:val="22"/>
        </w:rPr>
        <w:t>ühisrahastusmääruse</w:t>
      </w:r>
      <w:proofErr w:type="spellEnd"/>
      <w:r>
        <w:rPr>
          <w:color w:val="202020"/>
          <w:szCs w:val="22"/>
        </w:rPr>
        <w:t xml:space="preserve"> alusel tegevusluba. Ühendataval teenuseosutaja tegevusloa kehtivus sellisel juhul lõpeb.</w:t>
      </w:r>
    </w:p>
    <w:p w14:paraId="715074C8" w14:textId="77777777" w:rsidR="003057ED" w:rsidRDefault="003057ED" w:rsidP="003057ED">
      <w:pPr>
        <w:pStyle w:val="Normal2"/>
        <w:rPr>
          <w:color w:val="202020"/>
          <w:szCs w:val="22"/>
        </w:rPr>
      </w:pPr>
    </w:p>
    <w:p w14:paraId="369D08C7" w14:textId="7A9ACEAD" w:rsidR="003057ED" w:rsidRDefault="003057ED" w:rsidP="003057ED">
      <w:pPr>
        <w:pStyle w:val="Normal2"/>
        <w:rPr>
          <w:color w:val="202020"/>
          <w:szCs w:val="22"/>
        </w:rPr>
      </w:pPr>
      <w:r>
        <w:rPr>
          <w:b/>
          <w:color w:val="202020"/>
          <w:szCs w:val="22"/>
        </w:rPr>
        <w:t xml:space="preserve">Lõike 3 </w:t>
      </w:r>
      <w:r w:rsidRPr="005A55CA">
        <w:rPr>
          <w:color w:val="202020"/>
          <w:szCs w:val="22"/>
        </w:rPr>
        <w:t xml:space="preserve">kohaselt võib teenuseosutaja ühendava ühinguna ühineda </w:t>
      </w:r>
      <w:r>
        <w:rPr>
          <w:color w:val="202020"/>
          <w:szCs w:val="22"/>
        </w:rPr>
        <w:t>teise teenuseosutaja või teise lepinguriigi krediidiasutuse,</w:t>
      </w:r>
      <w:r w:rsidRPr="009764C9">
        <w:rPr>
          <w:color w:val="202020"/>
          <w:szCs w:val="22"/>
        </w:rPr>
        <w:t xml:space="preserve"> </w:t>
      </w:r>
      <w:r>
        <w:rPr>
          <w:color w:val="202020"/>
          <w:szCs w:val="22"/>
        </w:rPr>
        <w:t xml:space="preserve">investeerimisühingu, e-raha asutuse või makseasutusega, või äriühinguga, kellele on väljastatud EL </w:t>
      </w:r>
      <w:proofErr w:type="spellStart"/>
      <w:r>
        <w:rPr>
          <w:color w:val="202020"/>
          <w:szCs w:val="22"/>
        </w:rPr>
        <w:t>ühisrahastusmääruse</w:t>
      </w:r>
      <w:proofErr w:type="spellEnd"/>
      <w:r>
        <w:rPr>
          <w:color w:val="202020"/>
          <w:szCs w:val="22"/>
        </w:rPr>
        <w:t xml:space="preserve"> alusel tegevusluba. Sama lõike </w:t>
      </w:r>
      <w:r w:rsidRPr="00C52E83">
        <w:rPr>
          <w:b/>
          <w:color w:val="202020"/>
          <w:szCs w:val="22"/>
        </w:rPr>
        <w:t>punkti 2</w:t>
      </w:r>
      <w:r>
        <w:rPr>
          <w:color w:val="202020"/>
          <w:szCs w:val="22"/>
        </w:rPr>
        <w:t xml:space="preserve"> järgi on teenuseosutajal õigus ühendava ühinguna ühineda</w:t>
      </w:r>
      <w:r w:rsidRPr="005A55CA">
        <w:rPr>
          <w:color w:val="202020"/>
          <w:szCs w:val="22"/>
        </w:rPr>
        <w:t xml:space="preserve"> ka muu finantseerimisasutuse või abiettevõtjaga, </w:t>
      </w:r>
      <w:r w:rsidR="00CF2ECF">
        <w:rPr>
          <w:color w:val="202020"/>
          <w:szCs w:val="22"/>
        </w:rPr>
        <w:t xml:space="preserve">mille peamine ja püsiv tegevus on finantsteenuste, infotehnoloogiateenuste, vastavuskontrolli teenuste või muu sarnase teenuse osutamine või tegevus, mis abistab või täiendab teenuseosutaja põhitegevust. </w:t>
      </w:r>
    </w:p>
    <w:p w14:paraId="17EEA6C9" w14:textId="77777777" w:rsidR="003057ED" w:rsidRPr="005A55CA" w:rsidRDefault="003057ED" w:rsidP="003057ED">
      <w:pPr>
        <w:pStyle w:val="Normal2"/>
        <w:rPr>
          <w:rFonts w:eastAsiaTheme="minorHAnsi"/>
          <w:color w:val="202020"/>
          <w:szCs w:val="22"/>
        </w:rPr>
      </w:pPr>
    </w:p>
    <w:p w14:paraId="39811F72" w14:textId="77777777" w:rsidR="003057ED" w:rsidRDefault="003057ED" w:rsidP="00CF2ECF">
      <w:pPr>
        <w:shd w:val="clear" w:color="auto" w:fill="FFFFFF"/>
        <w:spacing w:before="0"/>
        <w:rPr>
          <w:color w:val="202020"/>
          <w:sz w:val="22"/>
          <w:szCs w:val="22"/>
        </w:rPr>
      </w:pPr>
      <w:r w:rsidRPr="005A55CA">
        <w:rPr>
          <w:b/>
          <w:color w:val="202020"/>
          <w:sz w:val="22"/>
          <w:szCs w:val="22"/>
        </w:rPr>
        <w:t xml:space="preserve">Lõike </w:t>
      </w:r>
      <w:r>
        <w:rPr>
          <w:b/>
          <w:color w:val="202020"/>
          <w:sz w:val="22"/>
          <w:szCs w:val="22"/>
        </w:rPr>
        <w:t>4</w:t>
      </w:r>
      <w:r w:rsidRPr="005A55CA">
        <w:rPr>
          <w:color w:val="202020"/>
          <w:sz w:val="22"/>
          <w:szCs w:val="22"/>
        </w:rPr>
        <w:t xml:space="preserve"> kohaselt </w:t>
      </w:r>
      <w:r>
        <w:rPr>
          <w:color w:val="202020"/>
          <w:sz w:val="22"/>
          <w:szCs w:val="22"/>
        </w:rPr>
        <w:t xml:space="preserve">jätkab teenuseosutaja tegevust ühendava teenuseosutaja tegevusloa alusel, kui ühinemine toimub lõikes 3 sätestatud juhul. Tegemist on täiendusega eelnõus sisalduvasse ühinemise regulatsiooni, mille kohaselt on ühinevatel ühingutel õigus ühendaval ühingul kehtinud tegevusluba alles jätta. </w:t>
      </w:r>
    </w:p>
    <w:p w14:paraId="29A03B9F" w14:textId="77777777" w:rsidR="003057ED" w:rsidRDefault="003057ED" w:rsidP="00CF2ECF">
      <w:pPr>
        <w:shd w:val="clear" w:color="auto" w:fill="FFFFFF"/>
        <w:spacing w:before="0"/>
        <w:rPr>
          <w:color w:val="202020"/>
          <w:sz w:val="22"/>
          <w:szCs w:val="22"/>
        </w:rPr>
      </w:pPr>
    </w:p>
    <w:p w14:paraId="031C0920" w14:textId="77777777" w:rsidR="003057ED" w:rsidRPr="00B77C47" w:rsidRDefault="003057ED" w:rsidP="00CF2ECF">
      <w:pPr>
        <w:shd w:val="clear" w:color="auto" w:fill="FFFFFF"/>
        <w:spacing w:before="0"/>
        <w:rPr>
          <w:rFonts w:eastAsiaTheme="minorHAnsi"/>
          <w:color w:val="202020"/>
          <w:sz w:val="22"/>
          <w:szCs w:val="22"/>
        </w:rPr>
      </w:pPr>
      <w:r>
        <w:rPr>
          <w:b/>
          <w:color w:val="202020"/>
          <w:sz w:val="22"/>
          <w:szCs w:val="22"/>
        </w:rPr>
        <w:t xml:space="preserve">Lõike 5 </w:t>
      </w:r>
      <w:r>
        <w:rPr>
          <w:color w:val="202020"/>
          <w:sz w:val="22"/>
          <w:szCs w:val="22"/>
        </w:rPr>
        <w:t xml:space="preserve">järgi tuleb ühinevatel ühingutel taotleda Finantsinspektsioonilt uus tegevusluba, kui ühinemise tulemusel asutatakse uus </w:t>
      </w:r>
      <w:proofErr w:type="spellStart"/>
      <w:r>
        <w:rPr>
          <w:color w:val="202020"/>
          <w:sz w:val="22"/>
          <w:szCs w:val="22"/>
        </w:rPr>
        <w:t>ühisrahastustteenuse</w:t>
      </w:r>
      <w:proofErr w:type="spellEnd"/>
      <w:r>
        <w:rPr>
          <w:color w:val="202020"/>
          <w:sz w:val="22"/>
          <w:szCs w:val="22"/>
        </w:rPr>
        <w:t xml:space="preserve"> osutaja või </w:t>
      </w:r>
      <w:proofErr w:type="spellStart"/>
      <w:r>
        <w:rPr>
          <w:color w:val="202020"/>
          <w:sz w:val="22"/>
          <w:szCs w:val="22"/>
        </w:rPr>
        <w:t>krüptovarateenuse</w:t>
      </w:r>
      <w:proofErr w:type="spellEnd"/>
      <w:r>
        <w:rPr>
          <w:color w:val="202020"/>
          <w:sz w:val="22"/>
          <w:szCs w:val="22"/>
        </w:rPr>
        <w:t xml:space="preserve"> osutaja.  </w:t>
      </w:r>
      <w:r w:rsidRPr="00B77C47">
        <w:rPr>
          <w:color w:val="202020"/>
          <w:sz w:val="22"/>
          <w:szCs w:val="22"/>
        </w:rPr>
        <w:t xml:space="preserve">Uue ühingu asutajateks on  ühinevad ühingud. </w:t>
      </w:r>
      <w:r>
        <w:rPr>
          <w:color w:val="202020"/>
          <w:sz w:val="22"/>
          <w:szCs w:val="22"/>
        </w:rPr>
        <w:t>Seega, n</w:t>
      </w:r>
      <w:r w:rsidRPr="00B77C47">
        <w:rPr>
          <w:color w:val="202020"/>
          <w:sz w:val="22"/>
          <w:szCs w:val="22"/>
        </w:rPr>
        <w:t>imetatud sätte kohaselt, kui</w:t>
      </w:r>
      <w:r w:rsidRPr="00B77C47">
        <w:rPr>
          <w:color w:val="202020"/>
          <w:sz w:val="22"/>
          <w:szCs w:val="22"/>
          <w:lang w:val="x-none"/>
        </w:rPr>
        <w:t xml:space="preserve"> </w:t>
      </w:r>
      <w:proofErr w:type="spellStart"/>
      <w:r>
        <w:rPr>
          <w:color w:val="202020"/>
          <w:sz w:val="22"/>
          <w:szCs w:val="22"/>
        </w:rPr>
        <w:t>krüptovara</w:t>
      </w:r>
      <w:proofErr w:type="spellEnd"/>
      <w:r w:rsidRPr="00B77C47">
        <w:rPr>
          <w:color w:val="202020"/>
          <w:sz w:val="22"/>
          <w:szCs w:val="22"/>
          <w:lang w:val="x-none"/>
        </w:rPr>
        <w:t xml:space="preserve">teenuse osutaja või </w:t>
      </w:r>
      <w:proofErr w:type="spellStart"/>
      <w:r>
        <w:rPr>
          <w:color w:val="202020"/>
          <w:sz w:val="22"/>
          <w:szCs w:val="22"/>
        </w:rPr>
        <w:t>ühisrahastus</w:t>
      </w:r>
      <w:proofErr w:type="spellEnd"/>
      <w:r w:rsidRPr="00B77C47">
        <w:rPr>
          <w:color w:val="202020"/>
          <w:sz w:val="22"/>
          <w:szCs w:val="22"/>
          <w:lang w:val="x-none"/>
        </w:rPr>
        <w:t>teenuse osutaja ühine</w:t>
      </w:r>
      <w:r>
        <w:rPr>
          <w:color w:val="202020"/>
          <w:sz w:val="22"/>
          <w:szCs w:val="22"/>
        </w:rPr>
        <w:t>b</w:t>
      </w:r>
      <w:r w:rsidRPr="00B77C47">
        <w:rPr>
          <w:color w:val="202020"/>
          <w:sz w:val="22"/>
          <w:szCs w:val="22"/>
          <w:lang w:val="x-none"/>
        </w:rPr>
        <w:t xml:space="preserve"> uue teenuseosutaja asutamise teel, peab ühinemise tulemusel asutatav </w:t>
      </w:r>
      <w:r>
        <w:rPr>
          <w:color w:val="202020"/>
          <w:sz w:val="22"/>
          <w:szCs w:val="22"/>
        </w:rPr>
        <w:t>teenuse</w:t>
      </w:r>
      <w:r w:rsidRPr="00B77C47">
        <w:rPr>
          <w:color w:val="202020"/>
          <w:sz w:val="22"/>
          <w:szCs w:val="22"/>
          <w:lang w:val="x-none"/>
        </w:rPr>
        <w:t>osutaja taotlema tegevusloa käesoleva seaduse 2. peatükis sätestatud korras.</w:t>
      </w:r>
      <w:r w:rsidRPr="00B77C47">
        <w:rPr>
          <w:color w:val="202020"/>
          <w:sz w:val="22"/>
          <w:szCs w:val="22"/>
        </w:rPr>
        <w:t xml:space="preserve"> Sellise ühinemise käigus annavad ühinemisel osalevad ühingud oma vara, mille hulka loetakse ka kõik </w:t>
      </w:r>
      <w:r w:rsidRPr="00B77C47">
        <w:rPr>
          <w:color w:val="202020"/>
          <w:sz w:val="22"/>
          <w:szCs w:val="22"/>
        </w:rPr>
        <w:lastRenderedPageBreak/>
        <w:t>kohustused, üle uuele ühingule, mis asutatakse ühinemise käigus. Üh</w:t>
      </w:r>
      <w:r>
        <w:rPr>
          <w:color w:val="202020"/>
          <w:sz w:val="22"/>
          <w:szCs w:val="22"/>
        </w:rPr>
        <w:t>inevad</w:t>
      </w:r>
      <w:r w:rsidRPr="00B77C47">
        <w:rPr>
          <w:color w:val="202020"/>
          <w:sz w:val="22"/>
          <w:szCs w:val="22"/>
        </w:rPr>
        <w:t xml:space="preserve"> ühingud selle protsessi käigus lõppevad. Vt lisaks ÄS § 405.</w:t>
      </w:r>
    </w:p>
    <w:p w14:paraId="6596B33D" w14:textId="77777777" w:rsidR="003057ED" w:rsidRPr="005A55CA" w:rsidRDefault="003057ED" w:rsidP="003057ED">
      <w:pPr>
        <w:shd w:val="clear" w:color="auto" w:fill="FFFFFF"/>
        <w:spacing w:before="0"/>
        <w:rPr>
          <w:color w:val="202020"/>
          <w:sz w:val="22"/>
          <w:szCs w:val="22"/>
        </w:rPr>
      </w:pPr>
    </w:p>
    <w:p w14:paraId="61672837" w14:textId="77777777" w:rsidR="003057ED" w:rsidRDefault="003057ED" w:rsidP="003057ED">
      <w:pPr>
        <w:spacing w:before="0"/>
        <w:rPr>
          <w:color w:val="202020"/>
          <w:sz w:val="22"/>
          <w:szCs w:val="22"/>
        </w:rPr>
      </w:pPr>
      <w:r w:rsidRPr="005A55CA">
        <w:rPr>
          <w:b/>
          <w:color w:val="202020"/>
          <w:sz w:val="22"/>
          <w:szCs w:val="22"/>
        </w:rPr>
        <w:t xml:space="preserve">Lõike </w:t>
      </w:r>
      <w:r>
        <w:rPr>
          <w:b/>
          <w:color w:val="202020"/>
          <w:sz w:val="22"/>
          <w:szCs w:val="22"/>
        </w:rPr>
        <w:t>6</w:t>
      </w:r>
      <w:r w:rsidRPr="005A55CA">
        <w:rPr>
          <w:color w:val="202020"/>
          <w:sz w:val="22"/>
          <w:szCs w:val="22"/>
        </w:rPr>
        <w:t xml:space="preserve"> kohaselt on ü</w:t>
      </w:r>
      <w:r>
        <w:rPr>
          <w:color w:val="202020"/>
          <w:sz w:val="22"/>
          <w:szCs w:val="22"/>
        </w:rPr>
        <w:t>hinemiseks</w:t>
      </w:r>
      <w:r w:rsidRPr="005A55CA">
        <w:rPr>
          <w:color w:val="202020"/>
          <w:sz w:val="22"/>
          <w:szCs w:val="22"/>
        </w:rPr>
        <w:t xml:space="preserve"> vajalik Finantsinspektsiooni luba (edaspidi </w:t>
      </w:r>
      <w:r w:rsidRPr="005A55CA">
        <w:rPr>
          <w:i/>
          <w:color w:val="202020"/>
          <w:sz w:val="22"/>
          <w:szCs w:val="22"/>
        </w:rPr>
        <w:t>ühinemisluba</w:t>
      </w:r>
      <w:r w:rsidRPr="005A55CA">
        <w:rPr>
          <w:color w:val="202020"/>
          <w:sz w:val="22"/>
          <w:szCs w:val="22"/>
        </w:rPr>
        <w:t>). Ühinemisloa saamiseks esitab teenuseosutaja Finantsinspektsioonile ühinemislepingu (</w:t>
      </w:r>
      <w:r w:rsidRPr="00DC34DE">
        <w:rPr>
          <w:b/>
          <w:color w:val="202020"/>
          <w:sz w:val="22"/>
          <w:szCs w:val="22"/>
        </w:rPr>
        <w:t>punkt 1</w:t>
      </w:r>
      <w:r w:rsidRPr="005A55CA">
        <w:rPr>
          <w:color w:val="202020"/>
          <w:sz w:val="22"/>
          <w:szCs w:val="22"/>
        </w:rPr>
        <w:t>)</w:t>
      </w:r>
      <w:r>
        <w:rPr>
          <w:color w:val="202020"/>
          <w:sz w:val="22"/>
          <w:szCs w:val="22"/>
        </w:rPr>
        <w:t xml:space="preserve"> ja</w:t>
      </w:r>
      <w:r w:rsidRPr="005A55CA">
        <w:rPr>
          <w:color w:val="202020"/>
          <w:sz w:val="22"/>
          <w:szCs w:val="22"/>
        </w:rPr>
        <w:t xml:space="preserve"> ühinemisaruande (</w:t>
      </w:r>
      <w:r w:rsidRPr="00DC34DE">
        <w:rPr>
          <w:b/>
          <w:color w:val="202020"/>
          <w:sz w:val="22"/>
          <w:szCs w:val="22"/>
        </w:rPr>
        <w:t>punkt 2</w:t>
      </w:r>
      <w:r w:rsidRPr="005A55CA">
        <w:rPr>
          <w:color w:val="202020"/>
          <w:sz w:val="22"/>
          <w:szCs w:val="22"/>
        </w:rPr>
        <w:t>)</w:t>
      </w:r>
      <w:r>
        <w:rPr>
          <w:color w:val="202020"/>
          <w:sz w:val="22"/>
          <w:szCs w:val="22"/>
        </w:rPr>
        <w:t>.</w:t>
      </w:r>
      <w:r w:rsidRPr="005A55CA">
        <w:rPr>
          <w:color w:val="202020"/>
          <w:sz w:val="22"/>
          <w:szCs w:val="22"/>
        </w:rPr>
        <w:t xml:space="preserve"> </w:t>
      </w:r>
      <w:r>
        <w:rPr>
          <w:color w:val="202020"/>
          <w:sz w:val="22"/>
          <w:szCs w:val="22"/>
        </w:rPr>
        <w:t xml:space="preserve">Ühinemisleping peab vastama äriseadustikus ette nähtud nõuetele (vt ÄS § 392), mh peab see olema sõlmitud notariaalselt tõestatud vormis. Vastasel juhul ehk kui vorminõuet ei järgita, on leping </w:t>
      </w:r>
      <w:proofErr w:type="spellStart"/>
      <w:r>
        <w:rPr>
          <w:color w:val="202020"/>
          <w:sz w:val="22"/>
          <w:szCs w:val="22"/>
        </w:rPr>
        <w:t>TsÜS</w:t>
      </w:r>
      <w:proofErr w:type="spellEnd"/>
      <w:r>
        <w:rPr>
          <w:color w:val="202020"/>
          <w:sz w:val="22"/>
          <w:szCs w:val="22"/>
        </w:rPr>
        <w:t xml:space="preserve"> § 83 lg 1 kohaselt tühine. Edasilükkava või </w:t>
      </w:r>
      <w:proofErr w:type="spellStart"/>
      <w:r>
        <w:rPr>
          <w:color w:val="202020"/>
          <w:sz w:val="22"/>
          <w:szCs w:val="22"/>
        </w:rPr>
        <w:t>äramuutva</w:t>
      </w:r>
      <w:proofErr w:type="spellEnd"/>
      <w:r>
        <w:rPr>
          <w:color w:val="202020"/>
          <w:sz w:val="22"/>
          <w:szCs w:val="22"/>
        </w:rPr>
        <w:t xml:space="preserve"> tingimuse keelu kehtestab eelnõu § 78 lg 4.</w:t>
      </w:r>
    </w:p>
    <w:p w14:paraId="4D7EBCE4" w14:textId="77777777" w:rsidR="003057ED" w:rsidRDefault="003057ED" w:rsidP="003057ED">
      <w:pPr>
        <w:spacing w:before="0"/>
        <w:rPr>
          <w:b/>
          <w:color w:val="202020"/>
          <w:sz w:val="22"/>
          <w:szCs w:val="22"/>
        </w:rPr>
      </w:pPr>
    </w:p>
    <w:p w14:paraId="12215AC9" w14:textId="77777777" w:rsidR="003057ED" w:rsidRPr="005A55CA" w:rsidRDefault="003057ED" w:rsidP="003057ED">
      <w:pPr>
        <w:spacing w:before="0"/>
        <w:rPr>
          <w:color w:val="202020"/>
          <w:sz w:val="22"/>
          <w:szCs w:val="22"/>
        </w:rPr>
      </w:pPr>
      <w:r>
        <w:rPr>
          <w:b/>
          <w:color w:val="202020"/>
          <w:sz w:val="22"/>
          <w:szCs w:val="22"/>
        </w:rPr>
        <w:t>P</w:t>
      </w:r>
      <w:r w:rsidRPr="00DC34DE">
        <w:rPr>
          <w:b/>
          <w:color w:val="202020"/>
          <w:sz w:val="22"/>
          <w:szCs w:val="22"/>
        </w:rPr>
        <w:t>unkti 3</w:t>
      </w:r>
      <w:r>
        <w:rPr>
          <w:color w:val="202020"/>
          <w:sz w:val="22"/>
          <w:szCs w:val="22"/>
        </w:rPr>
        <w:t xml:space="preserve"> kohaselt tuleb Finantsinspektsioonile esitada ka </w:t>
      </w:r>
      <w:r w:rsidRPr="005A55CA">
        <w:rPr>
          <w:color w:val="202020"/>
          <w:sz w:val="22"/>
          <w:szCs w:val="22"/>
        </w:rPr>
        <w:t>ühinemisotsus</w:t>
      </w:r>
      <w:r>
        <w:rPr>
          <w:color w:val="202020"/>
          <w:sz w:val="22"/>
          <w:szCs w:val="22"/>
        </w:rPr>
        <w:t xml:space="preserve">, kui selle tegemine on nõutav. Ühinemisotsus peab olema kirjalik. Täiendavad nõuded tulenevad ÄS §-ist 397. </w:t>
      </w:r>
      <w:r w:rsidRPr="007953F4">
        <w:rPr>
          <w:color w:val="202020"/>
          <w:sz w:val="22"/>
          <w:szCs w:val="22"/>
        </w:rPr>
        <w:t>Seaduses sätestatud juhtudel kontrollib ühinemislepingut audiitor.</w:t>
      </w:r>
      <w:r>
        <w:rPr>
          <w:color w:val="202020"/>
          <w:sz w:val="22"/>
          <w:szCs w:val="22"/>
        </w:rPr>
        <w:t xml:space="preserve"> Eelnõu sätestab asjaomase aluse § 78 lõike 4 punktis 4. Selle kohaselt esitab teenuseosutaja finantsinspektsioonile ühinemiseks </w:t>
      </w:r>
      <w:r w:rsidRPr="005A55CA">
        <w:rPr>
          <w:color w:val="202020"/>
          <w:sz w:val="22"/>
          <w:szCs w:val="22"/>
        </w:rPr>
        <w:t>audiitori aruande (</w:t>
      </w:r>
      <w:r w:rsidRPr="00DC34DE">
        <w:rPr>
          <w:b/>
          <w:color w:val="202020"/>
          <w:sz w:val="22"/>
          <w:szCs w:val="22"/>
        </w:rPr>
        <w:t>punkt 4</w:t>
      </w:r>
      <w:r w:rsidRPr="005A55CA">
        <w:rPr>
          <w:color w:val="202020"/>
          <w:sz w:val="22"/>
          <w:szCs w:val="22"/>
        </w:rPr>
        <w:t>). Lisaks tuleb esitada andmed olulist osalust omavate isikute kohta vastavalt käesoleva seaduse §-le 18 (</w:t>
      </w:r>
      <w:r w:rsidRPr="00DC34DE">
        <w:rPr>
          <w:b/>
          <w:color w:val="202020"/>
          <w:sz w:val="22"/>
          <w:szCs w:val="22"/>
        </w:rPr>
        <w:t>punkt 5</w:t>
      </w:r>
      <w:r w:rsidRPr="009E550B">
        <w:rPr>
          <w:color w:val="202020"/>
          <w:sz w:val="22"/>
          <w:szCs w:val="22"/>
        </w:rPr>
        <w:t>)</w:t>
      </w:r>
      <w:r w:rsidRPr="005A55CA">
        <w:rPr>
          <w:color w:val="202020"/>
          <w:sz w:val="22"/>
          <w:szCs w:val="22"/>
        </w:rPr>
        <w:t xml:space="preserve"> ja andmed äriühingute kohta, milles teenuseosutaja või tema juhi osalus on suurem kui 20 protsenti, kusjuures need andmed peavad sisaldama aktsia- või osakapitali suurust, tegevusalade loetelu ning teenuseosutaja ja iga juhi osaluse suurust (</w:t>
      </w:r>
      <w:r w:rsidRPr="00DC34DE">
        <w:rPr>
          <w:b/>
          <w:color w:val="202020"/>
          <w:sz w:val="22"/>
          <w:szCs w:val="22"/>
        </w:rPr>
        <w:t>punkt 6</w:t>
      </w:r>
      <w:r w:rsidRPr="005A55CA">
        <w:rPr>
          <w:color w:val="202020"/>
          <w:sz w:val="22"/>
          <w:szCs w:val="22"/>
        </w:rPr>
        <w:t xml:space="preserve">). </w:t>
      </w:r>
      <w:r>
        <w:rPr>
          <w:color w:val="202020"/>
          <w:sz w:val="22"/>
          <w:szCs w:val="22"/>
        </w:rPr>
        <w:t>Kõnealuses l</w:t>
      </w:r>
      <w:r w:rsidRPr="005A55CA">
        <w:rPr>
          <w:color w:val="202020"/>
          <w:sz w:val="22"/>
          <w:szCs w:val="22"/>
        </w:rPr>
        <w:t>oataotluses tuleb esitada ka äriplaan ühinemisele järgneva kolme aasta kohta (</w:t>
      </w:r>
      <w:r w:rsidRPr="00DC34DE">
        <w:rPr>
          <w:b/>
          <w:color w:val="202020"/>
          <w:sz w:val="22"/>
          <w:szCs w:val="22"/>
        </w:rPr>
        <w:t>punkt 7</w:t>
      </w:r>
      <w:r w:rsidRPr="005A55CA">
        <w:rPr>
          <w:color w:val="202020"/>
          <w:sz w:val="22"/>
          <w:szCs w:val="22"/>
        </w:rPr>
        <w:t xml:space="preserve">) ja </w:t>
      </w:r>
      <w:proofErr w:type="spellStart"/>
      <w:r w:rsidRPr="005A55CA">
        <w:rPr>
          <w:color w:val="202020"/>
          <w:sz w:val="22"/>
          <w:szCs w:val="22"/>
        </w:rPr>
        <w:t>sise</w:t>
      </w:r>
      <w:proofErr w:type="spellEnd"/>
      <w:r w:rsidRPr="005A55CA">
        <w:rPr>
          <w:color w:val="202020"/>
          <w:sz w:val="22"/>
          <w:szCs w:val="22"/>
        </w:rPr>
        <w:t>-eeskirjade projekt (</w:t>
      </w:r>
      <w:r>
        <w:rPr>
          <w:b/>
          <w:color w:val="202020"/>
          <w:sz w:val="22"/>
          <w:szCs w:val="22"/>
        </w:rPr>
        <w:t>punkt</w:t>
      </w:r>
      <w:r w:rsidRPr="00DC34DE">
        <w:rPr>
          <w:b/>
          <w:color w:val="202020"/>
          <w:sz w:val="22"/>
          <w:szCs w:val="22"/>
        </w:rPr>
        <w:t xml:space="preserve"> 8</w:t>
      </w:r>
      <w:r w:rsidRPr="005A55CA">
        <w:rPr>
          <w:color w:val="202020"/>
          <w:sz w:val="22"/>
          <w:szCs w:val="22"/>
        </w:rPr>
        <w:t xml:space="preserve">). Nimetatud äriplaan ja </w:t>
      </w:r>
      <w:proofErr w:type="spellStart"/>
      <w:r w:rsidRPr="005A55CA">
        <w:rPr>
          <w:color w:val="202020"/>
          <w:sz w:val="22"/>
          <w:szCs w:val="22"/>
        </w:rPr>
        <w:t>sise</w:t>
      </w:r>
      <w:proofErr w:type="spellEnd"/>
      <w:r w:rsidRPr="005A55CA">
        <w:rPr>
          <w:color w:val="202020"/>
          <w:sz w:val="22"/>
          <w:szCs w:val="22"/>
        </w:rPr>
        <w:t>-eeskirjade projekt peavad vastama käesoleva seaduse nõuetele.</w:t>
      </w:r>
    </w:p>
    <w:p w14:paraId="24A49056" w14:textId="77777777" w:rsidR="003057ED" w:rsidRPr="005A55CA" w:rsidRDefault="003057ED" w:rsidP="003057ED">
      <w:pPr>
        <w:spacing w:before="0"/>
        <w:rPr>
          <w:color w:val="202020"/>
          <w:sz w:val="22"/>
          <w:szCs w:val="22"/>
        </w:rPr>
      </w:pPr>
    </w:p>
    <w:p w14:paraId="5841F960" w14:textId="77777777" w:rsidR="003057ED" w:rsidRPr="005A55CA" w:rsidRDefault="003057ED" w:rsidP="003057ED">
      <w:pPr>
        <w:spacing w:before="0"/>
        <w:rPr>
          <w:color w:val="202020"/>
          <w:sz w:val="22"/>
          <w:szCs w:val="22"/>
        </w:rPr>
      </w:pPr>
      <w:r w:rsidRPr="005A55CA">
        <w:rPr>
          <w:b/>
          <w:color w:val="202020"/>
          <w:sz w:val="22"/>
          <w:szCs w:val="22"/>
        </w:rPr>
        <w:t xml:space="preserve">Lõike </w:t>
      </w:r>
      <w:r>
        <w:rPr>
          <w:b/>
          <w:color w:val="202020"/>
          <w:sz w:val="22"/>
          <w:szCs w:val="22"/>
        </w:rPr>
        <w:t>7</w:t>
      </w:r>
      <w:r w:rsidRPr="005A55CA">
        <w:rPr>
          <w:color w:val="202020"/>
          <w:sz w:val="22"/>
          <w:szCs w:val="22"/>
        </w:rPr>
        <w:t xml:space="preserve"> kohaselt ei tohi ühinemisleping olla sõlmitud edasilükkava või </w:t>
      </w:r>
      <w:proofErr w:type="spellStart"/>
      <w:r w:rsidRPr="005A55CA">
        <w:rPr>
          <w:color w:val="202020"/>
          <w:sz w:val="22"/>
          <w:szCs w:val="22"/>
        </w:rPr>
        <w:t>äramuutva</w:t>
      </w:r>
      <w:proofErr w:type="spellEnd"/>
      <w:r w:rsidRPr="005A55CA">
        <w:rPr>
          <w:color w:val="202020"/>
          <w:sz w:val="22"/>
          <w:szCs w:val="22"/>
        </w:rPr>
        <w:t xml:space="preserve"> tingimusega. Selles võib sätestada üksnes tingimuse, mille kohaselt ühinemisleping jõustub pärast Finantsinspektsiooni poolt ühinemisloa andmist.</w:t>
      </w:r>
    </w:p>
    <w:p w14:paraId="7608B24F" w14:textId="77777777" w:rsidR="003057ED" w:rsidRPr="005A55CA" w:rsidRDefault="003057ED" w:rsidP="003057ED">
      <w:pPr>
        <w:spacing w:before="0"/>
        <w:rPr>
          <w:b/>
          <w:color w:val="202020"/>
          <w:sz w:val="22"/>
          <w:szCs w:val="22"/>
        </w:rPr>
      </w:pPr>
    </w:p>
    <w:p w14:paraId="46AD8A1E" w14:textId="77777777" w:rsidR="003057ED" w:rsidRPr="005A55CA" w:rsidRDefault="003057ED" w:rsidP="003057ED">
      <w:pPr>
        <w:spacing w:before="0"/>
        <w:rPr>
          <w:color w:val="202020"/>
          <w:sz w:val="22"/>
          <w:szCs w:val="22"/>
        </w:rPr>
      </w:pPr>
      <w:r w:rsidRPr="005A55CA">
        <w:rPr>
          <w:b/>
          <w:color w:val="202020"/>
          <w:sz w:val="22"/>
          <w:szCs w:val="22"/>
        </w:rPr>
        <w:t xml:space="preserve">Lõike </w:t>
      </w:r>
      <w:r>
        <w:rPr>
          <w:b/>
          <w:color w:val="202020"/>
          <w:sz w:val="22"/>
          <w:szCs w:val="22"/>
        </w:rPr>
        <w:t>8</w:t>
      </w:r>
      <w:r w:rsidRPr="005A55CA">
        <w:rPr>
          <w:color w:val="202020"/>
          <w:sz w:val="22"/>
          <w:szCs w:val="22"/>
        </w:rPr>
        <w:t xml:space="preserve"> kohaselt teeb Finantsinspektsioon otsuse ühinemisloa andmise või sellest keeldumise kohta ühe kuu jooksul kõigi nõuetekohaste dokumentide ja andmete saamisest arvates, kuid mitte hiljem kui kolme kuu möödumisel taotluse saamisest arvates.</w:t>
      </w:r>
    </w:p>
    <w:p w14:paraId="0A987FD6" w14:textId="77777777" w:rsidR="003057ED" w:rsidRPr="005A55CA" w:rsidRDefault="003057ED" w:rsidP="003057ED">
      <w:pPr>
        <w:spacing w:before="0"/>
        <w:rPr>
          <w:color w:val="202020"/>
          <w:sz w:val="22"/>
          <w:szCs w:val="22"/>
        </w:rPr>
      </w:pPr>
    </w:p>
    <w:p w14:paraId="176CED8A" w14:textId="77777777" w:rsidR="003057ED" w:rsidRPr="005A55CA" w:rsidRDefault="003057ED" w:rsidP="003057ED">
      <w:pPr>
        <w:spacing w:before="0"/>
        <w:rPr>
          <w:color w:val="202020"/>
          <w:sz w:val="22"/>
          <w:szCs w:val="22"/>
        </w:rPr>
      </w:pPr>
      <w:r w:rsidRPr="005A55CA">
        <w:rPr>
          <w:b/>
          <w:color w:val="202020"/>
          <w:sz w:val="22"/>
          <w:szCs w:val="22"/>
        </w:rPr>
        <w:t xml:space="preserve">Lõige </w:t>
      </w:r>
      <w:r>
        <w:rPr>
          <w:b/>
          <w:color w:val="202020"/>
          <w:sz w:val="22"/>
          <w:szCs w:val="22"/>
        </w:rPr>
        <w:t>9</w:t>
      </w:r>
      <w:r w:rsidRPr="005A55CA">
        <w:rPr>
          <w:color w:val="202020"/>
          <w:sz w:val="22"/>
          <w:szCs w:val="22"/>
        </w:rPr>
        <w:t xml:space="preserve"> sätestab, et ühinemisloa taotluse menetlemisele, esitatud andmete ja dokumentide kontrollimisele ja selle kontrollimisele, kas ühinemisloa taotlejal on teenuse osutamiseks piisavad võimalused ja kas ühendav äriühing vastab käesolevast seadusest ja selle alusel antud õigusaktidest tulenevatele nõuetele, kohaldatakse tegevusloa taotluse läbivaatamise kohta sätestatut.</w:t>
      </w:r>
    </w:p>
    <w:p w14:paraId="48E194D5" w14:textId="77777777" w:rsidR="003057ED" w:rsidRPr="005A55CA" w:rsidRDefault="003057ED" w:rsidP="003057ED">
      <w:pPr>
        <w:spacing w:before="0"/>
        <w:rPr>
          <w:color w:val="202020"/>
          <w:sz w:val="22"/>
          <w:szCs w:val="22"/>
        </w:rPr>
      </w:pPr>
    </w:p>
    <w:p w14:paraId="11179715" w14:textId="77777777" w:rsidR="003057ED" w:rsidRPr="005A55CA" w:rsidRDefault="003057ED" w:rsidP="003057ED">
      <w:pPr>
        <w:spacing w:before="0"/>
        <w:rPr>
          <w:color w:val="202020"/>
          <w:sz w:val="22"/>
          <w:szCs w:val="22"/>
        </w:rPr>
      </w:pPr>
      <w:r w:rsidRPr="005A55CA">
        <w:rPr>
          <w:color w:val="202020"/>
          <w:sz w:val="22"/>
          <w:szCs w:val="22"/>
        </w:rPr>
        <w:t xml:space="preserve">Tulenevalt </w:t>
      </w:r>
      <w:r w:rsidRPr="005A55CA">
        <w:rPr>
          <w:b/>
          <w:color w:val="202020"/>
          <w:sz w:val="22"/>
          <w:szCs w:val="22"/>
        </w:rPr>
        <w:t xml:space="preserve">lõikest </w:t>
      </w:r>
      <w:r>
        <w:rPr>
          <w:b/>
          <w:color w:val="202020"/>
          <w:sz w:val="22"/>
          <w:szCs w:val="22"/>
        </w:rPr>
        <w:t>10</w:t>
      </w:r>
      <w:r w:rsidRPr="005A55CA">
        <w:rPr>
          <w:color w:val="202020"/>
          <w:sz w:val="22"/>
          <w:szCs w:val="22"/>
        </w:rPr>
        <w:t xml:space="preserve"> võib Finantsinspektsioon keelduda </w:t>
      </w:r>
      <w:r>
        <w:rPr>
          <w:color w:val="202020"/>
          <w:sz w:val="22"/>
          <w:szCs w:val="22"/>
        </w:rPr>
        <w:t>ühinemis</w:t>
      </w:r>
      <w:r w:rsidRPr="005A55CA">
        <w:rPr>
          <w:color w:val="202020"/>
          <w:sz w:val="22"/>
          <w:szCs w:val="22"/>
        </w:rPr>
        <w:t>loa andmisest, kui:</w:t>
      </w:r>
    </w:p>
    <w:p w14:paraId="510BC317" w14:textId="77777777" w:rsidR="003057ED" w:rsidRDefault="003057ED" w:rsidP="002B2C7C">
      <w:pPr>
        <w:numPr>
          <w:ilvl w:val="0"/>
          <w:numId w:val="23"/>
        </w:numPr>
        <w:spacing w:before="0"/>
        <w:rPr>
          <w:color w:val="202020"/>
          <w:sz w:val="22"/>
          <w:szCs w:val="22"/>
        </w:rPr>
      </w:pPr>
      <w:r w:rsidRPr="005A55CA">
        <w:rPr>
          <w:color w:val="202020"/>
          <w:sz w:val="22"/>
          <w:szCs w:val="22"/>
        </w:rPr>
        <w:t>ühendava teenuseosutaja</w:t>
      </w:r>
      <w:r>
        <w:rPr>
          <w:color w:val="202020"/>
          <w:sz w:val="22"/>
          <w:szCs w:val="22"/>
        </w:rPr>
        <w:t xml:space="preserve"> või uue ühingu</w:t>
      </w:r>
      <w:r w:rsidRPr="005A55CA">
        <w:rPr>
          <w:color w:val="202020"/>
          <w:sz w:val="22"/>
          <w:szCs w:val="22"/>
        </w:rPr>
        <w:t xml:space="preserve"> juhid ei vasta käesolevast seadusest ja selle alusel antud õigusaktidest tulenevatele nõuetele (punkt 1);</w:t>
      </w:r>
    </w:p>
    <w:p w14:paraId="4B48279D" w14:textId="77777777" w:rsidR="003057ED" w:rsidRDefault="003057ED" w:rsidP="002B2C7C">
      <w:pPr>
        <w:numPr>
          <w:ilvl w:val="0"/>
          <w:numId w:val="23"/>
        </w:numPr>
        <w:spacing w:before="0"/>
        <w:rPr>
          <w:color w:val="202020"/>
          <w:sz w:val="22"/>
          <w:szCs w:val="22"/>
        </w:rPr>
      </w:pPr>
      <w:r w:rsidRPr="00B07BB7">
        <w:rPr>
          <w:color w:val="202020"/>
          <w:sz w:val="22"/>
          <w:szCs w:val="22"/>
        </w:rPr>
        <w:t xml:space="preserve">ühendava teenuseosutaja või uue ühingu finantsseisund ei vasta käesolevas seaduses sätestatud nõuetele (punkt </w:t>
      </w:r>
      <w:r>
        <w:rPr>
          <w:color w:val="202020"/>
          <w:sz w:val="22"/>
          <w:szCs w:val="22"/>
        </w:rPr>
        <w:t>2</w:t>
      </w:r>
      <w:r w:rsidRPr="00B07BB7">
        <w:rPr>
          <w:color w:val="202020"/>
          <w:sz w:val="22"/>
          <w:szCs w:val="22"/>
        </w:rPr>
        <w:t>);</w:t>
      </w:r>
    </w:p>
    <w:p w14:paraId="2A249F35" w14:textId="77777777" w:rsidR="003057ED" w:rsidRDefault="003057ED" w:rsidP="002B2C7C">
      <w:pPr>
        <w:numPr>
          <w:ilvl w:val="0"/>
          <w:numId w:val="23"/>
        </w:numPr>
        <w:spacing w:before="0"/>
        <w:rPr>
          <w:color w:val="202020"/>
          <w:sz w:val="22"/>
          <w:szCs w:val="22"/>
        </w:rPr>
      </w:pPr>
      <w:r w:rsidRPr="00B07BB7">
        <w:rPr>
          <w:color w:val="202020"/>
          <w:sz w:val="22"/>
          <w:szCs w:val="22"/>
        </w:rPr>
        <w:t xml:space="preserve">ühinemisleping ei vasta käesolevas seaduses või muudes õigusaktides sätestatud nõuetele (punkt </w:t>
      </w:r>
      <w:r>
        <w:rPr>
          <w:color w:val="202020"/>
          <w:sz w:val="22"/>
          <w:szCs w:val="22"/>
        </w:rPr>
        <w:t>3</w:t>
      </w:r>
      <w:r w:rsidRPr="00B07BB7">
        <w:rPr>
          <w:color w:val="202020"/>
          <w:sz w:val="22"/>
          <w:szCs w:val="22"/>
        </w:rPr>
        <w:t>);</w:t>
      </w:r>
    </w:p>
    <w:p w14:paraId="59FC80AE" w14:textId="77777777" w:rsidR="003057ED" w:rsidRDefault="003057ED" w:rsidP="002B2C7C">
      <w:pPr>
        <w:numPr>
          <w:ilvl w:val="0"/>
          <w:numId w:val="23"/>
        </w:numPr>
        <w:spacing w:before="0"/>
        <w:rPr>
          <w:color w:val="202020"/>
          <w:sz w:val="22"/>
          <w:szCs w:val="22"/>
        </w:rPr>
      </w:pPr>
      <w:r>
        <w:rPr>
          <w:color w:val="202020"/>
          <w:sz w:val="22"/>
          <w:szCs w:val="22"/>
        </w:rPr>
        <w:t xml:space="preserve">ühinemine võib </w:t>
      </w:r>
      <w:r w:rsidRPr="00B07BB7">
        <w:rPr>
          <w:color w:val="202020"/>
          <w:sz w:val="22"/>
          <w:szCs w:val="22"/>
        </w:rPr>
        <w:t>takista</w:t>
      </w:r>
      <w:r>
        <w:rPr>
          <w:color w:val="202020"/>
          <w:sz w:val="22"/>
          <w:szCs w:val="22"/>
        </w:rPr>
        <w:t>da</w:t>
      </w:r>
      <w:r w:rsidRPr="00B07BB7">
        <w:rPr>
          <w:color w:val="202020"/>
          <w:sz w:val="22"/>
          <w:szCs w:val="22"/>
        </w:rPr>
        <w:t xml:space="preserve"> teenuseosutaja üle vajalikul tasemel järelevalve teostamist (punkt </w:t>
      </w:r>
      <w:r>
        <w:rPr>
          <w:color w:val="202020"/>
          <w:sz w:val="22"/>
          <w:szCs w:val="22"/>
        </w:rPr>
        <w:t>4</w:t>
      </w:r>
      <w:r w:rsidRPr="00B07BB7">
        <w:rPr>
          <w:color w:val="202020"/>
          <w:sz w:val="22"/>
          <w:szCs w:val="22"/>
        </w:rPr>
        <w:t>);</w:t>
      </w:r>
    </w:p>
    <w:p w14:paraId="46E1778A" w14:textId="77777777" w:rsidR="003057ED" w:rsidRPr="00B07BB7" w:rsidRDefault="003057ED" w:rsidP="002B2C7C">
      <w:pPr>
        <w:numPr>
          <w:ilvl w:val="0"/>
          <w:numId w:val="23"/>
        </w:numPr>
        <w:spacing w:before="0"/>
        <w:rPr>
          <w:color w:val="202020"/>
          <w:sz w:val="22"/>
          <w:szCs w:val="22"/>
        </w:rPr>
      </w:pPr>
      <w:r w:rsidRPr="00B07BB7">
        <w:rPr>
          <w:color w:val="202020"/>
          <w:sz w:val="22"/>
          <w:szCs w:val="22"/>
        </w:rPr>
        <w:t xml:space="preserve">ühinemine võib muul põhjusel kahjustada teenuseosutaja klientide või teiste võlausaldajate huve (punkt </w:t>
      </w:r>
      <w:r>
        <w:rPr>
          <w:color w:val="202020"/>
          <w:sz w:val="22"/>
          <w:szCs w:val="22"/>
        </w:rPr>
        <w:t>5</w:t>
      </w:r>
      <w:r w:rsidRPr="00B07BB7">
        <w:rPr>
          <w:color w:val="202020"/>
          <w:sz w:val="22"/>
          <w:szCs w:val="22"/>
        </w:rPr>
        <w:t>).</w:t>
      </w:r>
    </w:p>
    <w:p w14:paraId="52B3CB4A" w14:textId="77777777" w:rsidR="003057ED" w:rsidRPr="005A55CA" w:rsidRDefault="003057ED" w:rsidP="003057ED">
      <w:pPr>
        <w:spacing w:before="0"/>
        <w:rPr>
          <w:color w:val="202020"/>
          <w:sz w:val="22"/>
          <w:szCs w:val="22"/>
        </w:rPr>
      </w:pPr>
    </w:p>
    <w:p w14:paraId="568AADC6" w14:textId="77777777" w:rsidR="003057ED" w:rsidRDefault="003057ED" w:rsidP="003057ED">
      <w:pPr>
        <w:shd w:val="clear" w:color="auto" w:fill="FFFFFF"/>
        <w:spacing w:before="0"/>
        <w:rPr>
          <w:color w:val="202020"/>
          <w:sz w:val="22"/>
          <w:szCs w:val="22"/>
        </w:rPr>
      </w:pPr>
      <w:r w:rsidRPr="005A55CA">
        <w:rPr>
          <w:color w:val="202020"/>
          <w:sz w:val="22"/>
          <w:szCs w:val="22"/>
        </w:rPr>
        <w:t xml:space="preserve">Ühinevad äriühingud peavad </w:t>
      </w:r>
      <w:r w:rsidRPr="005A55CA">
        <w:rPr>
          <w:b/>
          <w:color w:val="202020"/>
          <w:sz w:val="22"/>
          <w:szCs w:val="22"/>
        </w:rPr>
        <w:t xml:space="preserve">lõike </w:t>
      </w:r>
      <w:r>
        <w:rPr>
          <w:b/>
          <w:color w:val="202020"/>
          <w:sz w:val="22"/>
          <w:szCs w:val="22"/>
        </w:rPr>
        <w:t>11</w:t>
      </w:r>
      <w:r w:rsidRPr="005A55CA">
        <w:rPr>
          <w:color w:val="202020"/>
          <w:sz w:val="22"/>
          <w:szCs w:val="22"/>
        </w:rPr>
        <w:t xml:space="preserve"> kohaselt avaldama ühinemisteate ühinemisloa saamise kohta viivitamata oma veebilehel. </w:t>
      </w:r>
    </w:p>
    <w:p w14:paraId="2139613E" w14:textId="77777777" w:rsidR="003057ED" w:rsidRDefault="003057ED" w:rsidP="003057ED">
      <w:pPr>
        <w:shd w:val="clear" w:color="auto" w:fill="FFFFFF"/>
        <w:spacing w:before="0"/>
        <w:rPr>
          <w:color w:val="202020"/>
          <w:sz w:val="22"/>
          <w:szCs w:val="22"/>
        </w:rPr>
      </w:pPr>
    </w:p>
    <w:p w14:paraId="315458F9" w14:textId="77777777" w:rsidR="003057ED" w:rsidRPr="005A55CA" w:rsidRDefault="003057ED" w:rsidP="003057ED">
      <w:pPr>
        <w:shd w:val="clear" w:color="auto" w:fill="FFFFFF"/>
        <w:spacing w:before="0"/>
        <w:rPr>
          <w:color w:val="202020"/>
          <w:sz w:val="22"/>
          <w:szCs w:val="22"/>
        </w:rPr>
      </w:pPr>
      <w:r w:rsidRPr="005A55CA">
        <w:rPr>
          <w:b/>
          <w:color w:val="202020"/>
          <w:sz w:val="22"/>
          <w:szCs w:val="22"/>
        </w:rPr>
        <w:t xml:space="preserve">Lõike </w:t>
      </w:r>
      <w:r>
        <w:rPr>
          <w:b/>
          <w:color w:val="202020"/>
          <w:sz w:val="22"/>
          <w:szCs w:val="22"/>
        </w:rPr>
        <w:t>12</w:t>
      </w:r>
      <w:r w:rsidRPr="005A55CA">
        <w:rPr>
          <w:color w:val="202020"/>
          <w:sz w:val="22"/>
          <w:szCs w:val="22"/>
        </w:rPr>
        <w:t xml:space="preserve"> kohaselt esitab ühinemise äriregistrisse kandmise avalduse teenuseosutaja viivitamata pärast eelmises lõikes nimetatud </w:t>
      </w:r>
      <w:r w:rsidRPr="00464B3C">
        <w:rPr>
          <w:color w:val="202020"/>
          <w:sz w:val="22"/>
          <w:szCs w:val="22"/>
        </w:rPr>
        <w:t>teate</w:t>
      </w:r>
      <w:r w:rsidRPr="005A55CA">
        <w:rPr>
          <w:color w:val="202020"/>
          <w:sz w:val="22"/>
          <w:szCs w:val="22"/>
        </w:rPr>
        <w:t xml:space="preserve"> avaldamist.</w:t>
      </w:r>
    </w:p>
    <w:p w14:paraId="0BE60CF2" w14:textId="77777777" w:rsidR="003057ED" w:rsidRPr="005A55CA" w:rsidRDefault="003057ED" w:rsidP="003057ED">
      <w:pPr>
        <w:shd w:val="clear" w:color="auto" w:fill="FFFFFF"/>
        <w:spacing w:before="0"/>
        <w:rPr>
          <w:color w:val="202020"/>
          <w:sz w:val="22"/>
          <w:szCs w:val="22"/>
        </w:rPr>
      </w:pPr>
    </w:p>
    <w:p w14:paraId="138B5424" w14:textId="77777777" w:rsidR="003057ED" w:rsidRPr="005A55CA" w:rsidRDefault="003057ED" w:rsidP="003057ED">
      <w:pPr>
        <w:pStyle w:val="Normal2"/>
        <w:rPr>
          <w:szCs w:val="22"/>
        </w:rPr>
      </w:pPr>
      <w:r w:rsidRPr="00CF2ECF">
        <w:rPr>
          <w:b/>
          <w:bCs w:val="0"/>
          <w:szCs w:val="22"/>
        </w:rPr>
        <w:t>Paragrahv 82</w:t>
      </w:r>
      <w:r w:rsidRPr="005A55CA">
        <w:rPr>
          <w:szCs w:val="22"/>
        </w:rPr>
        <w:t xml:space="preserve"> </w:t>
      </w:r>
      <w:r w:rsidRPr="00464B3C">
        <w:rPr>
          <w:szCs w:val="22"/>
        </w:rPr>
        <w:t xml:space="preserve">keelab teenuseosutaja jagunemise. Keeld tuleneb eelkõige sellest, et </w:t>
      </w:r>
      <w:proofErr w:type="spellStart"/>
      <w:r w:rsidRPr="00464B3C">
        <w:rPr>
          <w:szCs w:val="22"/>
        </w:rPr>
        <w:t>ühisrahastusteenuse</w:t>
      </w:r>
      <w:proofErr w:type="spellEnd"/>
      <w:r w:rsidRPr="00464B3C">
        <w:rPr>
          <w:szCs w:val="22"/>
        </w:rPr>
        <w:t xml:space="preserve"> osutamisel ja </w:t>
      </w:r>
      <w:proofErr w:type="spellStart"/>
      <w:r>
        <w:rPr>
          <w:szCs w:val="22"/>
        </w:rPr>
        <w:t>krüptovara</w:t>
      </w:r>
      <w:proofErr w:type="spellEnd"/>
      <w:r w:rsidRPr="00464B3C">
        <w:rPr>
          <w:szCs w:val="22"/>
        </w:rPr>
        <w:t xml:space="preserve"> väljastamisele suunatud ärimudelid on tihtipeale killustunud, kuna kasutusel on mitmed eriotstarbelised üksused (SPV-d). Seetõttu on tähtis, et tegevusloaga teenuseosutajad ei kasutaks ära jagunemise võimalust jaotada oma või oma klientide varasid ja kohustusi erinevate üksuste vahel. Tuginedes ka 2020-2021. aastatel läbiviidud riikliku rahapesu riskihindamise tulemustele on</w:t>
      </w:r>
      <w:r>
        <w:rPr>
          <w:szCs w:val="22"/>
        </w:rPr>
        <w:t xml:space="preserve"> </w:t>
      </w:r>
      <w:r w:rsidRPr="005A55CA">
        <w:rPr>
          <w:szCs w:val="22"/>
        </w:rPr>
        <w:t xml:space="preserve">kõnealune sektor potentsiaalselt avatud rahapesuga seotud tehingute tegemiseks ja sellest tulenevalt </w:t>
      </w:r>
      <w:r w:rsidRPr="005A55CA">
        <w:rPr>
          <w:szCs w:val="22"/>
        </w:rPr>
        <w:lastRenderedPageBreak/>
        <w:t>teenuseosutajate kuritegelikel eesmärkidel ärakasutamiseks, mistõttu ei ole jagunemise lubamine mõistlik.</w:t>
      </w:r>
    </w:p>
    <w:p w14:paraId="6327B3B4" w14:textId="77777777" w:rsidR="003057ED" w:rsidRPr="005A55CA" w:rsidRDefault="003057ED" w:rsidP="003057ED">
      <w:pPr>
        <w:spacing w:before="0"/>
        <w:rPr>
          <w:color w:val="000000" w:themeColor="text1"/>
          <w:sz w:val="22"/>
          <w:szCs w:val="22"/>
        </w:rPr>
      </w:pPr>
    </w:p>
    <w:p w14:paraId="0525FD4D" w14:textId="77777777" w:rsidR="003057ED" w:rsidRPr="005A55CA" w:rsidRDefault="003057ED" w:rsidP="003057ED">
      <w:pPr>
        <w:spacing w:before="0"/>
        <w:rPr>
          <w:color w:val="000000" w:themeColor="text1"/>
          <w:sz w:val="22"/>
          <w:szCs w:val="22"/>
        </w:rPr>
      </w:pPr>
      <w:r w:rsidRPr="005A55CA">
        <w:rPr>
          <w:b/>
          <w:color w:val="000000" w:themeColor="text1"/>
          <w:sz w:val="22"/>
          <w:szCs w:val="22"/>
        </w:rPr>
        <w:t>Paragrahv 8</w:t>
      </w:r>
      <w:r>
        <w:rPr>
          <w:b/>
          <w:color w:val="000000" w:themeColor="text1"/>
          <w:sz w:val="22"/>
          <w:szCs w:val="22"/>
        </w:rPr>
        <w:t>3</w:t>
      </w:r>
      <w:r w:rsidRPr="005A55CA">
        <w:rPr>
          <w:color w:val="000000" w:themeColor="text1"/>
          <w:sz w:val="22"/>
          <w:szCs w:val="22"/>
        </w:rPr>
        <w:t xml:space="preserve"> sätestab tingimused tegevuskava koostamiseks äritegevuse lõppemise kohta.</w:t>
      </w:r>
    </w:p>
    <w:p w14:paraId="1D731E95" w14:textId="77777777" w:rsidR="003057ED" w:rsidRPr="005A55CA" w:rsidRDefault="003057ED" w:rsidP="003057ED">
      <w:pPr>
        <w:spacing w:before="0"/>
        <w:rPr>
          <w:sz w:val="22"/>
          <w:szCs w:val="22"/>
        </w:rPr>
      </w:pPr>
    </w:p>
    <w:p w14:paraId="64690907" w14:textId="77777777" w:rsidR="003057ED" w:rsidRPr="005A55CA" w:rsidRDefault="003057ED" w:rsidP="003057ED">
      <w:pPr>
        <w:spacing w:before="0"/>
        <w:rPr>
          <w:color w:val="000000" w:themeColor="text1"/>
          <w:sz w:val="22"/>
          <w:szCs w:val="22"/>
        </w:rPr>
      </w:pPr>
      <w:r w:rsidRPr="005A55CA">
        <w:rPr>
          <w:b/>
          <w:color w:val="000000" w:themeColor="text1"/>
          <w:sz w:val="22"/>
          <w:szCs w:val="22"/>
        </w:rPr>
        <w:t>Lõike 1</w:t>
      </w:r>
      <w:r w:rsidRPr="005A55CA">
        <w:rPr>
          <w:color w:val="000000" w:themeColor="text1"/>
          <w:sz w:val="22"/>
          <w:szCs w:val="22"/>
        </w:rPr>
        <w:t xml:space="preserve"> kohaselt peab teenuseosutaja </w:t>
      </w:r>
      <w:r>
        <w:rPr>
          <w:color w:val="000000" w:themeColor="text1"/>
          <w:sz w:val="22"/>
          <w:szCs w:val="22"/>
        </w:rPr>
        <w:t xml:space="preserve">tegevuse alustamisel </w:t>
      </w:r>
      <w:r w:rsidRPr="005A55CA">
        <w:rPr>
          <w:color w:val="000000" w:themeColor="text1"/>
          <w:sz w:val="22"/>
          <w:szCs w:val="22"/>
        </w:rPr>
        <w:t>välja töötama ja avalikustama tegevuskava oma äritegevuse lõppemise puhuks. Nimetatud tegevuskava peab sisaldama detailset teavet vähemalt teenuseosutaja kaudu sõlmitud lepingute jätkumise, üleandmise, haldamise ja lõppemise tingimuste kohta (</w:t>
      </w:r>
      <w:r w:rsidRPr="009E550B">
        <w:rPr>
          <w:b/>
          <w:color w:val="000000" w:themeColor="text1"/>
          <w:sz w:val="22"/>
          <w:szCs w:val="22"/>
        </w:rPr>
        <w:t>punkt 1</w:t>
      </w:r>
      <w:r w:rsidRPr="005A55CA">
        <w:rPr>
          <w:color w:val="000000" w:themeColor="text1"/>
          <w:sz w:val="22"/>
          <w:szCs w:val="22"/>
        </w:rPr>
        <w:t xml:space="preserve">) ja informatsiooni kehtivate lepingute, teenuseosutajale </w:t>
      </w:r>
      <w:r>
        <w:rPr>
          <w:color w:val="000000" w:themeColor="text1"/>
          <w:sz w:val="22"/>
          <w:szCs w:val="22"/>
        </w:rPr>
        <w:t xml:space="preserve">teenuse osutamisega seoses talle usaldatud kliendi vara hoidmise </w:t>
      </w:r>
      <w:r w:rsidRPr="005A55CA">
        <w:rPr>
          <w:color w:val="000000" w:themeColor="text1"/>
          <w:sz w:val="22"/>
          <w:szCs w:val="22"/>
        </w:rPr>
        <w:t>ning sõlmitud lepingute jätkumise, üle andmise, haldamise ja lõppemise tingimuste kohta (</w:t>
      </w:r>
      <w:r w:rsidRPr="00DC34DE">
        <w:rPr>
          <w:b/>
          <w:color w:val="000000" w:themeColor="text1"/>
          <w:sz w:val="22"/>
          <w:szCs w:val="22"/>
        </w:rPr>
        <w:t>punkt 2</w:t>
      </w:r>
      <w:r w:rsidRPr="005A55CA">
        <w:rPr>
          <w:color w:val="000000" w:themeColor="text1"/>
          <w:sz w:val="22"/>
          <w:szCs w:val="22"/>
        </w:rPr>
        <w:t>). Tegemist ei ole ammendava loeteluga ja teenuseosutaja võib tegevuskava sisu vastavalt vajadusele laiendada.</w:t>
      </w:r>
    </w:p>
    <w:p w14:paraId="2C8C35A6" w14:textId="77777777" w:rsidR="003057ED" w:rsidRPr="005A55CA" w:rsidRDefault="003057ED" w:rsidP="003057ED">
      <w:pPr>
        <w:spacing w:before="0"/>
        <w:rPr>
          <w:color w:val="000000" w:themeColor="text1"/>
          <w:sz w:val="22"/>
          <w:szCs w:val="22"/>
        </w:rPr>
      </w:pPr>
    </w:p>
    <w:p w14:paraId="19F2EE8F" w14:textId="77777777" w:rsidR="003057ED" w:rsidRPr="005A55CA" w:rsidRDefault="003057ED" w:rsidP="003057ED">
      <w:pPr>
        <w:spacing w:before="0"/>
        <w:rPr>
          <w:color w:val="000000" w:themeColor="text1"/>
          <w:sz w:val="22"/>
          <w:szCs w:val="22"/>
        </w:rPr>
      </w:pPr>
      <w:r w:rsidRPr="005A55CA">
        <w:rPr>
          <w:b/>
          <w:color w:val="000000" w:themeColor="text1"/>
          <w:sz w:val="22"/>
          <w:szCs w:val="22"/>
        </w:rPr>
        <w:t>Lõige 2</w:t>
      </w:r>
      <w:r w:rsidRPr="005A55CA">
        <w:rPr>
          <w:color w:val="000000" w:themeColor="text1"/>
          <w:sz w:val="22"/>
          <w:szCs w:val="22"/>
        </w:rPr>
        <w:t xml:space="preserve"> täpsustab, et kõnealust tegevuskava tuleb ajakohastada vähemalt üks kord aastas.</w:t>
      </w:r>
    </w:p>
    <w:p w14:paraId="17B6A1D8" w14:textId="77777777" w:rsidR="003057ED" w:rsidRPr="005A55CA" w:rsidRDefault="003057ED" w:rsidP="003057ED">
      <w:pPr>
        <w:shd w:val="clear" w:color="auto" w:fill="FFFFFF"/>
        <w:spacing w:before="0"/>
        <w:rPr>
          <w:color w:val="202020"/>
          <w:sz w:val="22"/>
          <w:szCs w:val="22"/>
        </w:rPr>
      </w:pPr>
    </w:p>
    <w:p w14:paraId="546B904B" w14:textId="77777777" w:rsidR="003057ED" w:rsidRPr="005A55CA" w:rsidRDefault="003057ED" w:rsidP="003057ED">
      <w:pPr>
        <w:spacing w:before="0"/>
        <w:rPr>
          <w:sz w:val="22"/>
          <w:szCs w:val="22"/>
        </w:rPr>
      </w:pPr>
      <w:r w:rsidRPr="005A55CA">
        <w:rPr>
          <w:b/>
          <w:sz w:val="22"/>
          <w:szCs w:val="22"/>
        </w:rPr>
        <w:t>Paragrahv 8</w:t>
      </w:r>
      <w:r>
        <w:rPr>
          <w:b/>
          <w:sz w:val="22"/>
          <w:szCs w:val="22"/>
        </w:rPr>
        <w:t>4</w:t>
      </w:r>
      <w:r w:rsidRPr="005A55CA">
        <w:rPr>
          <w:sz w:val="22"/>
          <w:szCs w:val="22"/>
        </w:rPr>
        <w:t xml:space="preserve"> sätestab tingimused teenuseosutaja lõpetamisele.</w:t>
      </w:r>
    </w:p>
    <w:p w14:paraId="3D8B6942" w14:textId="77777777" w:rsidR="003057ED" w:rsidRPr="005A55CA" w:rsidRDefault="003057ED" w:rsidP="003057ED">
      <w:pPr>
        <w:spacing w:before="0"/>
        <w:rPr>
          <w:sz w:val="22"/>
          <w:szCs w:val="22"/>
        </w:rPr>
      </w:pPr>
    </w:p>
    <w:p w14:paraId="2851E4EA" w14:textId="77777777" w:rsidR="003057ED" w:rsidRPr="005A55CA" w:rsidRDefault="003057ED" w:rsidP="003057ED">
      <w:pPr>
        <w:spacing w:before="0"/>
        <w:rPr>
          <w:sz w:val="22"/>
          <w:szCs w:val="22"/>
        </w:rPr>
      </w:pPr>
      <w:r w:rsidRPr="005A55CA">
        <w:rPr>
          <w:b/>
          <w:sz w:val="22"/>
          <w:szCs w:val="22"/>
        </w:rPr>
        <w:t>Lõike 1</w:t>
      </w:r>
      <w:r w:rsidRPr="005A55CA">
        <w:rPr>
          <w:sz w:val="22"/>
          <w:szCs w:val="22"/>
        </w:rPr>
        <w:t xml:space="preserve"> kohaselt toimub teenuseosutaja lõpetamine äriseadustikus sätestatud korras, kui käesolevast seadusest ei tulene teisiti. </w:t>
      </w:r>
      <w:r w:rsidRPr="005A55CA">
        <w:rPr>
          <w:b/>
          <w:sz w:val="22"/>
          <w:szCs w:val="22"/>
        </w:rPr>
        <w:t>Lõige 2</w:t>
      </w:r>
      <w:r w:rsidRPr="005A55CA">
        <w:rPr>
          <w:sz w:val="22"/>
          <w:szCs w:val="22"/>
        </w:rPr>
        <w:t xml:space="preserve"> täpsustab, et teenuseosutaja lõpetamine võib toimuda üksnes Finantsinspektsiooni loal.</w:t>
      </w:r>
    </w:p>
    <w:p w14:paraId="68C7B9F9" w14:textId="77777777" w:rsidR="003057ED" w:rsidRPr="005A55CA" w:rsidRDefault="003057ED" w:rsidP="003057ED">
      <w:pPr>
        <w:spacing w:before="0"/>
        <w:rPr>
          <w:sz w:val="22"/>
          <w:szCs w:val="22"/>
        </w:rPr>
      </w:pPr>
    </w:p>
    <w:p w14:paraId="513684E9" w14:textId="77777777" w:rsidR="003057ED" w:rsidRPr="005A55CA" w:rsidRDefault="003057ED" w:rsidP="003057ED">
      <w:pPr>
        <w:spacing w:before="0"/>
        <w:rPr>
          <w:sz w:val="22"/>
          <w:szCs w:val="22"/>
        </w:rPr>
      </w:pPr>
      <w:r w:rsidRPr="005A55CA">
        <w:rPr>
          <w:b/>
          <w:sz w:val="22"/>
          <w:szCs w:val="22"/>
        </w:rPr>
        <w:t>Lõige 3</w:t>
      </w:r>
      <w:r w:rsidRPr="005A55CA">
        <w:rPr>
          <w:sz w:val="22"/>
          <w:szCs w:val="22"/>
        </w:rPr>
        <w:t xml:space="preserve"> sätestab, millised andmed tuleb esitada Finantsinspektsioonile teenuseosutaja lõpetamise loa saamiseks. Selle kohaselt esitab teenuseosutaja avalduse, millele lisatakse järgmised andmed ja dokumendid:</w:t>
      </w:r>
    </w:p>
    <w:p w14:paraId="3395B75C" w14:textId="77777777" w:rsidR="003057ED" w:rsidRDefault="003057ED" w:rsidP="002B2C7C">
      <w:pPr>
        <w:numPr>
          <w:ilvl w:val="0"/>
          <w:numId w:val="24"/>
        </w:numPr>
        <w:rPr>
          <w:sz w:val="22"/>
          <w:szCs w:val="22"/>
        </w:rPr>
      </w:pPr>
      <w:r w:rsidRPr="00B07BB7">
        <w:rPr>
          <w:sz w:val="22"/>
          <w:szCs w:val="22"/>
        </w:rPr>
        <w:t>teenuseosutaja üldkoosoleku otsus lõpetamise ja selleks loa taotlemise kohta (punkt 1);</w:t>
      </w:r>
    </w:p>
    <w:p w14:paraId="11A820A9" w14:textId="77777777" w:rsidR="003057ED" w:rsidRPr="00D912F3" w:rsidRDefault="003057ED" w:rsidP="002B2C7C">
      <w:pPr>
        <w:numPr>
          <w:ilvl w:val="0"/>
          <w:numId w:val="24"/>
        </w:numPr>
        <w:rPr>
          <w:sz w:val="22"/>
          <w:szCs w:val="22"/>
        </w:rPr>
      </w:pPr>
      <w:r w:rsidRPr="00D912F3">
        <w:rPr>
          <w:sz w:val="22"/>
          <w:szCs w:val="22"/>
        </w:rPr>
        <w:t>teenuseosutaja hinnang enda lõpetamise mõju kohta tema klientide huvidele (punkt 2);</w:t>
      </w:r>
    </w:p>
    <w:p w14:paraId="79F9BDDF" w14:textId="77777777" w:rsidR="003057ED" w:rsidRDefault="003057ED" w:rsidP="002B2C7C">
      <w:pPr>
        <w:numPr>
          <w:ilvl w:val="0"/>
          <w:numId w:val="24"/>
        </w:numPr>
        <w:rPr>
          <w:sz w:val="22"/>
          <w:szCs w:val="22"/>
        </w:rPr>
      </w:pPr>
      <w:r>
        <w:rPr>
          <w:sz w:val="22"/>
          <w:szCs w:val="22"/>
        </w:rPr>
        <w:t>kinnitus selle kohta, et kõik kliendisuhted ja kliendilepingud on lõpetatud või loovutatud teisele teenuseosutajale (punkt 3);</w:t>
      </w:r>
    </w:p>
    <w:p w14:paraId="7CF602FA" w14:textId="77777777" w:rsidR="003057ED" w:rsidRPr="00B07BB7" w:rsidRDefault="003057ED" w:rsidP="002B2C7C">
      <w:pPr>
        <w:numPr>
          <w:ilvl w:val="0"/>
          <w:numId w:val="24"/>
        </w:numPr>
        <w:rPr>
          <w:sz w:val="22"/>
          <w:szCs w:val="22"/>
        </w:rPr>
      </w:pPr>
      <w:r w:rsidRPr="00B07BB7">
        <w:rPr>
          <w:sz w:val="22"/>
          <w:szCs w:val="22"/>
        </w:rPr>
        <w:t xml:space="preserve">teenuseosutaja regulaarne aruanne perioodi kohta viimasest regulaarse aruande esitamisest kuni teenuseosutaja lõpetamise otsuse tegemiseni (punkt </w:t>
      </w:r>
      <w:r>
        <w:rPr>
          <w:sz w:val="22"/>
          <w:szCs w:val="22"/>
        </w:rPr>
        <w:t>4</w:t>
      </w:r>
      <w:r w:rsidRPr="00B07BB7">
        <w:rPr>
          <w:sz w:val="22"/>
          <w:szCs w:val="22"/>
        </w:rPr>
        <w:t>).</w:t>
      </w:r>
    </w:p>
    <w:p w14:paraId="04DD317A" w14:textId="77777777" w:rsidR="003057ED" w:rsidRPr="005A55CA" w:rsidRDefault="003057ED" w:rsidP="003057ED">
      <w:pPr>
        <w:spacing w:before="0"/>
        <w:rPr>
          <w:sz w:val="22"/>
          <w:szCs w:val="22"/>
        </w:rPr>
      </w:pPr>
    </w:p>
    <w:p w14:paraId="79005F59" w14:textId="6687FFBE" w:rsidR="008B346D" w:rsidRPr="008B346D" w:rsidRDefault="008B346D" w:rsidP="003057ED">
      <w:pPr>
        <w:spacing w:before="0"/>
        <w:rPr>
          <w:bCs/>
          <w:sz w:val="22"/>
          <w:szCs w:val="22"/>
        </w:rPr>
      </w:pPr>
      <w:r>
        <w:rPr>
          <w:bCs/>
          <w:sz w:val="22"/>
          <w:szCs w:val="22"/>
        </w:rPr>
        <w:t>Punktis 2 nimetatud hinnangus tuleks märkida vähemalt seda, kas ja kuidas teenuseosutaja lõpetamine mõjutab klientide huve, s</w:t>
      </w:r>
      <w:r w:rsidR="00D912F3">
        <w:rPr>
          <w:bCs/>
          <w:sz w:val="22"/>
          <w:szCs w:val="22"/>
        </w:rPr>
        <w:t>h klientide (teenuseosutaja juures või kontrolli all oleva) vara väärtust, võimalusi nimetatud vara võõrandada pärast teenuseosutaja lõpetamist, samuti kas ja kuidas punktis 3 nimetatud kliendisuhete lõpetamine või kliendilepingute loovutamine mõjutab kliendi huve.</w:t>
      </w:r>
    </w:p>
    <w:p w14:paraId="049F31A0" w14:textId="77777777" w:rsidR="008B346D" w:rsidRDefault="008B346D" w:rsidP="003057ED">
      <w:pPr>
        <w:spacing w:before="0"/>
        <w:rPr>
          <w:b/>
          <w:sz w:val="22"/>
          <w:szCs w:val="22"/>
        </w:rPr>
      </w:pPr>
    </w:p>
    <w:p w14:paraId="34BFC427" w14:textId="1E56D7BD" w:rsidR="003057ED" w:rsidRPr="005A55CA" w:rsidRDefault="003057ED" w:rsidP="003057ED">
      <w:pPr>
        <w:spacing w:before="0"/>
        <w:rPr>
          <w:sz w:val="22"/>
          <w:szCs w:val="22"/>
        </w:rPr>
      </w:pPr>
      <w:r w:rsidRPr="005A55CA">
        <w:rPr>
          <w:b/>
          <w:sz w:val="22"/>
          <w:szCs w:val="22"/>
        </w:rPr>
        <w:t>Lõike 4</w:t>
      </w:r>
      <w:r w:rsidRPr="005A55CA">
        <w:rPr>
          <w:sz w:val="22"/>
          <w:szCs w:val="22"/>
        </w:rPr>
        <w:t xml:space="preserve"> kohaselt teenuseosutaja lõpetamise loa taotluse menetlemisele, esitatud andmete kontrollimisele ja selle kontrollimisele, kas teenuseosutaja lõpetamine vastab tema klientide huvidele, kohaldatakse §-s 1</w:t>
      </w:r>
      <w:r>
        <w:rPr>
          <w:sz w:val="22"/>
          <w:szCs w:val="22"/>
        </w:rPr>
        <w:t>3</w:t>
      </w:r>
      <w:r w:rsidRPr="005A55CA">
        <w:rPr>
          <w:sz w:val="22"/>
          <w:szCs w:val="22"/>
        </w:rPr>
        <w:t xml:space="preserve"> sätestatut</w:t>
      </w:r>
      <w:r>
        <w:rPr>
          <w:sz w:val="22"/>
          <w:szCs w:val="22"/>
        </w:rPr>
        <w:t xml:space="preserve"> (tegevusloa</w:t>
      </w:r>
      <w:r w:rsidRPr="007240DB">
        <w:rPr>
          <w:sz w:val="22"/>
          <w:szCs w:val="22"/>
        </w:rPr>
        <w:t xml:space="preserve"> kehtetuks tunnistamine)</w:t>
      </w:r>
      <w:r w:rsidRPr="005A55CA">
        <w:rPr>
          <w:sz w:val="22"/>
          <w:szCs w:val="22"/>
        </w:rPr>
        <w:t>. Käesoleva seaduse § 14 sätestab nõuded avalikkuse teavitamiseks.</w:t>
      </w:r>
    </w:p>
    <w:p w14:paraId="3BD4D3CD" w14:textId="77777777" w:rsidR="003057ED" w:rsidRPr="005A55CA" w:rsidRDefault="003057ED" w:rsidP="003057ED">
      <w:pPr>
        <w:spacing w:before="0"/>
        <w:rPr>
          <w:sz w:val="22"/>
          <w:szCs w:val="22"/>
        </w:rPr>
      </w:pPr>
    </w:p>
    <w:p w14:paraId="6ECE2BD2" w14:textId="0A6B0454" w:rsidR="003057ED" w:rsidRPr="005A55CA" w:rsidRDefault="003057ED" w:rsidP="003057ED">
      <w:pPr>
        <w:spacing w:before="0"/>
        <w:rPr>
          <w:sz w:val="22"/>
          <w:szCs w:val="22"/>
        </w:rPr>
      </w:pPr>
      <w:r w:rsidRPr="005A55CA">
        <w:rPr>
          <w:b/>
          <w:sz w:val="22"/>
          <w:szCs w:val="22"/>
        </w:rPr>
        <w:t>Lõige 5</w:t>
      </w:r>
      <w:r w:rsidRPr="005A55CA">
        <w:rPr>
          <w:sz w:val="22"/>
          <w:szCs w:val="22"/>
        </w:rPr>
        <w:t xml:space="preserve"> sätestab finantsjärelevalvele otsuse tegemise ajaraamistiku. Selle kohaselt otsuse teenuseosutaja lõpetamise loa andmise või sellest keeldumise kohta teeb Finantsinspektsioon </w:t>
      </w:r>
      <w:r>
        <w:rPr>
          <w:sz w:val="22"/>
          <w:szCs w:val="22"/>
        </w:rPr>
        <w:t>kolme</w:t>
      </w:r>
      <w:r w:rsidRPr="005A55CA">
        <w:rPr>
          <w:sz w:val="22"/>
          <w:szCs w:val="22"/>
        </w:rPr>
        <w:t xml:space="preserve"> kuu jooksul pärast kõigi vajalike dokumentide ja andmete esitamist</w:t>
      </w:r>
      <w:r>
        <w:rPr>
          <w:sz w:val="22"/>
          <w:szCs w:val="22"/>
        </w:rPr>
        <w:t>.</w:t>
      </w:r>
    </w:p>
    <w:p w14:paraId="76741B03" w14:textId="77777777" w:rsidR="003057ED" w:rsidRPr="005A55CA" w:rsidRDefault="003057ED" w:rsidP="003057ED">
      <w:pPr>
        <w:spacing w:before="0"/>
        <w:rPr>
          <w:sz w:val="22"/>
          <w:szCs w:val="22"/>
        </w:rPr>
      </w:pPr>
    </w:p>
    <w:p w14:paraId="5F3D2884" w14:textId="3C3816FF" w:rsidR="003057ED" w:rsidRPr="005A55CA" w:rsidRDefault="003057ED" w:rsidP="003057ED">
      <w:pPr>
        <w:spacing w:before="0"/>
        <w:rPr>
          <w:sz w:val="22"/>
          <w:szCs w:val="22"/>
        </w:rPr>
      </w:pPr>
      <w:r w:rsidRPr="005A55CA">
        <w:rPr>
          <w:b/>
          <w:sz w:val="22"/>
          <w:szCs w:val="22"/>
        </w:rPr>
        <w:t>Lõige 6</w:t>
      </w:r>
      <w:r w:rsidRPr="005A55CA">
        <w:rPr>
          <w:sz w:val="22"/>
          <w:szCs w:val="22"/>
        </w:rPr>
        <w:t xml:space="preserve"> sätestab finantsjärelevalvele aluse teenuseosutaja lõpetamise loa andmisest keeldumiseks. Nimelt võib Finantsinspektsioon keelduda teenuseosutaja lõpetamise loa andmisest, kui teenuseosutaja lõpetamine on vastuolus tema klientide huvidega.</w:t>
      </w:r>
      <w:r w:rsidR="00D912F3">
        <w:rPr>
          <w:sz w:val="22"/>
          <w:szCs w:val="22"/>
        </w:rPr>
        <w:t xml:space="preserve"> Sealhulgas tuleks arvesse võtta käesoleva paragrahvi lõikes 3 punktis 2 nimetatud hinnangut</w:t>
      </w:r>
      <w:r w:rsidR="009454B3">
        <w:rPr>
          <w:sz w:val="22"/>
          <w:szCs w:val="22"/>
        </w:rPr>
        <w:t xml:space="preserve"> ning kaaluda, kas teenuseosutaja lõpetamine mõjutab negatiivselt teenuseosutaja kliente.</w:t>
      </w:r>
    </w:p>
    <w:p w14:paraId="4848357B" w14:textId="77777777" w:rsidR="003057ED" w:rsidRPr="005A55CA" w:rsidRDefault="003057ED" w:rsidP="003057ED">
      <w:pPr>
        <w:spacing w:before="0"/>
        <w:rPr>
          <w:sz w:val="22"/>
          <w:szCs w:val="22"/>
        </w:rPr>
      </w:pPr>
    </w:p>
    <w:p w14:paraId="15388E3F" w14:textId="77777777" w:rsidR="003057ED" w:rsidRPr="005A55CA" w:rsidRDefault="003057ED" w:rsidP="003057ED">
      <w:pPr>
        <w:spacing w:before="0"/>
        <w:rPr>
          <w:sz w:val="22"/>
          <w:szCs w:val="22"/>
        </w:rPr>
      </w:pPr>
      <w:r w:rsidRPr="005A55CA">
        <w:rPr>
          <w:b/>
          <w:sz w:val="22"/>
          <w:szCs w:val="22"/>
        </w:rPr>
        <w:t>Lõike 7</w:t>
      </w:r>
      <w:r w:rsidRPr="005A55CA">
        <w:rPr>
          <w:sz w:val="22"/>
          <w:szCs w:val="22"/>
        </w:rPr>
        <w:t xml:space="preserve"> kohaselt teeb Finantsinspektsioon viivitamata teenuseosutajale teatavaks otsuse teenuseosutaja lõpetamise loa andmise või sellest keeldumise kohta.</w:t>
      </w:r>
    </w:p>
    <w:p w14:paraId="35B5C334" w14:textId="77777777" w:rsidR="003057ED" w:rsidRPr="005A55CA" w:rsidRDefault="003057ED" w:rsidP="003057ED">
      <w:pPr>
        <w:spacing w:before="0"/>
        <w:rPr>
          <w:sz w:val="22"/>
          <w:szCs w:val="22"/>
        </w:rPr>
      </w:pPr>
    </w:p>
    <w:p w14:paraId="190E8433" w14:textId="77777777" w:rsidR="003057ED" w:rsidRPr="005A55CA" w:rsidRDefault="003057ED" w:rsidP="003057ED">
      <w:pPr>
        <w:spacing w:before="0"/>
        <w:rPr>
          <w:sz w:val="22"/>
          <w:szCs w:val="22"/>
        </w:rPr>
      </w:pPr>
      <w:r w:rsidRPr="005A55CA">
        <w:rPr>
          <w:b/>
          <w:sz w:val="22"/>
          <w:szCs w:val="22"/>
        </w:rPr>
        <w:t>Paragrahv 8</w:t>
      </w:r>
      <w:r>
        <w:rPr>
          <w:b/>
          <w:sz w:val="22"/>
          <w:szCs w:val="22"/>
        </w:rPr>
        <w:t>5</w:t>
      </w:r>
      <w:r w:rsidRPr="005A55CA">
        <w:rPr>
          <w:sz w:val="22"/>
          <w:szCs w:val="22"/>
        </w:rPr>
        <w:t xml:space="preserve"> käsitleb teenuseosutaja pankroti olukorda.</w:t>
      </w:r>
    </w:p>
    <w:p w14:paraId="5CF257FD" w14:textId="77777777" w:rsidR="003057ED" w:rsidRPr="005A55CA" w:rsidRDefault="003057ED" w:rsidP="003057ED">
      <w:pPr>
        <w:spacing w:before="0"/>
        <w:rPr>
          <w:sz w:val="22"/>
          <w:szCs w:val="22"/>
        </w:rPr>
      </w:pPr>
    </w:p>
    <w:p w14:paraId="58267F58" w14:textId="77777777" w:rsidR="003057ED" w:rsidRPr="005A55CA" w:rsidRDefault="003057ED" w:rsidP="003057ED">
      <w:pPr>
        <w:spacing w:before="0"/>
        <w:rPr>
          <w:sz w:val="22"/>
          <w:szCs w:val="22"/>
        </w:rPr>
      </w:pPr>
      <w:r w:rsidRPr="005A55CA">
        <w:rPr>
          <w:b/>
          <w:sz w:val="22"/>
          <w:szCs w:val="22"/>
        </w:rPr>
        <w:t>Lõike 1</w:t>
      </w:r>
      <w:r w:rsidRPr="005A55CA">
        <w:rPr>
          <w:sz w:val="22"/>
          <w:szCs w:val="22"/>
        </w:rPr>
        <w:t xml:space="preserve"> kohaselt võivad teenuseosutaja vastu pankrotiavalduse esitada Finantsinspektsioon (punkt 1),</w:t>
      </w:r>
      <w:r w:rsidRPr="005A55CA">
        <w:rPr>
          <w:sz w:val="22"/>
          <w:szCs w:val="22"/>
        </w:rPr>
        <w:br/>
        <w:t>likvideerijad (punkt 2) või võlausaldajad (punkt 3).</w:t>
      </w:r>
    </w:p>
    <w:p w14:paraId="57F0252A" w14:textId="77777777" w:rsidR="003057ED" w:rsidRPr="005A55CA" w:rsidRDefault="003057ED" w:rsidP="003057ED">
      <w:pPr>
        <w:spacing w:before="0"/>
        <w:rPr>
          <w:sz w:val="22"/>
          <w:szCs w:val="22"/>
        </w:rPr>
      </w:pPr>
    </w:p>
    <w:p w14:paraId="32CEA010" w14:textId="77777777" w:rsidR="003057ED" w:rsidRPr="005A55CA" w:rsidRDefault="003057ED" w:rsidP="003057ED">
      <w:pPr>
        <w:spacing w:before="0"/>
        <w:rPr>
          <w:sz w:val="22"/>
          <w:szCs w:val="22"/>
        </w:rPr>
      </w:pPr>
      <w:r w:rsidRPr="005A55CA">
        <w:rPr>
          <w:b/>
          <w:sz w:val="22"/>
          <w:szCs w:val="22"/>
        </w:rPr>
        <w:t>Lõike 2</w:t>
      </w:r>
      <w:r w:rsidRPr="005A55CA">
        <w:rPr>
          <w:sz w:val="22"/>
          <w:szCs w:val="22"/>
        </w:rPr>
        <w:t xml:space="preserve"> kohaselt peab tegutsev teenuseosutaja viivitamata Finantsinspektsiooni</w:t>
      </w:r>
      <w:r w:rsidRPr="005A55CA" w:rsidDel="000D6B7F">
        <w:rPr>
          <w:sz w:val="22"/>
          <w:szCs w:val="22"/>
        </w:rPr>
        <w:t xml:space="preserve"> </w:t>
      </w:r>
      <w:r w:rsidRPr="005A55CA">
        <w:rPr>
          <w:sz w:val="22"/>
          <w:szCs w:val="22"/>
        </w:rPr>
        <w:t>teavitama pankrotiavalduse esitamisest enda suhtes.</w:t>
      </w:r>
    </w:p>
    <w:p w14:paraId="3BDF5D8E" w14:textId="77777777" w:rsidR="003057ED" w:rsidRPr="005A55CA" w:rsidRDefault="003057ED" w:rsidP="003057ED">
      <w:pPr>
        <w:spacing w:before="0"/>
        <w:rPr>
          <w:sz w:val="22"/>
          <w:szCs w:val="22"/>
        </w:rPr>
      </w:pPr>
    </w:p>
    <w:p w14:paraId="0314DEF7" w14:textId="77777777" w:rsidR="003057ED" w:rsidRPr="005A55CA" w:rsidRDefault="003057ED" w:rsidP="003057ED">
      <w:pPr>
        <w:spacing w:before="0"/>
        <w:rPr>
          <w:sz w:val="22"/>
          <w:szCs w:val="22"/>
        </w:rPr>
      </w:pPr>
      <w:r w:rsidRPr="005A55CA">
        <w:rPr>
          <w:b/>
          <w:sz w:val="22"/>
          <w:szCs w:val="22"/>
        </w:rPr>
        <w:t>Lõike 3</w:t>
      </w:r>
      <w:r w:rsidRPr="005A55CA">
        <w:rPr>
          <w:sz w:val="22"/>
          <w:szCs w:val="22"/>
        </w:rPr>
        <w:t xml:space="preserve"> kohaselt võib tegutsev teenuseosutaja kui võlgnik pankrotiavalduse esitada enda kohta ainult Finantsinspektsiooni kirjalikul nõusolekul.</w:t>
      </w:r>
    </w:p>
    <w:p w14:paraId="52BA5D0E" w14:textId="77777777" w:rsidR="003057ED" w:rsidRPr="005A55CA" w:rsidRDefault="003057ED" w:rsidP="003057ED">
      <w:pPr>
        <w:spacing w:before="0"/>
        <w:rPr>
          <w:sz w:val="22"/>
          <w:szCs w:val="22"/>
        </w:rPr>
      </w:pPr>
    </w:p>
    <w:p w14:paraId="5290CC30" w14:textId="77777777" w:rsidR="003057ED" w:rsidRPr="005A55CA" w:rsidRDefault="003057ED" w:rsidP="003057ED">
      <w:pPr>
        <w:spacing w:before="0"/>
        <w:rPr>
          <w:sz w:val="22"/>
          <w:szCs w:val="22"/>
        </w:rPr>
      </w:pPr>
      <w:r w:rsidRPr="005A55CA">
        <w:rPr>
          <w:b/>
          <w:sz w:val="22"/>
          <w:szCs w:val="22"/>
        </w:rPr>
        <w:t>Lõige 4</w:t>
      </w:r>
      <w:r w:rsidRPr="005A55CA">
        <w:rPr>
          <w:sz w:val="22"/>
          <w:szCs w:val="22"/>
        </w:rPr>
        <w:t xml:space="preserve"> sätestab kaitsemeetme klientide varale pankrotimenetluse korral. Selle </w:t>
      </w:r>
      <w:proofErr w:type="spellStart"/>
      <w:r w:rsidRPr="005A55CA">
        <w:rPr>
          <w:sz w:val="22"/>
          <w:szCs w:val="22"/>
        </w:rPr>
        <w:t>kohselt</w:t>
      </w:r>
      <w:proofErr w:type="spellEnd"/>
      <w:r w:rsidRPr="005A55CA">
        <w:rPr>
          <w:sz w:val="22"/>
          <w:szCs w:val="22"/>
        </w:rPr>
        <w:t xml:space="preserve"> kuulub teenuseosutamisega seoses teenuseosutajale usaldatud kliendi vara, samuti selle arvel omandatud vara, teenuseosutamisega seotud kliendile ning seda ei arvata teenuseosutaja pankrotivara hulka ja selle arvel ei rahuldata teenuseosutaja teiste võlausaldajate nõudeid.</w:t>
      </w:r>
    </w:p>
    <w:p w14:paraId="17F61FB6" w14:textId="77777777" w:rsidR="003057ED" w:rsidRPr="005A55CA" w:rsidRDefault="003057ED" w:rsidP="003057ED">
      <w:pPr>
        <w:spacing w:before="0"/>
        <w:rPr>
          <w:sz w:val="22"/>
          <w:szCs w:val="22"/>
        </w:rPr>
      </w:pPr>
    </w:p>
    <w:p w14:paraId="582B4D87" w14:textId="77777777" w:rsidR="003057ED" w:rsidRPr="005A55CA" w:rsidRDefault="003057ED" w:rsidP="003057ED">
      <w:pPr>
        <w:spacing w:before="0"/>
        <w:rPr>
          <w:sz w:val="22"/>
          <w:szCs w:val="22"/>
        </w:rPr>
      </w:pPr>
      <w:r w:rsidRPr="005A55CA">
        <w:rPr>
          <w:b/>
          <w:sz w:val="22"/>
          <w:szCs w:val="22"/>
        </w:rPr>
        <w:t>Lõige 5</w:t>
      </w:r>
      <w:r w:rsidRPr="005A55CA">
        <w:rPr>
          <w:sz w:val="22"/>
          <w:szCs w:val="22"/>
        </w:rPr>
        <w:t xml:space="preserve"> sätestab, millised on pankrotimenetluses nõuete rahuldamise järjekorra moodustumise alused. Selle kohaselt rahuldatakse teenuseosutaja pankrotimenetluses nõuded pankrotiseaduses sätestatud järkudes, kui käesolevast paragrahvist ei tulene teisiti.</w:t>
      </w:r>
    </w:p>
    <w:p w14:paraId="104A07AB" w14:textId="77777777" w:rsidR="003057ED" w:rsidRPr="005A55CA" w:rsidRDefault="003057ED" w:rsidP="003057ED">
      <w:pPr>
        <w:spacing w:before="0"/>
        <w:rPr>
          <w:sz w:val="22"/>
          <w:szCs w:val="22"/>
        </w:rPr>
      </w:pPr>
    </w:p>
    <w:p w14:paraId="0314D383" w14:textId="77777777" w:rsidR="003057ED" w:rsidRPr="005A55CA" w:rsidRDefault="003057ED" w:rsidP="003057ED">
      <w:pPr>
        <w:spacing w:before="0"/>
        <w:rPr>
          <w:sz w:val="22"/>
          <w:szCs w:val="22"/>
        </w:rPr>
      </w:pPr>
      <w:r w:rsidRPr="005A55CA">
        <w:rPr>
          <w:b/>
          <w:sz w:val="22"/>
          <w:szCs w:val="22"/>
        </w:rPr>
        <w:t>Lõige 6</w:t>
      </w:r>
      <w:r w:rsidRPr="005A55CA">
        <w:rPr>
          <w:sz w:val="22"/>
          <w:szCs w:val="22"/>
        </w:rPr>
        <w:t xml:space="preserve"> sätestab lõikest 5 erisuse sellise teenuseosutaja suhtes, kes pakub t</w:t>
      </w:r>
      <w:r>
        <w:rPr>
          <w:sz w:val="22"/>
          <w:szCs w:val="22"/>
        </w:rPr>
        <w:t>emale</w:t>
      </w:r>
      <w:r w:rsidRPr="005A55CA">
        <w:rPr>
          <w:sz w:val="22"/>
          <w:szCs w:val="22"/>
        </w:rPr>
        <w:t xml:space="preserve"> usaldatud kliendi varaga seoses makseteenuseid, sealhulgas täidab klientide maksejuhised makseasutuste ja e-raha asutuste seaduse tähenduses, omades selleks vastavat tegevusluba. Lõike 6 kohaselt sellise teenuseosutaja puhul rahuldatakse võlausaldajate nõuded järgmistes järkudes:</w:t>
      </w:r>
    </w:p>
    <w:p w14:paraId="5102F865" w14:textId="77777777" w:rsidR="003057ED" w:rsidRDefault="003057ED" w:rsidP="002B2C7C">
      <w:pPr>
        <w:numPr>
          <w:ilvl w:val="0"/>
          <w:numId w:val="25"/>
        </w:numPr>
        <w:rPr>
          <w:sz w:val="22"/>
          <w:szCs w:val="22"/>
        </w:rPr>
      </w:pPr>
      <w:r w:rsidRPr="00B07BB7">
        <w:rPr>
          <w:sz w:val="22"/>
          <w:szCs w:val="22"/>
        </w:rPr>
        <w:t>pandiga tagatud tähta</w:t>
      </w:r>
      <w:r>
        <w:rPr>
          <w:sz w:val="22"/>
          <w:szCs w:val="22"/>
        </w:rPr>
        <w:t>jaks</w:t>
      </w:r>
      <w:r w:rsidRPr="00B07BB7">
        <w:rPr>
          <w:sz w:val="22"/>
          <w:szCs w:val="22"/>
        </w:rPr>
        <w:t xml:space="preserve"> esitatud tunnustatud nõuded pankrotiseaduse § 153 lõikes 2 sätestatud ulatuses (punkt 1);</w:t>
      </w:r>
    </w:p>
    <w:p w14:paraId="7A00102F" w14:textId="77777777" w:rsidR="003057ED" w:rsidRDefault="003057ED" w:rsidP="002B2C7C">
      <w:pPr>
        <w:numPr>
          <w:ilvl w:val="0"/>
          <w:numId w:val="25"/>
        </w:numPr>
        <w:rPr>
          <w:sz w:val="22"/>
          <w:szCs w:val="22"/>
        </w:rPr>
      </w:pPr>
      <w:r w:rsidRPr="00B07BB7">
        <w:rPr>
          <w:sz w:val="22"/>
          <w:szCs w:val="22"/>
        </w:rPr>
        <w:t>klientide tähta</w:t>
      </w:r>
      <w:r>
        <w:rPr>
          <w:sz w:val="22"/>
          <w:szCs w:val="22"/>
        </w:rPr>
        <w:t>jaks</w:t>
      </w:r>
      <w:r w:rsidRPr="00B07BB7">
        <w:rPr>
          <w:sz w:val="22"/>
          <w:szCs w:val="22"/>
        </w:rPr>
        <w:t xml:space="preserve"> esitatud tunnustatud nõuded (punkt 2);</w:t>
      </w:r>
    </w:p>
    <w:p w14:paraId="6F79D594" w14:textId="77777777" w:rsidR="003057ED" w:rsidRDefault="003057ED" w:rsidP="002B2C7C">
      <w:pPr>
        <w:numPr>
          <w:ilvl w:val="0"/>
          <w:numId w:val="25"/>
        </w:numPr>
        <w:rPr>
          <w:sz w:val="22"/>
          <w:szCs w:val="22"/>
        </w:rPr>
      </w:pPr>
      <w:r w:rsidRPr="00B07BB7">
        <w:rPr>
          <w:sz w:val="22"/>
          <w:szCs w:val="22"/>
        </w:rPr>
        <w:t>muud tähta</w:t>
      </w:r>
      <w:r>
        <w:rPr>
          <w:sz w:val="22"/>
          <w:szCs w:val="22"/>
        </w:rPr>
        <w:t>jaks</w:t>
      </w:r>
      <w:r w:rsidRPr="00B07BB7">
        <w:rPr>
          <w:sz w:val="22"/>
          <w:szCs w:val="22"/>
        </w:rPr>
        <w:t xml:space="preserve"> esitatud tunnustatud nõuded (punkt 3);</w:t>
      </w:r>
    </w:p>
    <w:p w14:paraId="30038E5F" w14:textId="77777777" w:rsidR="003057ED" w:rsidRPr="00B07BB7" w:rsidRDefault="003057ED" w:rsidP="002B2C7C">
      <w:pPr>
        <w:numPr>
          <w:ilvl w:val="0"/>
          <w:numId w:val="25"/>
        </w:numPr>
        <w:rPr>
          <w:sz w:val="22"/>
          <w:szCs w:val="22"/>
        </w:rPr>
      </w:pPr>
      <w:r w:rsidRPr="00B07BB7">
        <w:rPr>
          <w:sz w:val="22"/>
          <w:szCs w:val="22"/>
        </w:rPr>
        <w:t>tähta</w:t>
      </w:r>
      <w:r>
        <w:rPr>
          <w:sz w:val="22"/>
          <w:szCs w:val="22"/>
        </w:rPr>
        <w:t>jaks</w:t>
      </w:r>
      <w:r w:rsidRPr="00B07BB7">
        <w:rPr>
          <w:sz w:val="22"/>
          <w:szCs w:val="22"/>
        </w:rPr>
        <w:t xml:space="preserve"> esitamata, kuid tunnustatud nõuded (punkt 4).</w:t>
      </w:r>
    </w:p>
    <w:p w14:paraId="137992E1" w14:textId="77777777" w:rsidR="003057ED" w:rsidRDefault="003057ED" w:rsidP="003057ED">
      <w:pPr>
        <w:spacing w:before="0"/>
        <w:rPr>
          <w:sz w:val="22"/>
          <w:szCs w:val="22"/>
        </w:rPr>
      </w:pPr>
    </w:p>
    <w:p w14:paraId="3A047657" w14:textId="77777777" w:rsidR="003057ED" w:rsidRDefault="003057ED" w:rsidP="003057ED">
      <w:pPr>
        <w:spacing w:before="0"/>
        <w:rPr>
          <w:sz w:val="22"/>
          <w:szCs w:val="22"/>
        </w:rPr>
      </w:pPr>
      <w:r w:rsidRPr="00DC34DE">
        <w:rPr>
          <w:b/>
          <w:sz w:val="22"/>
          <w:szCs w:val="22"/>
        </w:rPr>
        <w:t>Seaduse 11. peatükk</w:t>
      </w:r>
      <w:r>
        <w:rPr>
          <w:sz w:val="22"/>
          <w:szCs w:val="22"/>
        </w:rPr>
        <w:t xml:space="preserve"> kehtestab nõuded järelevalvele.</w:t>
      </w:r>
    </w:p>
    <w:p w14:paraId="583CAEB6" w14:textId="77777777" w:rsidR="003057ED" w:rsidRPr="005A55CA" w:rsidRDefault="003057ED" w:rsidP="003057ED">
      <w:pPr>
        <w:spacing w:before="0"/>
        <w:rPr>
          <w:sz w:val="22"/>
          <w:szCs w:val="22"/>
        </w:rPr>
      </w:pPr>
    </w:p>
    <w:p w14:paraId="2B07646B" w14:textId="77777777" w:rsidR="003057ED" w:rsidRPr="005A55CA" w:rsidRDefault="003057ED" w:rsidP="003057ED">
      <w:pPr>
        <w:pStyle w:val="Normal2"/>
        <w:rPr>
          <w:szCs w:val="22"/>
        </w:rPr>
      </w:pPr>
      <w:r w:rsidRPr="005A55CA">
        <w:rPr>
          <w:b/>
          <w:szCs w:val="22"/>
        </w:rPr>
        <w:t>Paragrahv 8</w:t>
      </w:r>
      <w:r>
        <w:rPr>
          <w:b/>
          <w:szCs w:val="22"/>
        </w:rPr>
        <w:t>6</w:t>
      </w:r>
      <w:r w:rsidRPr="005A55CA">
        <w:rPr>
          <w:szCs w:val="22"/>
        </w:rPr>
        <w:t xml:space="preserve"> </w:t>
      </w:r>
      <w:r>
        <w:rPr>
          <w:szCs w:val="22"/>
        </w:rPr>
        <w:t xml:space="preserve">näeb ette </w:t>
      </w:r>
      <w:r w:rsidRPr="005A55CA">
        <w:rPr>
          <w:szCs w:val="22"/>
        </w:rPr>
        <w:t xml:space="preserve">järelevalve </w:t>
      </w:r>
      <w:r>
        <w:rPr>
          <w:szCs w:val="22"/>
        </w:rPr>
        <w:t xml:space="preserve">eesmärgid. </w:t>
      </w:r>
    </w:p>
    <w:p w14:paraId="55A430B7" w14:textId="77777777" w:rsidR="003057ED" w:rsidRPr="005A55CA" w:rsidRDefault="003057ED" w:rsidP="003057ED">
      <w:pPr>
        <w:spacing w:before="0"/>
        <w:rPr>
          <w:sz w:val="22"/>
          <w:szCs w:val="22"/>
        </w:rPr>
      </w:pPr>
    </w:p>
    <w:p w14:paraId="16EDC023" w14:textId="77777777" w:rsidR="003057ED" w:rsidRPr="005A55CA" w:rsidRDefault="003057ED" w:rsidP="003057ED">
      <w:pPr>
        <w:spacing w:before="0"/>
        <w:rPr>
          <w:sz w:val="22"/>
          <w:szCs w:val="22"/>
        </w:rPr>
      </w:pPr>
      <w:r w:rsidRPr="00E35A22">
        <w:rPr>
          <w:sz w:val="22"/>
          <w:szCs w:val="22"/>
        </w:rPr>
        <w:t>Nimelt</w:t>
      </w:r>
      <w:r>
        <w:rPr>
          <w:sz w:val="22"/>
          <w:szCs w:val="22"/>
        </w:rPr>
        <w:t xml:space="preserve"> on j</w:t>
      </w:r>
      <w:r w:rsidRPr="005A55CA">
        <w:rPr>
          <w:sz w:val="22"/>
          <w:szCs w:val="22"/>
        </w:rPr>
        <w:t xml:space="preserve">ärelevalve põhieesmärk tagada kõigi </w:t>
      </w:r>
      <w:proofErr w:type="spellStart"/>
      <w:r w:rsidRPr="005A55CA">
        <w:rPr>
          <w:sz w:val="22"/>
          <w:szCs w:val="22"/>
        </w:rPr>
        <w:t>teeuseosutajate</w:t>
      </w:r>
      <w:proofErr w:type="spellEnd"/>
      <w:r w:rsidRPr="005A55CA">
        <w:rPr>
          <w:sz w:val="22"/>
          <w:szCs w:val="22"/>
        </w:rPr>
        <w:t xml:space="preserve"> asutamise, tegevuse ja lõpetamise vastavus õigusaktides sätestatule, pidades silmas kõigi</w:t>
      </w:r>
      <w:r>
        <w:rPr>
          <w:sz w:val="22"/>
          <w:szCs w:val="22"/>
        </w:rPr>
        <w:t xml:space="preserve"> teenuseosutaja</w:t>
      </w:r>
      <w:r w:rsidRPr="005A55CA">
        <w:rPr>
          <w:sz w:val="22"/>
          <w:szCs w:val="22"/>
        </w:rPr>
        <w:t xml:space="preserve"> klientide huvide ja õiguste kaitset. </w:t>
      </w:r>
    </w:p>
    <w:p w14:paraId="39F0C885" w14:textId="77777777" w:rsidR="003057ED" w:rsidRDefault="003057ED" w:rsidP="003057ED">
      <w:pPr>
        <w:spacing w:before="0"/>
        <w:rPr>
          <w:sz w:val="22"/>
          <w:szCs w:val="22"/>
        </w:rPr>
      </w:pPr>
    </w:p>
    <w:p w14:paraId="65496CEE" w14:textId="77777777" w:rsidR="003057ED" w:rsidRDefault="003057ED" w:rsidP="003057ED">
      <w:pPr>
        <w:spacing w:before="0"/>
        <w:rPr>
          <w:b/>
          <w:bCs/>
          <w:sz w:val="22"/>
          <w:szCs w:val="22"/>
        </w:rPr>
      </w:pPr>
      <w:r w:rsidRPr="00E35A22">
        <w:rPr>
          <w:b/>
          <w:bCs/>
          <w:sz w:val="22"/>
          <w:szCs w:val="22"/>
        </w:rPr>
        <w:t>Paragrahv 87</w:t>
      </w:r>
      <w:r w:rsidRPr="00E35A22">
        <w:rPr>
          <w:sz w:val="22"/>
          <w:szCs w:val="22"/>
        </w:rPr>
        <w:t xml:space="preserve"> kehtestab järelevalve alused ja ulatuse ning</w:t>
      </w:r>
      <w:r>
        <w:rPr>
          <w:b/>
          <w:bCs/>
          <w:sz w:val="22"/>
          <w:szCs w:val="22"/>
        </w:rPr>
        <w:t xml:space="preserve"> </w:t>
      </w:r>
      <w:r w:rsidRPr="00E35A22">
        <w:rPr>
          <w:sz w:val="22"/>
          <w:szCs w:val="22"/>
        </w:rPr>
        <w:t>sammud järelevalve teostamise</w:t>
      </w:r>
      <w:r>
        <w:rPr>
          <w:sz w:val="22"/>
          <w:szCs w:val="22"/>
        </w:rPr>
        <w:t>l</w:t>
      </w:r>
      <w:r w:rsidRPr="00E35A22">
        <w:rPr>
          <w:sz w:val="22"/>
          <w:szCs w:val="22"/>
        </w:rPr>
        <w:t>.</w:t>
      </w:r>
    </w:p>
    <w:p w14:paraId="4CE4E5C3" w14:textId="77777777" w:rsidR="003057ED" w:rsidRPr="00E35A22" w:rsidRDefault="003057ED" w:rsidP="003057ED">
      <w:pPr>
        <w:spacing w:before="0"/>
        <w:rPr>
          <w:b/>
          <w:bCs/>
          <w:sz w:val="22"/>
          <w:szCs w:val="22"/>
        </w:rPr>
      </w:pPr>
      <w:r w:rsidRPr="00E35A22">
        <w:rPr>
          <w:b/>
          <w:bCs/>
          <w:sz w:val="22"/>
          <w:szCs w:val="22"/>
        </w:rPr>
        <w:tab/>
      </w:r>
    </w:p>
    <w:p w14:paraId="044F5AFC" w14:textId="77777777" w:rsidR="003057ED" w:rsidRPr="003F1C57" w:rsidRDefault="003057ED" w:rsidP="003057ED">
      <w:pPr>
        <w:spacing w:before="0"/>
        <w:ind w:right="-64"/>
        <w:rPr>
          <w:bCs/>
          <w:sz w:val="22"/>
          <w:szCs w:val="22"/>
        </w:rPr>
      </w:pPr>
      <w:r>
        <w:rPr>
          <w:b/>
          <w:sz w:val="22"/>
          <w:szCs w:val="22"/>
        </w:rPr>
        <w:t>Lõike 1</w:t>
      </w:r>
      <w:r>
        <w:rPr>
          <w:bCs/>
          <w:sz w:val="22"/>
          <w:szCs w:val="22"/>
        </w:rPr>
        <w:t xml:space="preserve"> kohaselt teostab teenuseosutaja üle järelevalvet Finantsinspektsioon, lähtudes sealjuures käesolevas seaduses, Finantsinspektsiooni seaduses ja muudes teenuseosutaja tegevust reguleerivates õigusaktides ning nende alusel välja antud õigusaktides sätestatust. </w:t>
      </w:r>
    </w:p>
    <w:p w14:paraId="736233A9" w14:textId="77777777" w:rsidR="003057ED" w:rsidRDefault="003057ED" w:rsidP="003057ED">
      <w:pPr>
        <w:spacing w:before="0"/>
        <w:ind w:right="-64"/>
        <w:rPr>
          <w:b/>
          <w:sz w:val="22"/>
          <w:szCs w:val="22"/>
        </w:rPr>
      </w:pPr>
    </w:p>
    <w:p w14:paraId="1964CA7D" w14:textId="77777777" w:rsidR="003057ED" w:rsidRPr="005A55CA" w:rsidRDefault="003057ED" w:rsidP="003057ED">
      <w:pPr>
        <w:spacing w:before="0"/>
        <w:ind w:right="-64"/>
        <w:rPr>
          <w:sz w:val="22"/>
          <w:szCs w:val="22"/>
        </w:rPr>
      </w:pPr>
      <w:r w:rsidRPr="005A55CA">
        <w:rPr>
          <w:b/>
          <w:sz w:val="22"/>
          <w:szCs w:val="22"/>
        </w:rPr>
        <w:t>Lõikes 2</w:t>
      </w:r>
      <w:r w:rsidRPr="005A55CA">
        <w:rPr>
          <w:sz w:val="22"/>
          <w:szCs w:val="22"/>
        </w:rPr>
        <w:t xml:space="preserve"> on sätestatud järelevalve ulatus. Finantsinspektsioon teostab järelevalvet:</w:t>
      </w:r>
    </w:p>
    <w:p w14:paraId="4AB8ED0F" w14:textId="77777777" w:rsidR="003057ED" w:rsidRPr="005A55CA" w:rsidRDefault="003057ED" w:rsidP="003057ED">
      <w:pPr>
        <w:numPr>
          <w:ilvl w:val="0"/>
          <w:numId w:val="13"/>
        </w:numPr>
        <w:ind w:right="-64"/>
        <w:rPr>
          <w:sz w:val="22"/>
          <w:szCs w:val="22"/>
        </w:rPr>
      </w:pPr>
      <w:r w:rsidRPr="005A55CA">
        <w:rPr>
          <w:sz w:val="22"/>
          <w:szCs w:val="22"/>
        </w:rPr>
        <w:t>Eestis asutatud teenuseosutaja üle;</w:t>
      </w:r>
    </w:p>
    <w:p w14:paraId="336B3583" w14:textId="77777777" w:rsidR="003057ED" w:rsidRPr="005A55CA" w:rsidRDefault="003057ED" w:rsidP="003057ED">
      <w:pPr>
        <w:numPr>
          <w:ilvl w:val="0"/>
          <w:numId w:val="13"/>
        </w:numPr>
        <w:ind w:right="-64"/>
        <w:rPr>
          <w:sz w:val="22"/>
          <w:szCs w:val="22"/>
        </w:rPr>
      </w:pPr>
      <w:r w:rsidRPr="005A55CA">
        <w:rPr>
          <w:sz w:val="22"/>
          <w:szCs w:val="22"/>
        </w:rPr>
        <w:t xml:space="preserve">Eesti teenuseosutaja välisriigis </w:t>
      </w:r>
      <w:r>
        <w:rPr>
          <w:sz w:val="22"/>
          <w:szCs w:val="22"/>
        </w:rPr>
        <w:t>registreeritud</w:t>
      </w:r>
      <w:r w:rsidRPr="005A55CA">
        <w:rPr>
          <w:sz w:val="22"/>
          <w:szCs w:val="22"/>
        </w:rPr>
        <w:t xml:space="preserve"> filiaali üle, kui filiaali üle ei teosta järelevalvet välisriigi finantsjärelevalve asutus või kui selle riigi finantsjärelevalve asutusega on sõlmitud vastav kokkulepe;</w:t>
      </w:r>
    </w:p>
    <w:p w14:paraId="32F0ACFF" w14:textId="77777777" w:rsidR="003057ED" w:rsidRPr="005A55CA" w:rsidRDefault="003057ED" w:rsidP="003057ED">
      <w:pPr>
        <w:numPr>
          <w:ilvl w:val="0"/>
          <w:numId w:val="13"/>
        </w:numPr>
        <w:ind w:right="-64"/>
        <w:rPr>
          <w:sz w:val="22"/>
          <w:szCs w:val="22"/>
        </w:rPr>
      </w:pPr>
      <w:r w:rsidRPr="005A55CA">
        <w:rPr>
          <w:sz w:val="22"/>
          <w:szCs w:val="22"/>
        </w:rPr>
        <w:t>teenuseosutajas olulist osalust omava isiku üle;</w:t>
      </w:r>
    </w:p>
    <w:p w14:paraId="56297446" w14:textId="77777777" w:rsidR="003057ED" w:rsidRDefault="003057ED" w:rsidP="003057ED">
      <w:pPr>
        <w:numPr>
          <w:ilvl w:val="0"/>
          <w:numId w:val="13"/>
        </w:numPr>
        <w:ind w:right="-64"/>
        <w:rPr>
          <w:sz w:val="22"/>
          <w:szCs w:val="22"/>
        </w:rPr>
      </w:pPr>
      <w:r w:rsidRPr="005A55CA">
        <w:rPr>
          <w:sz w:val="22"/>
          <w:szCs w:val="22"/>
        </w:rPr>
        <w:t>isiku üle, kellele teenuseosutaja on seaduse kohaselt teatud tegevused edasi andnud</w:t>
      </w:r>
      <w:r>
        <w:rPr>
          <w:sz w:val="22"/>
          <w:szCs w:val="22"/>
        </w:rPr>
        <w:t>;</w:t>
      </w:r>
    </w:p>
    <w:p w14:paraId="0F5E7FC5" w14:textId="77777777" w:rsidR="003057ED" w:rsidRPr="005A55CA" w:rsidRDefault="003057ED" w:rsidP="003057ED">
      <w:pPr>
        <w:numPr>
          <w:ilvl w:val="0"/>
          <w:numId w:val="13"/>
        </w:numPr>
        <w:ind w:right="-64"/>
        <w:rPr>
          <w:sz w:val="22"/>
          <w:szCs w:val="22"/>
        </w:rPr>
      </w:pPr>
      <w:r>
        <w:rPr>
          <w:sz w:val="22"/>
          <w:szCs w:val="22"/>
        </w:rPr>
        <w:t>isikute üle, kes osutavad teenust Eestis filiaali kaudu või piiriüleselt</w:t>
      </w:r>
      <w:r w:rsidRPr="005A55CA">
        <w:rPr>
          <w:sz w:val="22"/>
          <w:szCs w:val="22"/>
        </w:rPr>
        <w:t>.</w:t>
      </w:r>
    </w:p>
    <w:p w14:paraId="37584FFB" w14:textId="77777777" w:rsidR="003057ED" w:rsidRPr="005A55CA" w:rsidRDefault="003057ED" w:rsidP="003057ED">
      <w:pPr>
        <w:spacing w:before="0"/>
        <w:rPr>
          <w:sz w:val="22"/>
          <w:szCs w:val="22"/>
        </w:rPr>
      </w:pPr>
    </w:p>
    <w:p w14:paraId="5201187D" w14:textId="77777777" w:rsidR="003057ED" w:rsidRPr="005A55CA" w:rsidRDefault="003057ED" w:rsidP="003057ED">
      <w:pPr>
        <w:spacing w:before="0"/>
        <w:rPr>
          <w:sz w:val="22"/>
          <w:szCs w:val="22"/>
        </w:rPr>
      </w:pPr>
      <w:r w:rsidRPr="005A55CA">
        <w:rPr>
          <w:b/>
          <w:sz w:val="22"/>
          <w:szCs w:val="22"/>
        </w:rPr>
        <w:t>Lõige 3</w:t>
      </w:r>
      <w:r w:rsidRPr="005A55CA">
        <w:rPr>
          <w:sz w:val="22"/>
          <w:szCs w:val="22"/>
        </w:rPr>
        <w:t xml:space="preserve"> võtab kokku seadusest tulenevad Finantsinspektsiooni ülesanded. Finantsinspektsioon:</w:t>
      </w:r>
    </w:p>
    <w:p w14:paraId="0F15581E" w14:textId="77777777" w:rsidR="003057ED" w:rsidRPr="005A55CA" w:rsidRDefault="003057ED" w:rsidP="003057ED">
      <w:pPr>
        <w:numPr>
          <w:ilvl w:val="0"/>
          <w:numId w:val="13"/>
        </w:numPr>
        <w:rPr>
          <w:sz w:val="22"/>
          <w:szCs w:val="22"/>
        </w:rPr>
      </w:pPr>
      <w:r w:rsidRPr="005A55CA">
        <w:rPr>
          <w:sz w:val="22"/>
          <w:szCs w:val="22"/>
        </w:rPr>
        <w:lastRenderedPageBreak/>
        <w:t>otsustab lubade andmise, muutmise ja kehtetuks tunnistamise;</w:t>
      </w:r>
    </w:p>
    <w:p w14:paraId="40E22F2B" w14:textId="77777777" w:rsidR="003057ED" w:rsidRPr="005A55CA" w:rsidRDefault="003057ED" w:rsidP="003057ED">
      <w:pPr>
        <w:numPr>
          <w:ilvl w:val="0"/>
          <w:numId w:val="13"/>
        </w:numPr>
        <w:rPr>
          <w:sz w:val="22"/>
          <w:szCs w:val="22"/>
        </w:rPr>
      </w:pPr>
      <w:r w:rsidRPr="005A55CA">
        <w:rPr>
          <w:sz w:val="22"/>
          <w:szCs w:val="22"/>
        </w:rPr>
        <w:t>kontrollib osaluste omandamise, suurendamise ja vähendamisega seonduvat;</w:t>
      </w:r>
    </w:p>
    <w:p w14:paraId="40386E45" w14:textId="77777777" w:rsidR="003057ED" w:rsidRPr="005A55CA" w:rsidRDefault="003057ED" w:rsidP="003057ED">
      <w:pPr>
        <w:numPr>
          <w:ilvl w:val="0"/>
          <w:numId w:val="13"/>
        </w:numPr>
        <w:rPr>
          <w:sz w:val="22"/>
          <w:szCs w:val="22"/>
        </w:rPr>
      </w:pPr>
      <w:r w:rsidRPr="005A55CA">
        <w:rPr>
          <w:sz w:val="22"/>
          <w:szCs w:val="22"/>
        </w:rPr>
        <w:t>annab lubasid, nõusolekuid või teostab registreerimisi ja kooskõlastamisi;</w:t>
      </w:r>
    </w:p>
    <w:p w14:paraId="4FEB2B40" w14:textId="77777777" w:rsidR="003057ED" w:rsidRPr="005A55CA" w:rsidRDefault="003057ED" w:rsidP="003057ED">
      <w:pPr>
        <w:numPr>
          <w:ilvl w:val="0"/>
          <w:numId w:val="13"/>
        </w:numPr>
        <w:rPr>
          <w:sz w:val="22"/>
          <w:szCs w:val="22"/>
        </w:rPr>
      </w:pPr>
      <w:r w:rsidRPr="005A55CA">
        <w:rPr>
          <w:sz w:val="22"/>
          <w:szCs w:val="22"/>
        </w:rPr>
        <w:t>jälgib aruandeid ja muid dokumente kontrollides ning kohapealset kontrolli teostades teenuseosutaja tegevuse vastavust seadusele;</w:t>
      </w:r>
    </w:p>
    <w:p w14:paraId="0BE71C75" w14:textId="77777777" w:rsidR="003057ED" w:rsidRPr="005A55CA" w:rsidRDefault="003057ED" w:rsidP="003057ED">
      <w:pPr>
        <w:numPr>
          <w:ilvl w:val="0"/>
          <w:numId w:val="13"/>
        </w:numPr>
        <w:rPr>
          <w:sz w:val="22"/>
          <w:szCs w:val="22"/>
        </w:rPr>
      </w:pPr>
      <w:r w:rsidRPr="005A55CA">
        <w:rPr>
          <w:sz w:val="22"/>
          <w:szCs w:val="22"/>
        </w:rPr>
        <w:t>teeb kohustuslikke ettekirjutusi ja annab korraldusi</w:t>
      </w:r>
      <w:r>
        <w:rPr>
          <w:sz w:val="22"/>
          <w:szCs w:val="22"/>
        </w:rPr>
        <w:t xml:space="preserve"> (korraldust käesoleva seaduse tähenduses mõistetakse kui korraldust FIS § 22</w:t>
      </w:r>
      <w:r>
        <w:rPr>
          <w:sz w:val="22"/>
          <w:szCs w:val="22"/>
          <w:vertAlign w:val="superscript"/>
        </w:rPr>
        <w:t>1</w:t>
      </w:r>
      <w:r>
        <w:rPr>
          <w:sz w:val="22"/>
          <w:szCs w:val="22"/>
        </w:rPr>
        <w:t xml:space="preserve"> tähenduses)</w:t>
      </w:r>
      <w:r w:rsidRPr="005A55CA">
        <w:rPr>
          <w:sz w:val="22"/>
          <w:szCs w:val="22"/>
        </w:rPr>
        <w:t>;</w:t>
      </w:r>
    </w:p>
    <w:p w14:paraId="3C3B5EB0" w14:textId="77777777" w:rsidR="003057ED" w:rsidRPr="005A55CA" w:rsidRDefault="003057ED" w:rsidP="003057ED">
      <w:pPr>
        <w:numPr>
          <w:ilvl w:val="0"/>
          <w:numId w:val="13"/>
        </w:numPr>
        <w:rPr>
          <w:sz w:val="22"/>
          <w:szCs w:val="22"/>
        </w:rPr>
      </w:pPr>
      <w:r w:rsidRPr="005A55CA">
        <w:rPr>
          <w:sz w:val="22"/>
          <w:szCs w:val="22"/>
        </w:rPr>
        <w:t>täidab muid õigusaktidest tulenevaid ülesandeid.</w:t>
      </w:r>
    </w:p>
    <w:p w14:paraId="4CAC69E4" w14:textId="77777777" w:rsidR="003057ED" w:rsidRPr="005A55CA" w:rsidRDefault="003057ED" w:rsidP="003057ED">
      <w:pPr>
        <w:spacing w:before="0"/>
        <w:rPr>
          <w:sz w:val="22"/>
          <w:szCs w:val="22"/>
          <w:u w:val="single"/>
        </w:rPr>
      </w:pPr>
    </w:p>
    <w:p w14:paraId="0D673582" w14:textId="77777777" w:rsidR="003057ED" w:rsidRPr="005A55CA" w:rsidRDefault="003057ED" w:rsidP="003057ED">
      <w:pPr>
        <w:spacing w:before="0"/>
        <w:rPr>
          <w:sz w:val="22"/>
          <w:szCs w:val="22"/>
        </w:rPr>
      </w:pPr>
      <w:r w:rsidRPr="005A55CA">
        <w:rPr>
          <w:b/>
          <w:sz w:val="22"/>
          <w:szCs w:val="22"/>
        </w:rPr>
        <w:t>Lõike</w:t>
      </w:r>
      <w:r>
        <w:rPr>
          <w:b/>
          <w:sz w:val="22"/>
          <w:szCs w:val="22"/>
        </w:rPr>
        <w:t>s</w:t>
      </w:r>
      <w:r w:rsidRPr="005A55CA">
        <w:rPr>
          <w:b/>
          <w:sz w:val="22"/>
          <w:szCs w:val="22"/>
        </w:rPr>
        <w:t xml:space="preserve"> 4</w:t>
      </w:r>
      <w:r w:rsidRPr="005A55CA">
        <w:rPr>
          <w:sz w:val="22"/>
          <w:szCs w:val="22"/>
        </w:rPr>
        <w:t xml:space="preserve"> </w:t>
      </w:r>
      <w:r>
        <w:rPr>
          <w:sz w:val="22"/>
          <w:szCs w:val="22"/>
        </w:rPr>
        <w:t xml:space="preserve">antakse Finantsinspektsioonile õigus rakendada seaduses sätestatud meetmeid, sealhulgas anda haldusakte, kuid lõike 4 </w:t>
      </w:r>
      <w:r w:rsidRPr="005A55CA">
        <w:rPr>
          <w:sz w:val="22"/>
          <w:szCs w:val="22"/>
        </w:rPr>
        <w:t xml:space="preserve">eesmärk on </w:t>
      </w:r>
      <w:r>
        <w:rPr>
          <w:sz w:val="22"/>
          <w:szCs w:val="22"/>
        </w:rPr>
        <w:t xml:space="preserve">ka </w:t>
      </w:r>
      <w:r w:rsidRPr="005A55CA">
        <w:rPr>
          <w:sz w:val="22"/>
          <w:szCs w:val="22"/>
        </w:rPr>
        <w:t>tagada Finantsinspektsioonile õigus</w:t>
      </w:r>
      <w:r>
        <w:rPr>
          <w:sz w:val="22"/>
          <w:szCs w:val="22"/>
        </w:rPr>
        <w:t xml:space="preserve"> </w:t>
      </w:r>
      <w:r w:rsidRPr="005A55CA">
        <w:rPr>
          <w:sz w:val="22"/>
          <w:szCs w:val="22"/>
        </w:rPr>
        <w:t>kohaldada eelnõus sätestatud riikliku järelevalve teostamiseks korrakaitseseaduse §-s 31 sätestatud riikliku järelevalve erimeetmeid. Näiteks võib korrakaitseseaduse § 31 lõike 4 kohaselt isiku suhtes kohaldada sundtoomist, kui on alust arvata, et isikul on olulist teavet, mis on vajalik kõrgendatud ohu tõrjumiseks. Nimetatud seaduse § 5 lõikes 4 on defineeritud „kõrgendatud oht“. Kõrgendatud oht on oht isiku elule, kehalisele puutumatusele, füüsilisele vabadusele, suure väärtusega varalisele hüvele, suure keskkonnakahju tekkimise oht või karistusseadustiku 15. peatükis sätestatud I astme kuriteo või 22. peatükis sätestatud kuriteo toimepanemise oht. Seega, kui menetlusosaline jätab haldusmenetluses Finantsinspektsiooni kutsel seadusliku takistuseta ilmumata ning Finantsinspektsioonil on alust arvata, et menetlusosalisel on olulist teavet, mis aitaks ära hoida ohtu suure väärtusega varalisele hüvele, võib menetlusosalise suhtes rakendada sundtoomist. Samuti võib korrakaitseseaduse § 31 lõike 3 kohaselt kohaldada sunniraha, kui kutse kätte saanud kutsutud isik ei ilmu ilma mõjuva põhjuseta kutses märgitud ajal kutses märgitud kohta.</w:t>
      </w:r>
    </w:p>
    <w:p w14:paraId="4B7C825C" w14:textId="77777777" w:rsidR="003057ED" w:rsidRDefault="003057ED" w:rsidP="003057ED">
      <w:pPr>
        <w:spacing w:before="0"/>
        <w:rPr>
          <w:sz w:val="22"/>
          <w:szCs w:val="22"/>
        </w:rPr>
      </w:pPr>
    </w:p>
    <w:p w14:paraId="02A1DDDD" w14:textId="77777777" w:rsidR="003057ED" w:rsidRDefault="003057ED" w:rsidP="003057ED">
      <w:pPr>
        <w:rPr>
          <w:sz w:val="20"/>
          <w:szCs w:val="20"/>
        </w:rPr>
      </w:pPr>
      <w:r>
        <w:rPr>
          <w:b/>
          <w:sz w:val="22"/>
          <w:szCs w:val="22"/>
        </w:rPr>
        <w:t xml:space="preserve">Lõike 5 </w:t>
      </w:r>
      <w:r>
        <w:rPr>
          <w:sz w:val="22"/>
          <w:szCs w:val="22"/>
        </w:rPr>
        <w:t xml:space="preserve">järgi võib Finantsinspektsioon seaduses ettenähtud nõuete rikkumise ärahoidmiseks, avastamiseks ja vähendamiseks seirata investeerimisprojektide suhtes pakkumuste tegemist ja nende raames tehtud või tehtavate tehingute tegemist, samuti muude toimingute tegemist seoses võimalike nõuete rikkumistega. </w:t>
      </w:r>
      <w:r w:rsidRPr="00863A8F">
        <w:rPr>
          <w:sz w:val="22"/>
          <w:szCs w:val="22"/>
        </w:rPr>
        <w:t>„Seirama“ sisuliselt tähendab subjekti üle teostatavat spetsiifilist järelevalve liiki, pidevat vaatlust või jälgimist. Tagasisides viidatud säte annab Finantsinspektsioonile õiguse jälgida turul tehtavaid investeerimisprojektide pakkumisi ning rakendada meetmeid, kui FI tuvastab, et tegemist on või võib olla turukuritarvitamisega.</w:t>
      </w:r>
    </w:p>
    <w:p w14:paraId="16C923FB" w14:textId="77777777" w:rsidR="003057ED" w:rsidRPr="00616CBF" w:rsidRDefault="003057ED" w:rsidP="003057ED">
      <w:pPr>
        <w:spacing w:before="0"/>
        <w:rPr>
          <w:sz w:val="22"/>
          <w:szCs w:val="22"/>
        </w:rPr>
      </w:pPr>
      <w:r>
        <w:rPr>
          <w:sz w:val="22"/>
          <w:szCs w:val="22"/>
        </w:rPr>
        <w:t xml:space="preserve">Sama lõike teise lause järgi võib seiramine toimuda varjatult. Lõige 5 põhineb VPTS § 230 lõikel 3.. Säte on vajalik, et Finantsinspektsioon saaks teostada toiminguid nõuete rikkumise eesmärgil ka nende isikute suhtes, kes ei kuulu tingimata finantsjärelevalve alla. </w:t>
      </w:r>
    </w:p>
    <w:p w14:paraId="3D760C9C" w14:textId="77777777" w:rsidR="003057ED" w:rsidRPr="005A55CA" w:rsidRDefault="003057ED" w:rsidP="003057ED">
      <w:pPr>
        <w:spacing w:before="0"/>
        <w:rPr>
          <w:sz w:val="22"/>
          <w:szCs w:val="22"/>
        </w:rPr>
      </w:pPr>
    </w:p>
    <w:p w14:paraId="74CE7E88" w14:textId="488F841A" w:rsidR="003057ED" w:rsidRDefault="003057ED" w:rsidP="003057ED">
      <w:pPr>
        <w:spacing w:before="0"/>
        <w:rPr>
          <w:bCs/>
          <w:iCs/>
          <w:color w:val="000000"/>
          <w:sz w:val="22"/>
          <w:szCs w:val="22"/>
          <w:shd w:val="clear" w:color="auto" w:fill="FFFFFF"/>
        </w:rPr>
      </w:pPr>
      <w:r w:rsidRPr="005A55CA">
        <w:rPr>
          <w:b/>
          <w:sz w:val="22"/>
          <w:szCs w:val="22"/>
        </w:rPr>
        <w:t xml:space="preserve">Lõikega </w:t>
      </w:r>
      <w:r>
        <w:rPr>
          <w:b/>
          <w:sz w:val="22"/>
          <w:szCs w:val="22"/>
        </w:rPr>
        <w:t>6</w:t>
      </w:r>
      <w:r w:rsidRPr="005A55CA">
        <w:rPr>
          <w:sz w:val="22"/>
          <w:szCs w:val="22"/>
        </w:rPr>
        <w:t xml:space="preserve"> </w:t>
      </w:r>
      <w:r>
        <w:rPr>
          <w:sz w:val="22"/>
          <w:szCs w:val="22"/>
        </w:rPr>
        <w:t xml:space="preserve">kehtestatakse, et pädev asutus </w:t>
      </w:r>
      <w:r>
        <w:rPr>
          <w:bCs/>
          <w:iCs/>
          <w:sz w:val="22"/>
          <w:szCs w:val="22"/>
        </w:rPr>
        <w:t xml:space="preserve">EL </w:t>
      </w:r>
      <w:proofErr w:type="spellStart"/>
      <w:r>
        <w:rPr>
          <w:bCs/>
          <w:iCs/>
          <w:sz w:val="22"/>
          <w:szCs w:val="22"/>
        </w:rPr>
        <w:t>ühisrahastusmääruse</w:t>
      </w:r>
      <w:proofErr w:type="spellEnd"/>
      <w:r w:rsidRPr="009E550B">
        <w:rPr>
          <w:bCs/>
          <w:iCs/>
          <w:sz w:val="22"/>
          <w:szCs w:val="22"/>
        </w:rPr>
        <w:t xml:space="preserve"> artikli 29</w:t>
      </w:r>
      <w:r w:rsidR="009E5A2E">
        <w:rPr>
          <w:rStyle w:val="FootnoteReference"/>
          <w:bCs w:val="0"/>
          <w:iCs/>
          <w:sz w:val="22"/>
          <w:szCs w:val="22"/>
        </w:rPr>
        <w:footnoteReference w:id="55"/>
      </w:r>
      <w:r w:rsidRPr="009E550B">
        <w:rPr>
          <w:bCs/>
          <w:iCs/>
          <w:sz w:val="22"/>
          <w:szCs w:val="22"/>
        </w:rPr>
        <w:t xml:space="preserve"> tähenduses on Finantsinspektsioon</w:t>
      </w:r>
      <w:r>
        <w:rPr>
          <w:bCs/>
          <w:iCs/>
          <w:sz w:val="22"/>
          <w:szCs w:val="22"/>
        </w:rPr>
        <w:t>.</w:t>
      </w:r>
      <w:r w:rsidRPr="009E550B">
        <w:rPr>
          <w:sz w:val="22"/>
          <w:szCs w:val="22"/>
        </w:rPr>
        <w:t xml:space="preserve"> </w:t>
      </w:r>
      <w:r>
        <w:rPr>
          <w:sz w:val="22"/>
          <w:szCs w:val="22"/>
        </w:rPr>
        <w:t xml:space="preserve">EL </w:t>
      </w:r>
      <w:proofErr w:type="spellStart"/>
      <w:r w:rsidRPr="005A55CA">
        <w:rPr>
          <w:sz w:val="22"/>
          <w:szCs w:val="22"/>
        </w:rPr>
        <w:t>ühi</w:t>
      </w:r>
      <w:r>
        <w:rPr>
          <w:sz w:val="22"/>
          <w:szCs w:val="22"/>
        </w:rPr>
        <w:t>srahastusmääruse</w:t>
      </w:r>
      <w:proofErr w:type="spellEnd"/>
      <w:r>
        <w:rPr>
          <w:sz w:val="22"/>
          <w:szCs w:val="22"/>
        </w:rPr>
        <w:t xml:space="preserve"> artikli 39 lõik</w:t>
      </w:r>
      <w:r w:rsidRPr="005A55CA">
        <w:rPr>
          <w:sz w:val="22"/>
          <w:szCs w:val="22"/>
        </w:rPr>
        <w:t xml:space="preserve">e 2 kohaselt peavad liikmesriigid riigisisese õigusega tagama, et järelevalveasutusel on õiguse määruses sätestatud nõuete rikkumise eest rakendada samas lõikes loetletud karistusmeetmeid. Kuivõrd sama artikli lõike 3 kohaselt võivad liikmesriigid õigusrikkumise eest </w:t>
      </w:r>
      <w:r w:rsidRPr="005A55CA">
        <w:rPr>
          <w:color w:val="000000"/>
          <w:sz w:val="22"/>
          <w:szCs w:val="22"/>
          <w:shd w:val="clear" w:color="auto" w:fill="FFFFFF"/>
        </w:rPr>
        <w:t xml:space="preserve">vastutavate füüsiliste ja juriidiliste isikute suhtes ette näha täiendavaid karistusi ja meetmeid (lisaks määruses sätestatule), on lõikes </w:t>
      </w:r>
      <w:r>
        <w:rPr>
          <w:color w:val="000000"/>
          <w:sz w:val="22"/>
          <w:szCs w:val="22"/>
          <w:shd w:val="clear" w:color="auto" w:fill="FFFFFF"/>
        </w:rPr>
        <w:t>6</w:t>
      </w:r>
      <w:r w:rsidRPr="005A55CA">
        <w:rPr>
          <w:color w:val="000000"/>
          <w:sz w:val="22"/>
          <w:szCs w:val="22"/>
          <w:shd w:val="clear" w:color="auto" w:fill="FFFFFF"/>
        </w:rPr>
        <w:t xml:space="preserve"> ette nähtud, et </w:t>
      </w:r>
      <w:r>
        <w:rPr>
          <w:color w:val="000000"/>
          <w:sz w:val="22"/>
          <w:szCs w:val="22"/>
          <w:shd w:val="clear" w:color="auto" w:fill="FFFFFF"/>
        </w:rPr>
        <w:t>F</w:t>
      </w:r>
      <w:r w:rsidRPr="005A55CA">
        <w:rPr>
          <w:color w:val="000000"/>
          <w:sz w:val="22"/>
          <w:szCs w:val="22"/>
          <w:shd w:val="clear" w:color="auto" w:fill="FFFFFF"/>
        </w:rPr>
        <w:t>inantsinspektsioonil on järelevalve te</w:t>
      </w:r>
      <w:r>
        <w:rPr>
          <w:color w:val="000000"/>
          <w:sz w:val="22"/>
          <w:szCs w:val="22"/>
          <w:shd w:val="clear" w:color="auto" w:fill="FFFFFF"/>
        </w:rPr>
        <w:t>o</w:t>
      </w:r>
      <w:r w:rsidRPr="005A55CA">
        <w:rPr>
          <w:color w:val="000000"/>
          <w:sz w:val="22"/>
          <w:szCs w:val="22"/>
          <w:shd w:val="clear" w:color="auto" w:fill="FFFFFF"/>
        </w:rPr>
        <w:t xml:space="preserve">stamisel </w:t>
      </w:r>
      <w:r>
        <w:rPr>
          <w:color w:val="000000"/>
          <w:sz w:val="22"/>
          <w:szCs w:val="22"/>
          <w:shd w:val="clear" w:color="auto" w:fill="FFFFFF"/>
        </w:rPr>
        <w:t xml:space="preserve">õigus </w:t>
      </w:r>
      <w:r w:rsidRPr="005A55CA">
        <w:rPr>
          <w:color w:val="000000"/>
          <w:sz w:val="22"/>
          <w:szCs w:val="22"/>
          <w:shd w:val="clear" w:color="auto" w:fill="FFFFFF"/>
        </w:rPr>
        <w:t>rakendada ka kõik</w:t>
      </w:r>
      <w:r>
        <w:rPr>
          <w:color w:val="000000"/>
          <w:sz w:val="22"/>
          <w:szCs w:val="22"/>
          <w:shd w:val="clear" w:color="auto" w:fill="FFFFFF"/>
        </w:rPr>
        <w:t>i</w:t>
      </w:r>
      <w:r w:rsidRPr="005A55CA">
        <w:rPr>
          <w:color w:val="000000"/>
          <w:sz w:val="22"/>
          <w:szCs w:val="22"/>
          <w:shd w:val="clear" w:color="auto" w:fill="FFFFFF"/>
        </w:rPr>
        <w:t xml:space="preserve"> seaduses sätestatud meetmeid. </w:t>
      </w:r>
      <w:r>
        <w:rPr>
          <w:color w:val="000000"/>
          <w:sz w:val="22"/>
          <w:szCs w:val="22"/>
          <w:shd w:val="clear" w:color="auto" w:fill="FFFFFF"/>
        </w:rPr>
        <w:t>Seetõttu tuleneb lõike 6 teisest lausest, et „</w:t>
      </w:r>
      <w:r w:rsidRPr="009E550B">
        <w:rPr>
          <w:bCs/>
          <w:iCs/>
          <w:color w:val="000000"/>
          <w:sz w:val="22"/>
          <w:szCs w:val="22"/>
          <w:shd w:val="clear" w:color="auto" w:fill="FFFFFF"/>
        </w:rPr>
        <w:t>Finantsinspektsioonil on õigus eelnimetatud määruse alusel Eestis asutatud teenuseosutaja tegevusele rakendada selles määruses sätestatud nõuetega kooskõlla viimiseks kõiki käesolevas seaduses ja viidatud määruses nimetatud meetmeid, sealhulgas teenuseosutajale kohalduvaid vastutuse sätteid</w:t>
      </w:r>
      <w:r>
        <w:rPr>
          <w:bCs/>
          <w:iCs/>
          <w:color w:val="000000"/>
          <w:sz w:val="22"/>
          <w:szCs w:val="22"/>
          <w:shd w:val="clear" w:color="auto" w:fill="FFFFFF"/>
        </w:rPr>
        <w:t>“</w:t>
      </w:r>
      <w:r w:rsidRPr="009E550B">
        <w:rPr>
          <w:bCs/>
          <w:iCs/>
          <w:color w:val="000000"/>
          <w:sz w:val="22"/>
          <w:szCs w:val="22"/>
          <w:shd w:val="clear" w:color="auto" w:fill="FFFFFF"/>
        </w:rPr>
        <w:t>.</w:t>
      </w:r>
    </w:p>
    <w:p w14:paraId="30D91AA6" w14:textId="77777777" w:rsidR="003057ED" w:rsidRPr="009E550B" w:rsidRDefault="003057ED" w:rsidP="003057ED">
      <w:pPr>
        <w:spacing w:before="0"/>
        <w:rPr>
          <w:bCs/>
          <w:iCs/>
          <w:color w:val="000000"/>
          <w:sz w:val="22"/>
          <w:szCs w:val="22"/>
          <w:shd w:val="clear" w:color="auto" w:fill="FFFFFF"/>
        </w:rPr>
      </w:pPr>
    </w:p>
    <w:p w14:paraId="13E013DF" w14:textId="77777777" w:rsidR="003057ED" w:rsidRPr="00274BEB" w:rsidRDefault="003057ED" w:rsidP="003057ED">
      <w:pPr>
        <w:spacing w:before="0"/>
        <w:ind w:right="-64"/>
        <w:rPr>
          <w:color w:val="000000"/>
          <w:sz w:val="22"/>
          <w:szCs w:val="22"/>
          <w:shd w:val="clear" w:color="auto" w:fill="FFFFFF"/>
        </w:rPr>
      </w:pPr>
      <w:r w:rsidRPr="002B2BEF">
        <w:rPr>
          <w:b/>
          <w:color w:val="000000"/>
          <w:sz w:val="22"/>
          <w:szCs w:val="22"/>
          <w:shd w:val="clear" w:color="auto" w:fill="FFFFFF"/>
        </w:rPr>
        <w:t xml:space="preserve">Lõike </w:t>
      </w:r>
      <w:r>
        <w:rPr>
          <w:b/>
          <w:color w:val="000000"/>
          <w:sz w:val="22"/>
          <w:szCs w:val="22"/>
          <w:shd w:val="clear" w:color="auto" w:fill="FFFFFF"/>
        </w:rPr>
        <w:t>7</w:t>
      </w:r>
      <w:r>
        <w:rPr>
          <w:color w:val="000000"/>
          <w:sz w:val="22"/>
          <w:szCs w:val="22"/>
          <w:shd w:val="clear" w:color="auto" w:fill="FFFFFF"/>
        </w:rPr>
        <w:t xml:space="preserve"> kohaselt avalikustab</w:t>
      </w:r>
      <w:r w:rsidRPr="009E550B">
        <w:rPr>
          <w:color w:val="000000"/>
          <w:sz w:val="22"/>
          <w:szCs w:val="22"/>
          <w:shd w:val="clear" w:color="auto" w:fill="FFFFFF"/>
        </w:rPr>
        <w:t xml:space="preserve"> Finantsinspektsioon </w:t>
      </w:r>
      <w:r>
        <w:rPr>
          <w:bCs/>
          <w:iCs/>
          <w:color w:val="000000"/>
          <w:sz w:val="22"/>
          <w:szCs w:val="22"/>
          <w:shd w:val="clear" w:color="auto" w:fill="FFFFFF"/>
        </w:rPr>
        <w:t>EL</w:t>
      </w:r>
      <w:r w:rsidRPr="009E550B">
        <w:rPr>
          <w:bCs/>
          <w:iCs/>
          <w:color w:val="000000"/>
          <w:sz w:val="22"/>
          <w:szCs w:val="22"/>
          <w:shd w:val="clear" w:color="auto" w:fill="FFFFFF"/>
        </w:rPr>
        <w:t xml:space="preserve"> </w:t>
      </w:r>
      <w:proofErr w:type="spellStart"/>
      <w:r>
        <w:rPr>
          <w:bCs/>
          <w:iCs/>
          <w:color w:val="000000"/>
          <w:sz w:val="22"/>
          <w:szCs w:val="22"/>
          <w:shd w:val="clear" w:color="auto" w:fill="FFFFFF"/>
        </w:rPr>
        <w:t>ühisrahastus</w:t>
      </w:r>
      <w:r w:rsidRPr="009E550B">
        <w:rPr>
          <w:bCs/>
          <w:iCs/>
          <w:color w:val="000000"/>
          <w:sz w:val="22"/>
          <w:szCs w:val="22"/>
          <w:shd w:val="clear" w:color="auto" w:fill="FFFFFF"/>
        </w:rPr>
        <w:t>määruse</w:t>
      </w:r>
      <w:proofErr w:type="spellEnd"/>
      <w:r w:rsidRPr="009E550B">
        <w:rPr>
          <w:bCs/>
          <w:iCs/>
          <w:color w:val="000000"/>
          <w:sz w:val="22"/>
          <w:szCs w:val="22"/>
          <w:shd w:val="clear" w:color="auto" w:fill="FFFFFF"/>
        </w:rPr>
        <w:t xml:space="preserve">  </w:t>
      </w:r>
      <w:r w:rsidRPr="009E550B">
        <w:rPr>
          <w:color w:val="000000"/>
          <w:sz w:val="22"/>
          <w:szCs w:val="22"/>
          <w:shd w:val="clear" w:color="auto" w:fill="FFFFFF"/>
        </w:rPr>
        <w:t xml:space="preserve">kohaste meetmete alusel tehtud otsuse kohta teate oma veebilehel vastavalt </w:t>
      </w:r>
      <w:r w:rsidRPr="009E550B">
        <w:rPr>
          <w:bCs/>
          <w:iCs/>
          <w:color w:val="000000"/>
          <w:sz w:val="22"/>
          <w:szCs w:val="22"/>
          <w:shd w:val="clear" w:color="auto" w:fill="FFFFFF"/>
        </w:rPr>
        <w:t xml:space="preserve">nimetatud </w:t>
      </w:r>
      <w:r w:rsidRPr="009E550B">
        <w:rPr>
          <w:color w:val="000000"/>
          <w:sz w:val="22"/>
          <w:szCs w:val="22"/>
          <w:shd w:val="clear" w:color="auto" w:fill="FFFFFF"/>
        </w:rPr>
        <w:t xml:space="preserve">määruse artiklile 42 ja muudel juhtudel vastavalt </w:t>
      </w:r>
      <w:r>
        <w:rPr>
          <w:color w:val="000000"/>
          <w:sz w:val="22"/>
          <w:szCs w:val="22"/>
          <w:shd w:val="clear" w:color="auto" w:fill="FFFFFF"/>
        </w:rPr>
        <w:t>F</w:t>
      </w:r>
      <w:r w:rsidRPr="009E550B">
        <w:rPr>
          <w:color w:val="000000"/>
          <w:sz w:val="22"/>
          <w:szCs w:val="22"/>
          <w:shd w:val="clear" w:color="auto" w:fill="FFFFFF"/>
        </w:rPr>
        <w:t xml:space="preserve">inantsinspektsiooni seaduse § 54 lõikele 5. </w:t>
      </w:r>
      <w:r w:rsidRPr="00274BEB">
        <w:rPr>
          <w:color w:val="000000"/>
          <w:sz w:val="22"/>
          <w:szCs w:val="22"/>
          <w:shd w:val="clear" w:color="auto" w:fill="FFFFFF"/>
        </w:rPr>
        <w:t xml:space="preserve">Nimelt näeb EL </w:t>
      </w:r>
      <w:proofErr w:type="spellStart"/>
      <w:r w:rsidRPr="00274BEB">
        <w:rPr>
          <w:color w:val="000000"/>
          <w:sz w:val="22"/>
          <w:szCs w:val="22"/>
          <w:shd w:val="clear" w:color="auto" w:fill="FFFFFF"/>
        </w:rPr>
        <w:t>ühisrahastusmääruse</w:t>
      </w:r>
      <w:proofErr w:type="spellEnd"/>
      <w:r w:rsidRPr="00274BEB">
        <w:rPr>
          <w:color w:val="000000"/>
          <w:sz w:val="22"/>
          <w:szCs w:val="22"/>
          <w:shd w:val="clear" w:color="auto" w:fill="FFFFFF"/>
        </w:rPr>
        <w:t xml:space="preserve"> artikkel 42 ette, et p</w:t>
      </w:r>
      <w:r w:rsidRPr="00274BEB">
        <w:rPr>
          <w:sz w:val="22"/>
          <w:szCs w:val="22"/>
        </w:rPr>
        <w:t xml:space="preserve">ädevad asutused avaldavad määruse rikkumise eest halduskaristuse määramise või muude haldusmeetmete võtmise otsuse oma ametlikul veebisaidil kohe pärast seda, kui füüsilist või juriidilist </w:t>
      </w:r>
      <w:r w:rsidRPr="00274BEB">
        <w:rPr>
          <w:sz w:val="22"/>
          <w:szCs w:val="22"/>
        </w:rPr>
        <w:lastRenderedPageBreak/>
        <w:t>isikut, kelle kohta otsus on tehtud, on sellest otsusest teavitatud. Avaldatakse vähemalt teave õigusrikkumise liigi ja laadi kohta ning vastutavate füüsiliste või juriidiliste isikute andmed. Kõnealune kohustus ei kehti otsuste suhtes, millega võetakse uurivat laadi meetmeid.</w:t>
      </w:r>
    </w:p>
    <w:p w14:paraId="16670305" w14:textId="77777777" w:rsidR="003057ED" w:rsidRDefault="003057ED" w:rsidP="003057ED">
      <w:pPr>
        <w:spacing w:before="0"/>
        <w:ind w:right="-64"/>
        <w:rPr>
          <w:sz w:val="22"/>
          <w:szCs w:val="22"/>
        </w:rPr>
      </w:pPr>
    </w:p>
    <w:p w14:paraId="08EB825A" w14:textId="77777777" w:rsidR="003057ED" w:rsidRDefault="003057ED" w:rsidP="003057ED">
      <w:pPr>
        <w:spacing w:before="0"/>
        <w:ind w:right="-64"/>
        <w:rPr>
          <w:sz w:val="22"/>
          <w:szCs w:val="22"/>
        </w:rPr>
      </w:pPr>
      <w:r w:rsidRPr="00F34ED8">
        <w:rPr>
          <w:b/>
          <w:sz w:val="22"/>
          <w:szCs w:val="22"/>
        </w:rPr>
        <w:t>Paragrahv</w:t>
      </w:r>
      <w:r>
        <w:rPr>
          <w:b/>
          <w:sz w:val="22"/>
          <w:szCs w:val="22"/>
        </w:rPr>
        <w:t>is</w:t>
      </w:r>
      <w:r w:rsidRPr="00F34ED8">
        <w:rPr>
          <w:b/>
          <w:sz w:val="22"/>
          <w:szCs w:val="22"/>
        </w:rPr>
        <w:t xml:space="preserve"> 8</w:t>
      </w:r>
      <w:r>
        <w:rPr>
          <w:b/>
          <w:sz w:val="22"/>
          <w:szCs w:val="22"/>
        </w:rPr>
        <w:t xml:space="preserve">8 </w:t>
      </w:r>
      <w:r>
        <w:rPr>
          <w:sz w:val="22"/>
          <w:szCs w:val="22"/>
        </w:rPr>
        <w:t>sätestatakse regulatsioon järelevalve teostamiseks välisriigis filiaali registreerinud teenuseosutaja ja piiriüleselt teenuseid osutava teenuseosutaja üle.</w:t>
      </w:r>
    </w:p>
    <w:p w14:paraId="4DF47EA0" w14:textId="77777777" w:rsidR="003057ED" w:rsidRDefault="003057ED" w:rsidP="003057ED">
      <w:pPr>
        <w:spacing w:before="0"/>
        <w:ind w:right="-64"/>
        <w:rPr>
          <w:sz w:val="22"/>
          <w:szCs w:val="22"/>
        </w:rPr>
      </w:pPr>
    </w:p>
    <w:p w14:paraId="37AAA85A" w14:textId="77777777" w:rsidR="003057ED" w:rsidRDefault="003057ED" w:rsidP="003057ED">
      <w:pPr>
        <w:spacing w:before="0"/>
        <w:ind w:right="-64"/>
        <w:rPr>
          <w:sz w:val="22"/>
          <w:szCs w:val="22"/>
        </w:rPr>
      </w:pPr>
      <w:r>
        <w:rPr>
          <w:b/>
          <w:sz w:val="22"/>
          <w:szCs w:val="22"/>
        </w:rPr>
        <w:t xml:space="preserve">Lõike 1 </w:t>
      </w:r>
      <w:r>
        <w:rPr>
          <w:sz w:val="22"/>
          <w:szCs w:val="22"/>
        </w:rPr>
        <w:t xml:space="preserve">kohaselt on Finantsinspektsioonil kohustus rakendada välisriigis filiaali </w:t>
      </w:r>
      <w:proofErr w:type="spellStart"/>
      <w:r>
        <w:rPr>
          <w:sz w:val="22"/>
          <w:szCs w:val="22"/>
        </w:rPr>
        <w:t>registreerinudnud</w:t>
      </w:r>
      <w:proofErr w:type="spellEnd"/>
      <w:r>
        <w:rPr>
          <w:sz w:val="22"/>
          <w:szCs w:val="22"/>
        </w:rPr>
        <w:t xml:space="preserve"> või välisriigis piiriüleselt teenuseid osutava teenuseosutaja suhtes viivitamata meetmeid rikkumise lõpetamiseks, kui rikkumine seisneb välisriigi kehtestatud õigusaktis seisneva nõude rikkumises, sealhulgas ka juhul, kui vastava ettepaneku on teinud välisriigi järelevalveasutus. </w:t>
      </w:r>
      <w:r>
        <w:rPr>
          <w:b/>
          <w:sz w:val="22"/>
          <w:szCs w:val="22"/>
        </w:rPr>
        <w:t xml:space="preserve">Lõike 2 </w:t>
      </w:r>
      <w:r>
        <w:rPr>
          <w:sz w:val="22"/>
          <w:szCs w:val="22"/>
        </w:rPr>
        <w:t>alusel teeb Finantsinspektsioon võimaluse korral rakendatud meetmed teatavaks välisriigi finantsjärelevalveasutusele. Nimetatud lõiked põhinevad MERAS § 92 lõikel 1.</w:t>
      </w:r>
    </w:p>
    <w:p w14:paraId="29095193" w14:textId="77777777" w:rsidR="003057ED" w:rsidRDefault="003057ED" w:rsidP="003057ED">
      <w:pPr>
        <w:spacing w:before="0"/>
        <w:ind w:right="-64"/>
        <w:rPr>
          <w:sz w:val="22"/>
          <w:szCs w:val="22"/>
        </w:rPr>
      </w:pPr>
    </w:p>
    <w:p w14:paraId="658B35D0" w14:textId="77777777" w:rsidR="003057ED" w:rsidRPr="00F34ED8" w:rsidRDefault="003057ED" w:rsidP="003057ED">
      <w:pPr>
        <w:spacing w:before="0"/>
        <w:ind w:right="-64"/>
        <w:rPr>
          <w:sz w:val="22"/>
          <w:szCs w:val="22"/>
        </w:rPr>
      </w:pPr>
      <w:r>
        <w:rPr>
          <w:b/>
          <w:sz w:val="22"/>
          <w:szCs w:val="22"/>
        </w:rPr>
        <w:t xml:space="preserve">Lõike 3 </w:t>
      </w:r>
      <w:r>
        <w:rPr>
          <w:sz w:val="22"/>
          <w:szCs w:val="22"/>
        </w:rPr>
        <w:t>järgi peab teenuseosutaja filiaal või piiriüleselt teenuseid osutav teenuseosutaja esitama välisriigi finantsjärelevalveasutuse nõudmisel teavet, mis on vajalik järelevalve teostamiseks filiaali või selle teenuseosutaja tegevuse üle selles riigis. Säte põhineb MERAS § 92 lõikel 3 ning on vajalik selle jaoks, et välisriigi järelevalveasutus saaks efektiivselt toimetada järelevalvet välisriigis tegutseva teenuseosutaja või selle filiaali üle.</w:t>
      </w:r>
    </w:p>
    <w:p w14:paraId="289C5C5B" w14:textId="77777777" w:rsidR="003057ED" w:rsidRPr="00F34ED8" w:rsidRDefault="003057ED" w:rsidP="003057ED">
      <w:pPr>
        <w:spacing w:before="0"/>
        <w:ind w:right="-64"/>
        <w:rPr>
          <w:b/>
          <w:sz w:val="22"/>
          <w:szCs w:val="22"/>
        </w:rPr>
      </w:pPr>
    </w:p>
    <w:p w14:paraId="118FE933" w14:textId="77777777" w:rsidR="003057ED" w:rsidRDefault="003057ED" w:rsidP="003057ED">
      <w:pPr>
        <w:spacing w:before="0"/>
        <w:ind w:right="-64"/>
        <w:rPr>
          <w:sz w:val="22"/>
          <w:szCs w:val="22"/>
        </w:rPr>
      </w:pPr>
      <w:r w:rsidRPr="00F34ED8">
        <w:rPr>
          <w:b/>
          <w:sz w:val="22"/>
          <w:szCs w:val="22"/>
        </w:rPr>
        <w:t>Paragrahv 8</w:t>
      </w:r>
      <w:r>
        <w:rPr>
          <w:b/>
          <w:sz w:val="22"/>
          <w:szCs w:val="22"/>
        </w:rPr>
        <w:t xml:space="preserve">9 </w:t>
      </w:r>
      <w:r>
        <w:rPr>
          <w:sz w:val="22"/>
          <w:szCs w:val="22"/>
        </w:rPr>
        <w:t>sedastatakse Finantsinspektsiooni õigused teise lepinguriigi isiku Eestis registreeritud filiaali ja Eestis piiriüleselt teenuseid osutava isiku suhtes.</w:t>
      </w:r>
    </w:p>
    <w:p w14:paraId="58F210B5" w14:textId="77777777" w:rsidR="003057ED" w:rsidRDefault="003057ED" w:rsidP="003057ED">
      <w:pPr>
        <w:spacing w:before="0"/>
        <w:ind w:right="-64"/>
        <w:rPr>
          <w:sz w:val="22"/>
          <w:szCs w:val="22"/>
        </w:rPr>
      </w:pPr>
    </w:p>
    <w:p w14:paraId="5977DF05" w14:textId="77777777" w:rsidR="003057ED" w:rsidRDefault="003057ED" w:rsidP="003057ED">
      <w:pPr>
        <w:spacing w:before="0"/>
        <w:ind w:right="-64"/>
        <w:rPr>
          <w:sz w:val="22"/>
          <w:szCs w:val="22"/>
        </w:rPr>
      </w:pPr>
      <w:r w:rsidRPr="007B5F03">
        <w:rPr>
          <w:b/>
          <w:sz w:val="22"/>
          <w:szCs w:val="22"/>
        </w:rPr>
        <w:t xml:space="preserve">Lõike 1 </w:t>
      </w:r>
      <w:r w:rsidRPr="007B5F03">
        <w:rPr>
          <w:sz w:val="22"/>
          <w:szCs w:val="22"/>
        </w:rPr>
        <w:t xml:space="preserve">järgi võib Finantsinspektsioon nõuda teises lepinguriigis asutatud isikult, kelle filiaal on </w:t>
      </w:r>
      <w:r>
        <w:rPr>
          <w:sz w:val="22"/>
          <w:szCs w:val="22"/>
        </w:rPr>
        <w:t>registreeritud</w:t>
      </w:r>
      <w:r w:rsidRPr="007B5F03">
        <w:rPr>
          <w:sz w:val="22"/>
          <w:szCs w:val="22"/>
        </w:rPr>
        <w:t xml:space="preserve"> Eestis või kes osutab Eestis piiriüleselt teenuseid, lisaandmeid ja -dokumente, mis on vajalikud tema üle järelevalve teostamiseks käesolevas seaduses sätestatud ulatuses, samuti andmeid, mis on vajalikud statistika kogumise eesmärgil, kuid mitte suuremas mahus, kui seda esitavad Eesti teenuseosutajad. </w:t>
      </w:r>
    </w:p>
    <w:p w14:paraId="66B3B8E7" w14:textId="77777777" w:rsidR="003057ED" w:rsidRDefault="003057ED" w:rsidP="003057ED">
      <w:pPr>
        <w:spacing w:before="0"/>
        <w:ind w:right="-64"/>
        <w:rPr>
          <w:sz w:val="22"/>
          <w:szCs w:val="22"/>
        </w:rPr>
      </w:pPr>
    </w:p>
    <w:p w14:paraId="17C959F3" w14:textId="77777777" w:rsidR="003057ED" w:rsidRDefault="003057ED" w:rsidP="003057ED">
      <w:pPr>
        <w:spacing w:before="0"/>
        <w:ind w:right="-64"/>
        <w:rPr>
          <w:sz w:val="22"/>
          <w:szCs w:val="22"/>
        </w:rPr>
      </w:pPr>
      <w:r>
        <w:rPr>
          <w:b/>
          <w:sz w:val="22"/>
          <w:szCs w:val="22"/>
        </w:rPr>
        <w:t xml:space="preserve">Lõike 2 </w:t>
      </w:r>
      <w:r>
        <w:rPr>
          <w:sz w:val="22"/>
          <w:szCs w:val="22"/>
        </w:rPr>
        <w:t xml:space="preserve">kohaselt on </w:t>
      </w:r>
      <w:r w:rsidRPr="007B5F03">
        <w:rPr>
          <w:sz w:val="22"/>
          <w:szCs w:val="22"/>
        </w:rPr>
        <w:t>Finantsinspektsioonil õigus ettekirjutusega nõuda käesoleva seaduses sätestatud kohustuste täitmist või täitmise takistuste kõrvaldamist seoses teises lepinguriigis asutatud isiku või tema filiaali poolt Eesti territooriumi piires või Eestis elavatele või asuvatele isikutele osutatud teenusega.</w:t>
      </w:r>
    </w:p>
    <w:p w14:paraId="228C8590" w14:textId="77777777" w:rsidR="003057ED" w:rsidRDefault="003057ED" w:rsidP="003057ED">
      <w:pPr>
        <w:spacing w:before="0"/>
        <w:ind w:right="-64"/>
        <w:rPr>
          <w:sz w:val="22"/>
          <w:szCs w:val="22"/>
        </w:rPr>
      </w:pPr>
    </w:p>
    <w:p w14:paraId="03ECA754" w14:textId="77777777" w:rsidR="003057ED" w:rsidRDefault="003057ED" w:rsidP="003057ED">
      <w:pPr>
        <w:spacing w:before="0"/>
        <w:ind w:right="-64"/>
        <w:rPr>
          <w:sz w:val="22"/>
          <w:szCs w:val="22"/>
        </w:rPr>
      </w:pPr>
      <w:r>
        <w:rPr>
          <w:b/>
          <w:sz w:val="22"/>
          <w:szCs w:val="22"/>
        </w:rPr>
        <w:t xml:space="preserve">Lõike 3 </w:t>
      </w:r>
      <w:r>
        <w:rPr>
          <w:sz w:val="22"/>
          <w:szCs w:val="22"/>
        </w:rPr>
        <w:t>järgi ei või isik</w:t>
      </w:r>
      <w:r w:rsidRPr="007B5F03">
        <w:rPr>
          <w:sz w:val="22"/>
          <w:szCs w:val="22"/>
        </w:rPr>
        <w:t xml:space="preserve">, kelle filiaal on </w:t>
      </w:r>
      <w:r>
        <w:rPr>
          <w:sz w:val="22"/>
          <w:szCs w:val="22"/>
        </w:rPr>
        <w:t>registreeritud</w:t>
      </w:r>
      <w:r w:rsidRPr="007B5F03">
        <w:rPr>
          <w:sz w:val="22"/>
          <w:szCs w:val="22"/>
        </w:rPr>
        <w:t xml:space="preserve"> Eestis või kes osutab Eestis piiriüleselt teenuseid ja kelle tegevusloa on teise lepinguriigi finantsjärelevalveasutus peatanud või kehtetuks tunnistanud, Eestis tegutseda ega teenuseid osutada.</w:t>
      </w:r>
    </w:p>
    <w:p w14:paraId="28DBF5F8" w14:textId="77777777" w:rsidR="003057ED" w:rsidRDefault="003057ED" w:rsidP="003057ED">
      <w:pPr>
        <w:spacing w:before="0"/>
        <w:ind w:right="-64"/>
        <w:rPr>
          <w:sz w:val="22"/>
          <w:szCs w:val="22"/>
        </w:rPr>
      </w:pPr>
    </w:p>
    <w:p w14:paraId="1977E444" w14:textId="77777777" w:rsidR="003057ED" w:rsidRDefault="003057ED" w:rsidP="003057ED">
      <w:pPr>
        <w:spacing w:before="0"/>
        <w:ind w:right="-64"/>
        <w:rPr>
          <w:sz w:val="22"/>
          <w:szCs w:val="22"/>
        </w:rPr>
      </w:pPr>
      <w:r>
        <w:rPr>
          <w:b/>
          <w:sz w:val="22"/>
          <w:szCs w:val="22"/>
        </w:rPr>
        <w:t xml:space="preserve">Lõike 4 </w:t>
      </w:r>
      <w:r>
        <w:rPr>
          <w:sz w:val="22"/>
          <w:szCs w:val="22"/>
        </w:rPr>
        <w:t xml:space="preserve">kohaselt võib Finantsinspektsioon rakendada käesolevas seaduses sätestatud meetmeid rikkumise lõpetamiseks või tunnistada filiaali asutamise või piiriüleselt teenuste osutamise loa kehtetuks, kui </w:t>
      </w:r>
      <w:r w:rsidRPr="007B5F03">
        <w:rPr>
          <w:sz w:val="22"/>
          <w:szCs w:val="22"/>
        </w:rPr>
        <w:t>teise lepinguriigi isik või tema Eestis asutatud filiaal rikub käesolevas seaduses või muu</w:t>
      </w:r>
      <w:r>
        <w:rPr>
          <w:sz w:val="22"/>
          <w:szCs w:val="22"/>
        </w:rPr>
        <w:t>s õigusaktis sätestatud nõudeid.</w:t>
      </w:r>
    </w:p>
    <w:p w14:paraId="277CCEE2" w14:textId="77777777" w:rsidR="003057ED" w:rsidRDefault="003057ED" w:rsidP="003057ED">
      <w:pPr>
        <w:spacing w:before="0"/>
        <w:ind w:right="-64"/>
        <w:rPr>
          <w:sz w:val="22"/>
          <w:szCs w:val="22"/>
        </w:rPr>
      </w:pPr>
    </w:p>
    <w:p w14:paraId="7A198732" w14:textId="02E565DC" w:rsidR="003057ED" w:rsidRPr="007B5F03" w:rsidRDefault="003057ED" w:rsidP="003057ED">
      <w:pPr>
        <w:spacing w:before="0"/>
        <w:ind w:right="-64"/>
        <w:rPr>
          <w:sz w:val="22"/>
          <w:szCs w:val="22"/>
        </w:rPr>
      </w:pPr>
      <w:r>
        <w:rPr>
          <w:b/>
          <w:sz w:val="22"/>
          <w:szCs w:val="22"/>
        </w:rPr>
        <w:t xml:space="preserve">Lõike 5 </w:t>
      </w:r>
      <w:r>
        <w:rPr>
          <w:sz w:val="22"/>
          <w:szCs w:val="22"/>
        </w:rPr>
        <w:t xml:space="preserve">järgi teatab </w:t>
      </w:r>
      <w:r w:rsidRPr="007B5F03">
        <w:rPr>
          <w:sz w:val="22"/>
          <w:szCs w:val="22"/>
        </w:rPr>
        <w:t xml:space="preserve">Finantsinspektsioon rakendatud meetmetest teisele lepinguriigi finantsjärelevalveasutusele. </w:t>
      </w:r>
      <w:r>
        <w:rPr>
          <w:sz w:val="22"/>
          <w:szCs w:val="22"/>
        </w:rPr>
        <w:t>Sama lõike teise lause kohaselt võib e</w:t>
      </w:r>
      <w:r w:rsidRPr="007B5F03">
        <w:rPr>
          <w:sz w:val="22"/>
          <w:szCs w:val="22"/>
        </w:rPr>
        <w:t xml:space="preserve">randjuhtudel Finantsinspektsioon </w:t>
      </w:r>
      <w:r w:rsidR="004A5F19">
        <w:rPr>
          <w:sz w:val="22"/>
          <w:szCs w:val="22"/>
        </w:rPr>
        <w:t>klientide</w:t>
      </w:r>
      <w:r w:rsidRPr="007B5F03">
        <w:rPr>
          <w:sz w:val="22"/>
          <w:szCs w:val="22"/>
        </w:rPr>
        <w:t xml:space="preserve"> või avaliku huvi kaitse eesmärgil rakendada teise lepinguriigi isiku suhtes õigusaktides sätestatud meetmeid ilma nendest eelnevalt teise lepinguriigi finantsjärelevalveasutust teavitamata.</w:t>
      </w:r>
    </w:p>
    <w:p w14:paraId="406473DD" w14:textId="77777777" w:rsidR="003057ED" w:rsidRPr="005A55CA" w:rsidRDefault="003057ED" w:rsidP="003057ED">
      <w:pPr>
        <w:spacing w:before="0"/>
        <w:ind w:right="-64"/>
        <w:rPr>
          <w:sz w:val="22"/>
          <w:szCs w:val="22"/>
        </w:rPr>
      </w:pPr>
    </w:p>
    <w:p w14:paraId="68BDB1EF" w14:textId="77777777" w:rsidR="003057ED" w:rsidRPr="005A55CA" w:rsidRDefault="003057ED" w:rsidP="003057ED">
      <w:pPr>
        <w:spacing w:before="0"/>
        <w:rPr>
          <w:sz w:val="22"/>
          <w:szCs w:val="22"/>
        </w:rPr>
      </w:pPr>
      <w:r w:rsidRPr="005A55CA">
        <w:rPr>
          <w:rFonts w:eastAsiaTheme="majorEastAsia"/>
          <w:b/>
          <w:sz w:val="22"/>
          <w:szCs w:val="22"/>
        </w:rPr>
        <w:t>Paragrahv</w:t>
      </w:r>
      <w:r>
        <w:rPr>
          <w:rFonts w:eastAsiaTheme="majorEastAsia"/>
          <w:b/>
          <w:sz w:val="22"/>
          <w:szCs w:val="22"/>
        </w:rPr>
        <w:t>is</w:t>
      </w:r>
      <w:r w:rsidRPr="005A55CA">
        <w:rPr>
          <w:b/>
          <w:bCs/>
          <w:sz w:val="22"/>
          <w:szCs w:val="22"/>
        </w:rPr>
        <w:t xml:space="preserve"> </w:t>
      </w:r>
      <w:r>
        <w:rPr>
          <w:b/>
          <w:bCs/>
          <w:sz w:val="22"/>
          <w:szCs w:val="22"/>
        </w:rPr>
        <w:t>90</w:t>
      </w:r>
      <w:r w:rsidRPr="005A55CA">
        <w:rPr>
          <w:sz w:val="22"/>
          <w:szCs w:val="22"/>
        </w:rPr>
        <w:t xml:space="preserve"> reguleeritakse menetlusosaliste õigusi ja kohustusi teenuseosutaja järelevalvemenetluses. Haldusmenetluse seaduse § 11 lõike 1 kohaselt on menetlusosalisteks haldusakti andmist või toimingu sooritamist taotlev või halduslepingu sõlmimiseks ettepaneku teinud isik</w:t>
      </w:r>
      <w:r>
        <w:rPr>
          <w:sz w:val="22"/>
          <w:szCs w:val="22"/>
        </w:rPr>
        <w:t>uteks</w:t>
      </w:r>
      <w:r w:rsidRPr="005A55CA">
        <w:rPr>
          <w:sz w:val="22"/>
          <w:szCs w:val="22"/>
        </w:rPr>
        <w:t xml:space="preserve"> (taotleja)</w:t>
      </w:r>
      <w:r>
        <w:rPr>
          <w:sz w:val="22"/>
          <w:szCs w:val="22"/>
        </w:rPr>
        <w:t xml:space="preserve"> </w:t>
      </w:r>
      <w:r w:rsidRPr="005A55CA">
        <w:rPr>
          <w:sz w:val="22"/>
          <w:szCs w:val="22"/>
        </w:rPr>
        <w:t xml:space="preserve"> isik, kellele haldusakt või toiming on suunatud või kellele haldusorgan on teinud ettepaneku halduslepingu sõlmimiseks (adressaat), isikud, kelle õigusi või kohustusi haldusakt või toiming puudutab või kellele see on suunatud</w:t>
      </w:r>
      <w:r>
        <w:rPr>
          <w:sz w:val="22"/>
          <w:szCs w:val="22"/>
        </w:rPr>
        <w:t>,</w:t>
      </w:r>
      <w:r w:rsidRPr="005A55CA">
        <w:rPr>
          <w:sz w:val="22"/>
          <w:szCs w:val="22"/>
        </w:rPr>
        <w:t xml:space="preserve"> ning haldusorgan.</w:t>
      </w:r>
    </w:p>
    <w:p w14:paraId="5060170F" w14:textId="77777777" w:rsidR="003057ED" w:rsidRPr="005A55CA" w:rsidRDefault="003057ED" w:rsidP="003057ED">
      <w:pPr>
        <w:spacing w:before="0"/>
        <w:ind w:right="-64"/>
        <w:rPr>
          <w:sz w:val="22"/>
          <w:szCs w:val="22"/>
        </w:rPr>
      </w:pPr>
    </w:p>
    <w:p w14:paraId="1161703F" w14:textId="77777777" w:rsidR="003057ED" w:rsidRPr="005A55CA" w:rsidRDefault="003057ED" w:rsidP="003057ED">
      <w:pPr>
        <w:spacing w:before="0"/>
        <w:ind w:right="-64"/>
        <w:rPr>
          <w:sz w:val="22"/>
          <w:szCs w:val="22"/>
        </w:rPr>
      </w:pPr>
      <w:r w:rsidRPr="005A55CA">
        <w:rPr>
          <w:b/>
          <w:sz w:val="22"/>
          <w:szCs w:val="22"/>
        </w:rPr>
        <w:t>Lõigete 1–3</w:t>
      </w:r>
      <w:r w:rsidRPr="005A55CA">
        <w:rPr>
          <w:sz w:val="22"/>
          <w:szCs w:val="22"/>
        </w:rPr>
        <w:t xml:space="preserve"> eesmärgiks on sätestada menetlusosalise õigused ja kohustused teenuseosutaja järelevalvemenetluses. Finantsinspektsiooni ülesandeks on vajadusel selgitada menetlusosalisele tema õigusi ja kohustusi järelevalvemenetluses. Menetlusosalisel on õigus tutvuda andmetega, mis </w:t>
      </w:r>
      <w:r w:rsidRPr="005A55CA">
        <w:rPr>
          <w:sz w:val="22"/>
          <w:szCs w:val="22"/>
        </w:rPr>
        <w:lastRenderedPageBreak/>
        <w:t xml:space="preserve">Finantsinspektsioon on tema kohta kogunud, ning teha nendest koopiaid ja väljavõtteid, kuid Finantsinspektsioonil on õigus ka andmete esitamisest keelduda. Keelduda on õigus juhul, kui see kahjustab või võib kahjustada kolmanda isiku õigustatud huve või andmetega tutvumine takistab järelevalve eesmärkide saavutamist või ohustab tõe väljaselgitamist kriminaalmenetluses. Lisaks on menetlusosalisel õigus esitada tunnistajale küsimusi kirjalikult Finantsinspektsiooni kaudu. Finantsinspektsioonil on õigus põhjendatult keelduda küsimuste tunnistajale edastamisest. </w:t>
      </w:r>
    </w:p>
    <w:p w14:paraId="621BD389" w14:textId="77777777" w:rsidR="003057ED" w:rsidRPr="005A55CA" w:rsidRDefault="003057ED" w:rsidP="003057ED">
      <w:pPr>
        <w:spacing w:before="0"/>
        <w:ind w:right="-64"/>
        <w:rPr>
          <w:sz w:val="22"/>
          <w:szCs w:val="22"/>
        </w:rPr>
      </w:pPr>
    </w:p>
    <w:p w14:paraId="608F26E1" w14:textId="77777777" w:rsidR="003057ED" w:rsidRPr="005A55CA" w:rsidRDefault="003057ED" w:rsidP="003057ED">
      <w:pPr>
        <w:spacing w:before="0"/>
        <w:rPr>
          <w:b/>
          <w:bCs/>
          <w:sz w:val="22"/>
          <w:szCs w:val="22"/>
        </w:rPr>
      </w:pPr>
      <w:r w:rsidRPr="005A55CA">
        <w:rPr>
          <w:rFonts w:eastAsiaTheme="majorEastAsia"/>
          <w:b/>
          <w:sz w:val="22"/>
          <w:szCs w:val="22"/>
        </w:rPr>
        <w:t>Paragrahvis</w:t>
      </w:r>
      <w:r w:rsidRPr="005A55CA">
        <w:rPr>
          <w:b/>
          <w:bCs/>
          <w:sz w:val="22"/>
          <w:szCs w:val="22"/>
        </w:rPr>
        <w:t xml:space="preserve"> </w:t>
      </w:r>
      <w:r>
        <w:rPr>
          <w:b/>
          <w:bCs/>
          <w:sz w:val="22"/>
          <w:szCs w:val="22"/>
        </w:rPr>
        <w:t>91</w:t>
      </w:r>
      <w:r w:rsidRPr="005A55CA">
        <w:rPr>
          <w:b/>
          <w:bCs/>
          <w:sz w:val="22"/>
          <w:szCs w:val="22"/>
        </w:rPr>
        <w:t xml:space="preserve"> </w:t>
      </w:r>
      <w:r w:rsidRPr="005A55CA">
        <w:rPr>
          <w:bCs/>
          <w:sz w:val="22"/>
          <w:szCs w:val="22"/>
        </w:rPr>
        <w:t>reguleeritakse Finantsinspektsiooni õigusi informatsiooni saamisel.</w:t>
      </w:r>
    </w:p>
    <w:p w14:paraId="6ED36618" w14:textId="77777777" w:rsidR="003057ED" w:rsidRPr="005A55CA" w:rsidRDefault="003057ED" w:rsidP="003057ED">
      <w:pPr>
        <w:spacing w:before="0"/>
        <w:rPr>
          <w:sz w:val="22"/>
          <w:szCs w:val="22"/>
        </w:rPr>
      </w:pPr>
    </w:p>
    <w:p w14:paraId="3F009730" w14:textId="1E0052D3" w:rsidR="003057ED" w:rsidRPr="005A55CA" w:rsidRDefault="003057ED" w:rsidP="003057ED">
      <w:pPr>
        <w:tabs>
          <w:tab w:val="left" w:pos="-180"/>
        </w:tabs>
        <w:spacing w:before="0"/>
        <w:rPr>
          <w:sz w:val="22"/>
          <w:szCs w:val="22"/>
          <w:lang w:eastAsia="en-US"/>
        </w:rPr>
      </w:pPr>
      <w:r w:rsidRPr="005A55CA">
        <w:rPr>
          <w:b/>
          <w:sz w:val="22"/>
          <w:szCs w:val="22"/>
          <w:lang w:eastAsia="en-US"/>
        </w:rPr>
        <w:t>Lõikes 1</w:t>
      </w:r>
      <w:r w:rsidRPr="005A55CA">
        <w:rPr>
          <w:sz w:val="22"/>
          <w:szCs w:val="22"/>
          <w:lang w:eastAsia="en-US"/>
        </w:rPr>
        <w:t xml:space="preserve"> loetletakse isikud, kellelt Finantsinspektsioon võib nõuda järelevalve teostamiseks teavet, dokumente ja suulisi selgitusi ning </w:t>
      </w:r>
      <w:r w:rsidRPr="005A55CA">
        <w:rPr>
          <w:b/>
          <w:sz w:val="22"/>
          <w:szCs w:val="22"/>
          <w:lang w:eastAsia="en-US"/>
        </w:rPr>
        <w:t>lõikes 2</w:t>
      </w:r>
      <w:r w:rsidRPr="005A55CA">
        <w:rPr>
          <w:sz w:val="22"/>
          <w:szCs w:val="22"/>
          <w:lang w:eastAsia="en-US"/>
        </w:rPr>
        <w:t xml:space="preserve"> on loetletud Finantsinspektsiooni õigused teabe saamisel. Finantsinspektsioon võib küsida teavet teenuseosutaja juhilt, töötajalt, aktsionärilt või osanikult, likvideerijalt või pankrotihaldurilt, riigiasutuselt, kohaliku omavalitsusüksuse asutuselt, riiklikult põhiregistrilt, riiklikult registrilt, riigi andmekogu vastutavalt ja volitatult töötajatelt. Põhjendatud vajaduse korral võib Finantsinspektsioon küsida teavet ka muult kolmandalt isikult. </w:t>
      </w:r>
      <w:r w:rsidRPr="005A55CA">
        <w:rPr>
          <w:b/>
          <w:sz w:val="22"/>
          <w:szCs w:val="22"/>
          <w:lang w:eastAsia="en-US"/>
        </w:rPr>
        <w:t>Lõike 5</w:t>
      </w:r>
      <w:r w:rsidRPr="005A55CA">
        <w:rPr>
          <w:sz w:val="22"/>
          <w:szCs w:val="22"/>
          <w:lang w:eastAsia="en-US"/>
        </w:rPr>
        <w:t xml:space="preserve"> </w:t>
      </w:r>
      <w:r w:rsidR="009454B3">
        <w:rPr>
          <w:sz w:val="22"/>
          <w:szCs w:val="22"/>
          <w:lang w:eastAsia="en-US"/>
        </w:rPr>
        <w:t xml:space="preserve">järgi võib </w:t>
      </w:r>
      <w:r w:rsidRPr="005A55CA">
        <w:rPr>
          <w:sz w:val="22"/>
          <w:szCs w:val="22"/>
          <w:lang w:eastAsia="en-US"/>
        </w:rPr>
        <w:t>Finantsinspektsioon määrata vastava kohustuse täitmiseks tähtaja.</w:t>
      </w:r>
      <w:r>
        <w:rPr>
          <w:sz w:val="22"/>
          <w:szCs w:val="22"/>
          <w:lang w:eastAsia="en-US"/>
        </w:rPr>
        <w:t xml:space="preserve"> </w:t>
      </w:r>
    </w:p>
    <w:p w14:paraId="14B4D8A4" w14:textId="77777777" w:rsidR="003057ED" w:rsidRPr="005A55CA" w:rsidRDefault="003057ED" w:rsidP="003057ED">
      <w:pPr>
        <w:tabs>
          <w:tab w:val="left" w:pos="-180"/>
        </w:tabs>
        <w:spacing w:before="0"/>
        <w:rPr>
          <w:sz w:val="22"/>
          <w:szCs w:val="22"/>
          <w:lang w:eastAsia="en-US"/>
        </w:rPr>
      </w:pPr>
    </w:p>
    <w:p w14:paraId="78E7DB00" w14:textId="0D763695" w:rsidR="003057ED" w:rsidRPr="005A55CA" w:rsidRDefault="003057ED" w:rsidP="003057ED">
      <w:pPr>
        <w:spacing w:before="0"/>
        <w:rPr>
          <w:sz w:val="22"/>
          <w:szCs w:val="22"/>
        </w:rPr>
      </w:pPr>
      <w:r w:rsidRPr="005A55CA">
        <w:rPr>
          <w:sz w:val="22"/>
          <w:szCs w:val="22"/>
        </w:rPr>
        <w:t>Vajadusel võib Finantsinspektsioon kohustada isikut järelevalve teostamisel tähtsust omavate asjaolude kohta suuliste või kirjalike selgituste andmiseks ilmuma Finantsinspektsiooni poolt määratud</w:t>
      </w:r>
      <w:r>
        <w:rPr>
          <w:sz w:val="22"/>
          <w:szCs w:val="22"/>
        </w:rPr>
        <w:t xml:space="preserve"> kindlal</w:t>
      </w:r>
      <w:r w:rsidRPr="005A55CA">
        <w:rPr>
          <w:sz w:val="22"/>
          <w:szCs w:val="22"/>
        </w:rPr>
        <w:t xml:space="preserve"> ajal Finantsinspektsiooni ametiruumidesse</w:t>
      </w:r>
      <w:r>
        <w:rPr>
          <w:sz w:val="22"/>
          <w:szCs w:val="22"/>
        </w:rPr>
        <w:t xml:space="preserve"> (</w:t>
      </w:r>
      <w:r>
        <w:rPr>
          <w:b/>
          <w:sz w:val="22"/>
          <w:szCs w:val="22"/>
        </w:rPr>
        <w:t>l</w:t>
      </w:r>
      <w:r w:rsidRPr="005A55CA">
        <w:rPr>
          <w:b/>
          <w:sz w:val="22"/>
          <w:szCs w:val="22"/>
        </w:rPr>
        <w:t>õige 3</w:t>
      </w:r>
      <w:r>
        <w:rPr>
          <w:sz w:val="22"/>
          <w:szCs w:val="22"/>
        </w:rPr>
        <w:t>)</w:t>
      </w:r>
      <w:r w:rsidRPr="005A55CA">
        <w:rPr>
          <w:sz w:val="22"/>
          <w:szCs w:val="22"/>
        </w:rPr>
        <w:t xml:space="preserve">. </w:t>
      </w:r>
    </w:p>
    <w:p w14:paraId="71C97D84" w14:textId="77777777" w:rsidR="003057ED" w:rsidRPr="005A55CA" w:rsidRDefault="003057ED" w:rsidP="003057ED">
      <w:pPr>
        <w:spacing w:before="0"/>
        <w:rPr>
          <w:sz w:val="22"/>
          <w:szCs w:val="22"/>
        </w:rPr>
      </w:pPr>
    </w:p>
    <w:p w14:paraId="59E12E28" w14:textId="433125C4" w:rsidR="003057ED" w:rsidRDefault="003057ED" w:rsidP="003057ED">
      <w:pPr>
        <w:spacing w:before="0"/>
        <w:rPr>
          <w:sz w:val="22"/>
          <w:szCs w:val="22"/>
        </w:rPr>
      </w:pPr>
      <w:r w:rsidRPr="005A55CA">
        <w:rPr>
          <w:sz w:val="22"/>
          <w:szCs w:val="22"/>
        </w:rPr>
        <w:t>Finantsinspektsioonil on õigus saada teavet järelevalve subjekti või tema tegevuse kohta nii, et subjekt</w:t>
      </w:r>
      <w:r w:rsidR="009454B3">
        <w:rPr>
          <w:sz w:val="22"/>
          <w:szCs w:val="22"/>
        </w:rPr>
        <w:t>i sellest ei teavitata</w:t>
      </w:r>
      <w:r w:rsidRPr="005A55CA">
        <w:rPr>
          <w:sz w:val="22"/>
          <w:szCs w:val="22"/>
        </w:rPr>
        <w:t xml:space="preserve">. </w:t>
      </w:r>
      <w:r w:rsidR="009454B3">
        <w:rPr>
          <w:sz w:val="22"/>
          <w:szCs w:val="22"/>
        </w:rPr>
        <w:t xml:space="preserve">Samas on sätestatud keeld teenuseosutaja teavitamisele teabe edastamisest </w:t>
      </w:r>
      <w:r>
        <w:rPr>
          <w:sz w:val="22"/>
          <w:szCs w:val="22"/>
        </w:rPr>
        <w:t>(</w:t>
      </w:r>
      <w:r>
        <w:rPr>
          <w:b/>
          <w:sz w:val="22"/>
          <w:szCs w:val="22"/>
        </w:rPr>
        <w:t>lõige 4</w:t>
      </w:r>
      <w:r>
        <w:rPr>
          <w:sz w:val="22"/>
          <w:szCs w:val="22"/>
        </w:rPr>
        <w:t>)</w:t>
      </w:r>
      <w:r w:rsidRPr="005A55CA">
        <w:rPr>
          <w:sz w:val="22"/>
          <w:szCs w:val="22"/>
        </w:rPr>
        <w:t>.</w:t>
      </w:r>
    </w:p>
    <w:p w14:paraId="2EB4A274" w14:textId="77777777" w:rsidR="003057ED" w:rsidRDefault="003057ED" w:rsidP="003057ED">
      <w:pPr>
        <w:spacing w:before="0"/>
        <w:rPr>
          <w:sz w:val="22"/>
          <w:szCs w:val="22"/>
        </w:rPr>
      </w:pPr>
    </w:p>
    <w:p w14:paraId="62C90186" w14:textId="77777777" w:rsidR="003057ED" w:rsidRDefault="003057ED" w:rsidP="003057ED">
      <w:pPr>
        <w:spacing w:before="0"/>
        <w:rPr>
          <w:sz w:val="22"/>
          <w:szCs w:val="22"/>
        </w:rPr>
      </w:pPr>
      <w:r w:rsidRPr="003E1340">
        <w:rPr>
          <w:b/>
          <w:sz w:val="22"/>
          <w:szCs w:val="22"/>
        </w:rPr>
        <w:t>Lõikega 6</w:t>
      </w:r>
      <w:r>
        <w:rPr>
          <w:sz w:val="22"/>
          <w:szCs w:val="22"/>
        </w:rPr>
        <w:t xml:space="preserve"> sätestatakse, et k</w:t>
      </w:r>
      <w:r w:rsidRPr="002E0D3A">
        <w:rPr>
          <w:sz w:val="22"/>
          <w:szCs w:val="22"/>
        </w:rPr>
        <w:t>ui see ei kahjusta järelevalve teostamist, selgitab Finantsinspek</w:t>
      </w:r>
      <w:r>
        <w:rPr>
          <w:sz w:val="22"/>
          <w:szCs w:val="22"/>
        </w:rPr>
        <w:t>tsioon käesoleva paragrahvi lõikes</w:t>
      </w:r>
      <w:r w:rsidRPr="002E0D3A">
        <w:rPr>
          <w:sz w:val="22"/>
          <w:szCs w:val="22"/>
        </w:rPr>
        <w:t xml:space="preserve"> 1 nimetatud isikutele teabe nõudmise eesmärke.</w:t>
      </w:r>
    </w:p>
    <w:p w14:paraId="544C5329" w14:textId="77777777" w:rsidR="003057ED" w:rsidRPr="002E0D3A" w:rsidRDefault="003057ED" w:rsidP="003057ED">
      <w:pPr>
        <w:spacing w:before="0"/>
        <w:rPr>
          <w:sz w:val="22"/>
          <w:szCs w:val="22"/>
        </w:rPr>
      </w:pPr>
    </w:p>
    <w:p w14:paraId="3AC63A26" w14:textId="77777777" w:rsidR="003057ED" w:rsidRDefault="003057ED" w:rsidP="003057ED">
      <w:pPr>
        <w:spacing w:before="0"/>
        <w:rPr>
          <w:sz w:val="22"/>
          <w:szCs w:val="22"/>
        </w:rPr>
      </w:pPr>
      <w:r>
        <w:rPr>
          <w:b/>
          <w:sz w:val="22"/>
          <w:szCs w:val="22"/>
        </w:rPr>
        <w:t xml:space="preserve">Lõiked 7 ja 8 </w:t>
      </w:r>
      <w:r>
        <w:rPr>
          <w:sz w:val="22"/>
          <w:szCs w:val="22"/>
        </w:rPr>
        <w:t xml:space="preserve">käsitlevad Finantsinspektsiooni õiguseid järelevalve teostamisel.  </w:t>
      </w:r>
    </w:p>
    <w:p w14:paraId="61B191E1" w14:textId="77777777" w:rsidR="003057ED" w:rsidRDefault="003057ED" w:rsidP="003057ED">
      <w:pPr>
        <w:spacing w:before="0"/>
        <w:rPr>
          <w:sz w:val="22"/>
          <w:szCs w:val="22"/>
        </w:rPr>
      </w:pPr>
    </w:p>
    <w:p w14:paraId="743648EA" w14:textId="7E9932D0" w:rsidR="003057ED" w:rsidRPr="005E654F" w:rsidRDefault="003057ED" w:rsidP="003057ED">
      <w:pPr>
        <w:spacing w:before="0"/>
        <w:rPr>
          <w:sz w:val="22"/>
          <w:szCs w:val="22"/>
        </w:rPr>
      </w:pPr>
      <w:r w:rsidRPr="005855B3">
        <w:rPr>
          <w:b/>
          <w:bCs/>
          <w:sz w:val="22"/>
          <w:szCs w:val="22"/>
        </w:rPr>
        <w:t>Lõige 9</w:t>
      </w:r>
      <w:r>
        <w:rPr>
          <w:sz w:val="22"/>
          <w:szCs w:val="22"/>
        </w:rPr>
        <w:t xml:space="preserve"> annab Finantsinspektsioonile aluse saada teavet lepinguriigi </w:t>
      </w:r>
      <w:proofErr w:type="spellStart"/>
      <w:r>
        <w:rPr>
          <w:sz w:val="22"/>
          <w:szCs w:val="22"/>
        </w:rPr>
        <w:t>ühisrahastusteenuse</w:t>
      </w:r>
      <w:proofErr w:type="spellEnd"/>
      <w:r>
        <w:rPr>
          <w:sz w:val="22"/>
          <w:szCs w:val="22"/>
        </w:rPr>
        <w:t xml:space="preserve"> osutaja Eestis registreeritud filiaalilt. Filiaal peab Finantsinspektsioonile esitama järgmise info iga tema platvormi kaudu rahastatud projekti kohta: </w:t>
      </w:r>
      <w:r w:rsidRPr="005F6FBC">
        <w:rPr>
          <w:sz w:val="22"/>
          <w:szCs w:val="22"/>
        </w:rPr>
        <w:t xml:space="preserve">a) projektiomanik ja kaasatud summa; b) emiteeritud instrument, nagu on määratletud </w:t>
      </w:r>
      <w:r>
        <w:rPr>
          <w:sz w:val="22"/>
          <w:szCs w:val="22"/>
        </w:rPr>
        <w:t xml:space="preserve">EL </w:t>
      </w:r>
      <w:proofErr w:type="spellStart"/>
      <w:r>
        <w:rPr>
          <w:sz w:val="22"/>
          <w:szCs w:val="22"/>
        </w:rPr>
        <w:t>ühisrahastusmääruse</w:t>
      </w:r>
      <w:proofErr w:type="spellEnd"/>
      <w:r>
        <w:rPr>
          <w:sz w:val="22"/>
          <w:szCs w:val="22"/>
        </w:rPr>
        <w:t xml:space="preserve"> </w:t>
      </w:r>
      <w:r w:rsidRPr="005F6FBC">
        <w:rPr>
          <w:sz w:val="22"/>
          <w:szCs w:val="22"/>
        </w:rPr>
        <w:t xml:space="preserve">artikli 2 lõike 1 punktides b, m ja n; c) koondteave </w:t>
      </w:r>
      <w:r w:rsidR="004A5F19">
        <w:rPr>
          <w:sz w:val="22"/>
          <w:szCs w:val="22"/>
        </w:rPr>
        <w:t>klientide</w:t>
      </w:r>
      <w:r w:rsidRPr="005F6FBC">
        <w:rPr>
          <w:sz w:val="22"/>
          <w:szCs w:val="22"/>
        </w:rPr>
        <w:t xml:space="preserve"> ja investeeritud summade kohta jaotatuna </w:t>
      </w:r>
      <w:r w:rsidR="004A5F19">
        <w:rPr>
          <w:sz w:val="22"/>
          <w:szCs w:val="22"/>
        </w:rPr>
        <w:t>klientide</w:t>
      </w:r>
      <w:r w:rsidRPr="005F6FBC">
        <w:rPr>
          <w:sz w:val="22"/>
          <w:szCs w:val="22"/>
        </w:rPr>
        <w:t xml:space="preserve"> </w:t>
      </w:r>
      <w:proofErr w:type="spellStart"/>
      <w:r w:rsidRPr="005F6FBC">
        <w:rPr>
          <w:sz w:val="22"/>
          <w:szCs w:val="22"/>
        </w:rPr>
        <w:t>maksuresidentsuse</w:t>
      </w:r>
      <w:proofErr w:type="spellEnd"/>
      <w:r w:rsidRPr="005F6FBC">
        <w:rPr>
          <w:sz w:val="22"/>
          <w:szCs w:val="22"/>
        </w:rPr>
        <w:t xml:space="preserve"> järgi, eristades kogenud ja mittekogenud </w:t>
      </w:r>
      <w:r w:rsidR="004A5F19">
        <w:rPr>
          <w:sz w:val="22"/>
          <w:szCs w:val="22"/>
        </w:rPr>
        <w:t>kliente</w:t>
      </w:r>
      <w:r w:rsidRPr="005F6FBC">
        <w:rPr>
          <w:sz w:val="22"/>
          <w:szCs w:val="22"/>
        </w:rPr>
        <w:t>.</w:t>
      </w:r>
      <w:r>
        <w:rPr>
          <w:sz w:val="22"/>
          <w:szCs w:val="22"/>
        </w:rPr>
        <w:t xml:space="preserve"> Aruandeperioodiks on ette nähtud kalendriaasta ja vastav teave tuleb Finantsinspektsioonile esitada ühe kuu jooksul pärast aruandeperioodi lõppu.</w:t>
      </w:r>
    </w:p>
    <w:p w14:paraId="61983397" w14:textId="77777777" w:rsidR="003057ED" w:rsidRPr="005A55CA" w:rsidRDefault="003057ED" w:rsidP="003057ED">
      <w:pPr>
        <w:spacing w:before="0"/>
        <w:rPr>
          <w:sz w:val="22"/>
          <w:szCs w:val="22"/>
        </w:rPr>
      </w:pPr>
    </w:p>
    <w:p w14:paraId="270007FE" w14:textId="77777777" w:rsidR="003057ED" w:rsidRPr="005A55CA" w:rsidRDefault="003057ED" w:rsidP="003057ED">
      <w:pPr>
        <w:spacing w:before="0"/>
        <w:rPr>
          <w:sz w:val="22"/>
          <w:szCs w:val="22"/>
        </w:rPr>
      </w:pPr>
      <w:r w:rsidRPr="005A55CA">
        <w:rPr>
          <w:b/>
          <w:sz w:val="22"/>
          <w:szCs w:val="22"/>
        </w:rPr>
        <w:t xml:space="preserve">Paragrahv </w:t>
      </w:r>
      <w:r>
        <w:rPr>
          <w:b/>
          <w:sz w:val="22"/>
          <w:szCs w:val="22"/>
        </w:rPr>
        <w:t>92</w:t>
      </w:r>
      <w:r w:rsidRPr="005A55CA">
        <w:rPr>
          <w:sz w:val="22"/>
          <w:szCs w:val="22"/>
        </w:rPr>
        <w:t xml:space="preserve"> kohaselt võib selgituste andmiseks kohustatud isik keelduda </w:t>
      </w:r>
      <w:proofErr w:type="spellStart"/>
      <w:r w:rsidRPr="005A55CA">
        <w:rPr>
          <w:sz w:val="22"/>
          <w:szCs w:val="22"/>
        </w:rPr>
        <w:t>Finantsisnpektsioonile</w:t>
      </w:r>
      <w:proofErr w:type="spellEnd"/>
      <w:r w:rsidRPr="005A55CA">
        <w:rPr>
          <w:sz w:val="22"/>
          <w:szCs w:val="22"/>
        </w:rPr>
        <w:t xml:space="preserve"> selgituste andmisest vastavalt kriminaalmenetluse seadustiku §-s 73 sätestatud alustel.</w:t>
      </w:r>
    </w:p>
    <w:p w14:paraId="473F5079" w14:textId="77777777" w:rsidR="003057ED" w:rsidRPr="005A55CA" w:rsidRDefault="003057ED" w:rsidP="003057ED">
      <w:pPr>
        <w:spacing w:before="0"/>
        <w:rPr>
          <w:sz w:val="22"/>
          <w:szCs w:val="22"/>
        </w:rPr>
      </w:pPr>
    </w:p>
    <w:p w14:paraId="62FF0A72" w14:textId="77777777" w:rsidR="003057ED" w:rsidRPr="005A55CA" w:rsidRDefault="003057ED" w:rsidP="003057ED">
      <w:pPr>
        <w:spacing w:before="0"/>
        <w:rPr>
          <w:b/>
          <w:sz w:val="22"/>
          <w:szCs w:val="22"/>
        </w:rPr>
      </w:pPr>
      <w:r w:rsidRPr="005A55CA">
        <w:rPr>
          <w:rFonts w:eastAsiaTheme="majorEastAsia"/>
          <w:b/>
          <w:sz w:val="22"/>
          <w:szCs w:val="22"/>
        </w:rPr>
        <w:t>Paragrahv</w:t>
      </w:r>
      <w:r w:rsidRPr="005A55CA">
        <w:rPr>
          <w:b/>
          <w:sz w:val="22"/>
          <w:szCs w:val="22"/>
        </w:rPr>
        <w:t xml:space="preserve"> </w:t>
      </w:r>
      <w:r>
        <w:rPr>
          <w:b/>
          <w:sz w:val="22"/>
          <w:szCs w:val="22"/>
        </w:rPr>
        <w:t>93</w:t>
      </w:r>
      <w:r w:rsidRPr="005A55CA">
        <w:rPr>
          <w:b/>
          <w:sz w:val="22"/>
          <w:szCs w:val="22"/>
        </w:rPr>
        <w:t xml:space="preserve"> </w:t>
      </w:r>
      <w:r w:rsidRPr="006C7623">
        <w:rPr>
          <w:sz w:val="22"/>
          <w:szCs w:val="22"/>
        </w:rPr>
        <w:t>sätestab nõuded</w:t>
      </w:r>
      <w:r w:rsidRPr="005A55CA">
        <w:rPr>
          <w:b/>
          <w:sz w:val="22"/>
          <w:szCs w:val="22"/>
        </w:rPr>
        <w:t xml:space="preserve"> </w:t>
      </w:r>
      <w:r w:rsidRPr="005A55CA">
        <w:rPr>
          <w:sz w:val="22"/>
          <w:szCs w:val="22"/>
        </w:rPr>
        <w:t>kohapealsete kontrollide läbiviimiseks.</w:t>
      </w:r>
    </w:p>
    <w:p w14:paraId="6D40A51B" w14:textId="77777777" w:rsidR="003057ED" w:rsidRPr="005A55CA" w:rsidRDefault="003057ED" w:rsidP="003057ED">
      <w:pPr>
        <w:tabs>
          <w:tab w:val="left" w:pos="0"/>
        </w:tabs>
        <w:spacing w:before="0"/>
        <w:rPr>
          <w:bCs/>
          <w:sz w:val="22"/>
          <w:szCs w:val="22"/>
          <w:highlight w:val="yellow"/>
          <w:u w:val="single"/>
        </w:rPr>
      </w:pPr>
    </w:p>
    <w:p w14:paraId="640AFA03" w14:textId="77777777" w:rsidR="003057ED" w:rsidRPr="005A55CA" w:rsidRDefault="003057ED" w:rsidP="003057ED">
      <w:pPr>
        <w:tabs>
          <w:tab w:val="left" w:pos="-180"/>
        </w:tabs>
        <w:spacing w:before="0"/>
        <w:rPr>
          <w:sz w:val="22"/>
          <w:szCs w:val="22"/>
        </w:rPr>
      </w:pPr>
      <w:r w:rsidRPr="005A55CA">
        <w:rPr>
          <w:b/>
          <w:sz w:val="22"/>
          <w:szCs w:val="22"/>
        </w:rPr>
        <w:t>Lõi</w:t>
      </w:r>
      <w:r>
        <w:rPr>
          <w:b/>
          <w:sz w:val="22"/>
          <w:szCs w:val="22"/>
        </w:rPr>
        <w:t>k</w:t>
      </w:r>
      <w:r w:rsidRPr="005A55CA">
        <w:rPr>
          <w:b/>
          <w:sz w:val="22"/>
          <w:szCs w:val="22"/>
        </w:rPr>
        <w:t>e 1</w:t>
      </w:r>
      <w:r>
        <w:rPr>
          <w:b/>
          <w:sz w:val="22"/>
          <w:szCs w:val="22"/>
        </w:rPr>
        <w:t xml:space="preserve"> </w:t>
      </w:r>
      <w:r w:rsidRPr="00DC34DE">
        <w:rPr>
          <w:sz w:val="22"/>
          <w:szCs w:val="22"/>
        </w:rPr>
        <w:t>kohaselt on</w:t>
      </w:r>
      <w:r w:rsidRPr="005A55CA">
        <w:rPr>
          <w:sz w:val="22"/>
          <w:szCs w:val="22"/>
        </w:rPr>
        <w:t xml:space="preserve"> Finantsinspektsioonil õigus läbi viia järgmiste isikute kohapealset kontrolli:</w:t>
      </w:r>
    </w:p>
    <w:p w14:paraId="14263303" w14:textId="77777777" w:rsidR="003057ED" w:rsidRPr="005A55CA" w:rsidRDefault="003057ED" w:rsidP="003057ED">
      <w:pPr>
        <w:numPr>
          <w:ilvl w:val="0"/>
          <w:numId w:val="14"/>
        </w:numPr>
        <w:tabs>
          <w:tab w:val="left" w:pos="-180"/>
        </w:tabs>
        <w:spacing w:before="0"/>
        <w:rPr>
          <w:sz w:val="22"/>
          <w:szCs w:val="22"/>
        </w:rPr>
      </w:pPr>
      <w:r w:rsidRPr="005A55CA">
        <w:rPr>
          <w:sz w:val="22"/>
          <w:szCs w:val="22"/>
        </w:rPr>
        <w:t>teenuseosutaja;</w:t>
      </w:r>
    </w:p>
    <w:p w14:paraId="187FBF7A" w14:textId="77777777" w:rsidR="003057ED" w:rsidRPr="005A55CA" w:rsidRDefault="003057ED" w:rsidP="003057ED">
      <w:pPr>
        <w:numPr>
          <w:ilvl w:val="0"/>
          <w:numId w:val="14"/>
        </w:numPr>
        <w:tabs>
          <w:tab w:val="left" w:pos="-180"/>
        </w:tabs>
        <w:spacing w:before="0"/>
        <w:rPr>
          <w:sz w:val="22"/>
          <w:szCs w:val="22"/>
        </w:rPr>
      </w:pPr>
      <w:r w:rsidRPr="005A55CA">
        <w:rPr>
          <w:sz w:val="22"/>
          <w:szCs w:val="22"/>
        </w:rPr>
        <w:t>isik, kellele teenuseosutaja ülesanded on edasi antud.</w:t>
      </w:r>
    </w:p>
    <w:p w14:paraId="77E16670" w14:textId="77777777" w:rsidR="003057ED" w:rsidRPr="005A55CA" w:rsidRDefault="003057ED" w:rsidP="003057ED">
      <w:pPr>
        <w:tabs>
          <w:tab w:val="left" w:pos="-180"/>
        </w:tabs>
        <w:spacing w:before="0"/>
        <w:ind w:left="1065"/>
        <w:rPr>
          <w:sz w:val="22"/>
          <w:szCs w:val="22"/>
        </w:rPr>
      </w:pPr>
    </w:p>
    <w:p w14:paraId="1D23BC98" w14:textId="77777777" w:rsidR="003057ED" w:rsidRPr="005A55CA" w:rsidRDefault="003057ED" w:rsidP="003057ED">
      <w:pPr>
        <w:spacing w:before="0"/>
        <w:rPr>
          <w:sz w:val="22"/>
          <w:szCs w:val="22"/>
          <w:u w:val="single"/>
        </w:rPr>
      </w:pPr>
      <w:r w:rsidRPr="005A55CA">
        <w:rPr>
          <w:b/>
          <w:sz w:val="22"/>
          <w:szCs w:val="22"/>
        </w:rPr>
        <w:t>Lõikes 2</w:t>
      </w:r>
      <w:r w:rsidRPr="005A55CA">
        <w:rPr>
          <w:sz w:val="22"/>
          <w:szCs w:val="22"/>
        </w:rPr>
        <w:t xml:space="preserve"> reguleeritakse, millal on Finantsinspektsioonil õigus kohapealset kontrolli läbi viia. Esiteks on tal see õigus, kui on vaja kontrollida esitatud andmete vastavust tegelikkusele. Teiseks, kui tal on kahtlus, et on rikutud õigusaktides sätestatut või see on vajalik muude järelevalveülesannete täitmiseks. Lisaks on Finantsinspektsioonil see õigus, kui välisriigi finantsjärelevalve asutus on seda taotlenud, et kontrollida välisriigi teenuseosutajalt saadud teavet</w:t>
      </w:r>
      <w:r>
        <w:rPr>
          <w:sz w:val="22"/>
          <w:szCs w:val="22"/>
        </w:rPr>
        <w:t xml:space="preserve"> või kui see on vajalik järelevalveülesannete täitmiseks.</w:t>
      </w:r>
    </w:p>
    <w:p w14:paraId="7F06C7E4" w14:textId="77777777" w:rsidR="003057ED" w:rsidRPr="005A55CA" w:rsidRDefault="003057ED" w:rsidP="003057ED">
      <w:pPr>
        <w:spacing w:before="0"/>
        <w:rPr>
          <w:sz w:val="22"/>
          <w:szCs w:val="22"/>
        </w:rPr>
      </w:pPr>
    </w:p>
    <w:p w14:paraId="422F6A44" w14:textId="490ABCA5" w:rsidR="003057ED" w:rsidRPr="00917B04" w:rsidRDefault="003057ED" w:rsidP="003057ED">
      <w:pPr>
        <w:tabs>
          <w:tab w:val="left" w:pos="-180"/>
        </w:tabs>
        <w:spacing w:before="0"/>
        <w:rPr>
          <w:sz w:val="22"/>
          <w:szCs w:val="22"/>
        </w:rPr>
      </w:pPr>
      <w:r w:rsidRPr="005A55CA">
        <w:rPr>
          <w:sz w:val="22"/>
          <w:szCs w:val="22"/>
        </w:rPr>
        <w:t xml:space="preserve">Selleks, et Finantsinspektsioon saaks kohapealset kontrolli läbi viia, peab ta andma vastava korralduse. Korraldusele tuleb märkida kohapealse kontrolli eesmärk, ulatus, perioodi pikkus ja aeg. See tuleb toimetada kontrollitava kätte hiljemalt kolm päeva enne kontrolli algust, välja arvatud juhul, kui </w:t>
      </w:r>
      <w:r w:rsidRPr="005A55CA">
        <w:rPr>
          <w:sz w:val="22"/>
          <w:szCs w:val="22"/>
        </w:rPr>
        <w:lastRenderedPageBreak/>
        <w:t xml:space="preserve">korraldusest etteteatamine ohustaks kontrolli eesmärgi saavutamist. Kontrolli teostab selleks volitatud isik </w:t>
      </w:r>
      <w:r>
        <w:rPr>
          <w:sz w:val="22"/>
          <w:szCs w:val="22"/>
        </w:rPr>
        <w:t>(</w:t>
      </w:r>
      <w:r>
        <w:rPr>
          <w:b/>
          <w:sz w:val="22"/>
          <w:szCs w:val="22"/>
        </w:rPr>
        <w:t>l</w:t>
      </w:r>
      <w:r w:rsidRPr="005A55CA">
        <w:rPr>
          <w:b/>
          <w:sz w:val="22"/>
          <w:szCs w:val="22"/>
        </w:rPr>
        <w:t>õige 3</w:t>
      </w:r>
      <w:r>
        <w:rPr>
          <w:sz w:val="22"/>
          <w:szCs w:val="22"/>
        </w:rPr>
        <w:t>)</w:t>
      </w:r>
      <w:r w:rsidRPr="005A55CA">
        <w:rPr>
          <w:sz w:val="22"/>
          <w:szCs w:val="22"/>
        </w:rPr>
        <w:t>.</w:t>
      </w:r>
      <w:r w:rsidR="00917B04">
        <w:rPr>
          <w:sz w:val="22"/>
          <w:szCs w:val="22"/>
        </w:rPr>
        <w:t xml:space="preserve"> Korraldust käesoleva seaduse tähenduses mõistetakse korraldust FIS § 22</w:t>
      </w:r>
      <w:r w:rsidR="00917B04">
        <w:rPr>
          <w:sz w:val="22"/>
          <w:szCs w:val="22"/>
          <w:vertAlign w:val="superscript"/>
        </w:rPr>
        <w:t>1</w:t>
      </w:r>
      <w:r w:rsidR="00917B04">
        <w:rPr>
          <w:sz w:val="22"/>
          <w:szCs w:val="22"/>
        </w:rPr>
        <w:t xml:space="preserve"> tähenduses.</w:t>
      </w:r>
    </w:p>
    <w:p w14:paraId="300C9709" w14:textId="77777777" w:rsidR="003057ED" w:rsidRPr="005A55CA" w:rsidRDefault="003057ED" w:rsidP="003057ED">
      <w:pPr>
        <w:tabs>
          <w:tab w:val="left" w:pos="-180"/>
        </w:tabs>
        <w:spacing w:before="0"/>
        <w:rPr>
          <w:sz w:val="22"/>
          <w:szCs w:val="22"/>
          <w:u w:val="single"/>
        </w:rPr>
      </w:pPr>
    </w:p>
    <w:p w14:paraId="6E0AF00F" w14:textId="77777777" w:rsidR="003057ED" w:rsidRPr="005A55CA" w:rsidRDefault="003057ED" w:rsidP="003057ED">
      <w:pPr>
        <w:tabs>
          <w:tab w:val="left" w:pos="-180"/>
        </w:tabs>
        <w:spacing w:before="0"/>
        <w:rPr>
          <w:sz w:val="22"/>
          <w:szCs w:val="22"/>
        </w:rPr>
      </w:pPr>
      <w:r w:rsidRPr="005A55CA">
        <w:rPr>
          <w:b/>
          <w:sz w:val="22"/>
          <w:szCs w:val="22"/>
        </w:rPr>
        <w:t>Lõikes 4</w:t>
      </w:r>
      <w:r w:rsidRPr="005A55CA">
        <w:rPr>
          <w:sz w:val="22"/>
          <w:szCs w:val="22"/>
        </w:rPr>
        <w:t xml:space="preserve"> on sätestatud kontrollija õigused. Eelkõige on tal õigus siseneda kõikidesse ruumidesse, järgides sealjuures </w:t>
      </w:r>
      <w:r>
        <w:rPr>
          <w:sz w:val="22"/>
          <w:szCs w:val="22"/>
        </w:rPr>
        <w:t xml:space="preserve">võimalusel </w:t>
      </w:r>
      <w:r w:rsidRPr="005A55CA">
        <w:rPr>
          <w:sz w:val="22"/>
          <w:szCs w:val="22"/>
        </w:rPr>
        <w:t xml:space="preserve">kõiki kehtestatud turvaeeskirju, nõuda tööks vajalike tingimuste tagamist ja kasutada eraldi ruumi, piiranguteta uurida järelevalve teostamisel vajalikke dokumente ja andmekandjaid ning teha nendest koopiaid, väljavõtteid ja ärakirju ning jälgida tööprotsesse. Lisaks on tal õigus </w:t>
      </w:r>
      <w:r>
        <w:rPr>
          <w:sz w:val="22"/>
          <w:szCs w:val="22"/>
        </w:rPr>
        <w:t>nõuda</w:t>
      </w:r>
      <w:r w:rsidRPr="005A55CA">
        <w:rPr>
          <w:sz w:val="22"/>
          <w:szCs w:val="22"/>
        </w:rPr>
        <w:t xml:space="preserve"> suulisi ja kirjalikke selgitusi kontrollitava juhtidelt ja töötajatelt. </w:t>
      </w:r>
    </w:p>
    <w:p w14:paraId="34A86DB4" w14:textId="77777777" w:rsidR="003057ED" w:rsidRPr="005A55CA" w:rsidRDefault="003057ED" w:rsidP="003057ED">
      <w:pPr>
        <w:tabs>
          <w:tab w:val="left" w:pos="-180"/>
        </w:tabs>
        <w:spacing w:before="0"/>
        <w:rPr>
          <w:sz w:val="22"/>
          <w:szCs w:val="22"/>
        </w:rPr>
      </w:pPr>
    </w:p>
    <w:p w14:paraId="3C856EC7" w14:textId="77777777" w:rsidR="003057ED" w:rsidRDefault="003057ED" w:rsidP="003057ED">
      <w:pPr>
        <w:tabs>
          <w:tab w:val="left" w:pos="-180"/>
        </w:tabs>
        <w:spacing w:before="0"/>
        <w:rPr>
          <w:sz w:val="22"/>
          <w:szCs w:val="22"/>
        </w:rPr>
      </w:pPr>
      <w:r w:rsidRPr="005A55CA">
        <w:rPr>
          <w:b/>
          <w:sz w:val="22"/>
          <w:szCs w:val="22"/>
        </w:rPr>
        <w:t>Lõige 5.</w:t>
      </w:r>
      <w:r w:rsidRPr="005A55CA">
        <w:rPr>
          <w:sz w:val="22"/>
          <w:szCs w:val="22"/>
        </w:rPr>
        <w:t xml:space="preserve"> Selleks, et kontrollija saaks nõuetekohaselt oma ülesandeid täita, on lõikes 5 sätestatud, et kontrollitava juhatus peab määrama kompetentse esindaja, kes esitab kontrollijale vajalikke dokumente ja muud teavet ning annab nende kohta ka vajalikke selgitusi. </w:t>
      </w:r>
    </w:p>
    <w:p w14:paraId="65F7A0B5" w14:textId="77777777" w:rsidR="003057ED" w:rsidRDefault="003057ED" w:rsidP="003057ED">
      <w:pPr>
        <w:tabs>
          <w:tab w:val="left" w:pos="-180"/>
        </w:tabs>
        <w:spacing w:before="0"/>
        <w:rPr>
          <w:sz w:val="22"/>
          <w:szCs w:val="22"/>
        </w:rPr>
      </w:pPr>
    </w:p>
    <w:p w14:paraId="67DD267A" w14:textId="77777777" w:rsidR="003057ED" w:rsidRPr="002E73B1" w:rsidRDefault="003057ED" w:rsidP="003057ED">
      <w:pPr>
        <w:tabs>
          <w:tab w:val="left" w:pos="-180"/>
        </w:tabs>
        <w:spacing w:before="0"/>
        <w:rPr>
          <w:sz w:val="22"/>
          <w:szCs w:val="22"/>
        </w:rPr>
      </w:pPr>
      <w:r>
        <w:rPr>
          <w:b/>
          <w:sz w:val="22"/>
          <w:szCs w:val="22"/>
        </w:rPr>
        <w:t xml:space="preserve">Lõike 6 </w:t>
      </w:r>
      <w:r>
        <w:rPr>
          <w:sz w:val="22"/>
          <w:szCs w:val="22"/>
        </w:rPr>
        <w:t>kohaselt võib Finantsinspektsioon välisriigi teenuseosutajalt saadud teabe kontrollimisel volitada kohapealset kontrolli teostama välisriigi finantsjärelevalve asutuse või tema nimetatud audiitorettevõtja või eksperdi.</w:t>
      </w:r>
    </w:p>
    <w:p w14:paraId="2A1A17A6" w14:textId="77777777" w:rsidR="003057ED" w:rsidRPr="005A55CA" w:rsidRDefault="003057ED" w:rsidP="003057ED">
      <w:pPr>
        <w:tabs>
          <w:tab w:val="left" w:pos="-180"/>
        </w:tabs>
        <w:spacing w:before="0"/>
        <w:rPr>
          <w:sz w:val="22"/>
          <w:szCs w:val="22"/>
          <w:u w:val="single"/>
        </w:rPr>
      </w:pPr>
    </w:p>
    <w:p w14:paraId="460A0269" w14:textId="77777777" w:rsidR="003057ED" w:rsidRPr="005A55CA" w:rsidRDefault="003057ED" w:rsidP="003057ED">
      <w:pPr>
        <w:spacing w:before="0"/>
        <w:ind w:right="-64"/>
        <w:rPr>
          <w:sz w:val="22"/>
          <w:szCs w:val="22"/>
        </w:rPr>
      </w:pPr>
      <w:r w:rsidRPr="005A55CA">
        <w:rPr>
          <w:b/>
          <w:sz w:val="22"/>
          <w:szCs w:val="22"/>
        </w:rPr>
        <w:t>Lõiked 7–9</w:t>
      </w:r>
      <w:r>
        <w:rPr>
          <w:sz w:val="22"/>
          <w:szCs w:val="22"/>
        </w:rPr>
        <w:t>:</w:t>
      </w:r>
      <w:r w:rsidRPr="005A55CA">
        <w:rPr>
          <w:sz w:val="22"/>
          <w:szCs w:val="22"/>
        </w:rPr>
        <w:t xml:space="preserve"> Kontrollimise tulemuste kohta on kontrollija kohustatud koostama akti. Akti kavand tuleb koostada kahe kuu jooksul pärast kontrolli lõppemist ning Finantsinspektsioon peab selle toimetama kontrollitavale kätte. Kontrollitava juht</w:t>
      </w:r>
      <w:r>
        <w:rPr>
          <w:sz w:val="22"/>
          <w:szCs w:val="22"/>
        </w:rPr>
        <w:t>organi liige</w:t>
      </w:r>
      <w:r w:rsidRPr="005A55CA">
        <w:rPr>
          <w:sz w:val="22"/>
          <w:szCs w:val="22"/>
        </w:rPr>
        <w:t xml:space="preserve"> või töötaja, keda see akt puudutab, võib ühe kuu jooksul esitada Finantsinspektsioonile kirjalikke selgitusi. Seejärel koostab Finantsinspektsioon lõpliku akti, mis toimetatakse samuti kontrollitavale kätte. Lõplik akt tuleb koostada pärast kirjalike selgituste läbivaatamist nelja kuu jooksul kohapealse kontrolli lõppemisest arvates. Kontrollitaval on õigus lisada aktile kirjalik eriarvamus, kui ta ei nõustu aktis esitatud asjaoludega. </w:t>
      </w:r>
    </w:p>
    <w:p w14:paraId="090B5E73" w14:textId="77777777" w:rsidR="003057ED" w:rsidRPr="005A55CA" w:rsidRDefault="003057ED" w:rsidP="003057ED">
      <w:pPr>
        <w:spacing w:before="0"/>
        <w:ind w:right="-64"/>
        <w:rPr>
          <w:sz w:val="22"/>
          <w:szCs w:val="22"/>
        </w:rPr>
      </w:pPr>
    </w:p>
    <w:p w14:paraId="14330F43" w14:textId="77777777" w:rsidR="003057ED" w:rsidRPr="005A55CA" w:rsidRDefault="003057ED" w:rsidP="003057ED">
      <w:pPr>
        <w:spacing w:before="0"/>
        <w:ind w:right="-62"/>
        <w:rPr>
          <w:sz w:val="22"/>
          <w:szCs w:val="22"/>
        </w:rPr>
      </w:pPr>
      <w:r w:rsidRPr="005A55CA">
        <w:rPr>
          <w:sz w:val="22"/>
          <w:szCs w:val="22"/>
        </w:rPr>
        <w:t>Finantsinspektsioon võib akti kavandi või akti koostamise tähtaega pikendada lõikes 10 sätestatud tingimustel</w:t>
      </w:r>
      <w:r>
        <w:rPr>
          <w:sz w:val="22"/>
          <w:szCs w:val="22"/>
        </w:rPr>
        <w:t xml:space="preserve"> (</w:t>
      </w:r>
      <w:r>
        <w:rPr>
          <w:b/>
          <w:sz w:val="22"/>
          <w:szCs w:val="22"/>
        </w:rPr>
        <w:t>lõige 10</w:t>
      </w:r>
      <w:r>
        <w:rPr>
          <w:sz w:val="22"/>
          <w:szCs w:val="22"/>
        </w:rPr>
        <w:t>)</w:t>
      </w:r>
      <w:r w:rsidRPr="005A55CA">
        <w:rPr>
          <w:sz w:val="22"/>
          <w:szCs w:val="22"/>
        </w:rPr>
        <w:t>.</w:t>
      </w:r>
    </w:p>
    <w:p w14:paraId="05DD3AA3" w14:textId="77777777" w:rsidR="003057ED" w:rsidRPr="005A55CA" w:rsidRDefault="003057ED" w:rsidP="003057ED">
      <w:pPr>
        <w:spacing w:before="0"/>
        <w:ind w:right="-62"/>
        <w:rPr>
          <w:sz w:val="22"/>
          <w:szCs w:val="22"/>
        </w:rPr>
      </w:pPr>
    </w:p>
    <w:p w14:paraId="131F22A9" w14:textId="77777777" w:rsidR="003057ED" w:rsidRPr="005A55CA" w:rsidRDefault="003057ED" w:rsidP="003057ED">
      <w:pPr>
        <w:spacing w:before="0"/>
        <w:rPr>
          <w:b/>
          <w:bCs/>
          <w:sz w:val="22"/>
          <w:szCs w:val="22"/>
        </w:rPr>
      </w:pPr>
      <w:r w:rsidRPr="005A55CA">
        <w:rPr>
          <w:rFonts w:eastAsiaTheme="majorEastAsia"/>
          <w:b/>
          <w:sz w:val="22"/>
          <w:szCs w:val="22"/>
        </w:rPr>
        <w:t>Paragrahv</w:t>
      </w:r>
      <w:r w:rsidRPr="005A55CA">
        <w:rPr>
          <w:b/>
          <w:bCs/>
          <w:sz w:val="22"/>
          <w:szCs w:val="22"/>
        </w:rPr>
        <w:t xml:space="preserve"> </w:t>
      </w:r>
      <w:r>
        <w:rPr>
          <w:b/>
          <w:bCs/>
          <w:sz w:val="22"/>
          <w:szCs w:val="22"/>
        </w:rPr>
        <w:t>94</w:t>
      </w:r>
      <w:r w:rsidRPr="005A55CA">
        <w:rPr>
          <w:b/>
          <w:bCs/>
          <w:sz w:val="22"/>
          <w:szCs w:val="22"/>
        </w:rPr>
        <w:t> </w:t>
      </w:r>
      <w:r w:rsidRPr="005A55CA">
        <w:rPr>
          <w:sz w:val="22"/>
          <w:szCs w:val="22"/>
        </w:rPr>
        <w:t>käsitleb eksperdi kaasamist järelevalvemenetlusse ja erakorralise audiitorkontrolli läbiviimist.</w:t>
      </w:r>
    </w:p>
    <w:p w14:paraId="2C815DA6" w14:textId="77777777" w:rsidR="003057ED" w:rsidRPr="005A55CA" w:rsidRDefault="003057ED" w:rsidP="003057ED">
      <w:pPr>
        <w:tabs>
          <w:tab w:val="left" w:pos="0"/>
        </w:tabs>
        <w:spacing w:before="0"/>
        <w:rPr>
          <w:bCs/>
          <w:sz w:val="22"/>
          <w:szCs w:val="22"/>
          <w:u w:val="single"/>
        </w:rPr>
      </w:pPr>
    </w:p>
    <w:p w14:paraId="79F2823E" w14:textId="77777777" w:rsidR="003057ED" w:rsidRPr="005A55CA" w:rsidRDefault="003057ED" w:rsidP="003057ED">
      <w:pPr>
        <w:spacing w:before="0"/>
        <w:ind w:right="-64"/>
        <w:rPr>
          <w:sz w:val="22"/>
          <w:szCs w:val="22"/>
        </w:rPr>
      </w:pPr>
      <w:r w:rsidRPr="005A55CA">
        <w:rPr>
          <w:b/>
          <w:sz w:val="22"/>
          <w:szCs w:val="22"/>
        </w:rPr>
        <w:t>Lõiked 1 ja 2</w:t>
      </w:r>
      <w:r>
        <w:rPr>
          <w:b/>
          <w:sz w:val="22"/>
          <w:szCs w:val="22"/>
        </w:rPr>
        <w:t>.</w:t>
      </w:r>
      <w:r w:rsidRPr="005A55CA">
        <w:rPr>
          <w:sz w:val="22"/>
          <w:szCs w:val="22"/>
        </w:rPr>
        <w:t xml:space="preserve"> Eksperdi võib järelevalvemenetlusse kaasata eriteadmisi nõudvate tähtsust omavate asjaolude selgitamiseks ning erakorralise audiitorkontrolli läbiviimist on õigus nõuda, kui on põhjendatud kahtlus, et Finantsinspektsioonile või avalikkusele esitatud aruanded või teave on eksitavad või tegelikkusele mittevastavad, on tehtud tehinguid, mille tulemusel võidakse tekitada või on tekitatud olulist kahju, järelevalvemenetluses vajab täiendavat selgitamist muu finantsseisundiga seotud oluline küsimus. </w:t>
      </w:r>
    </w:p>
    <w:p w14:paraId="677B75AA" w14:textId="77777777" w:rsidR="003057ED" w:rsidRPr="005A55CA" w:rsidRDefault="003057ED" w:rsidP="003057ED">
      <w:pPr>
        <w:spacing w:before="0"/>
        <w:ind w:right="-64"/>
        <w:rPr>
          <w:sz w:val="22"/>
          <w:szCs w:val="22"/>
        </w:rPr>
      </w:pPr>
    </w:p>
    <w:p w14:paraId="065DDF64" w14:textId="77777777" w:rsidR="003057ED" w:rsidRPr="005A55CA" w:rsidRDefault="003057ED" w:rsidP="003057ED">
      <w:pPr>
        <w:spacing w:before="0"/>
        <w:ind w:right="-64"/>
        <w:rPr>
          <w:sz w:val="22"/>
          <w:szCs w:val="22"/>
        </w:rPr>
      </w:pPr>
      <w:r w:rsidRPr="005A55CA">
        <w:rPr>
          <w:b/>
          <w:sz w:val="22"/>
          <w:szCs w:val="22"/>
        </w:rPr>
        <w:t>Lõige 3</w:t>
      </w:r>
      <w:r>
        <w:rPr>
          <w:b/>
          <w:sz w:val="22"/>
          <w:szCs w:val="22"/>
        </w:rPr>
        <w:t>:</w:t>
      </w:r>
      <w:r w:rsidRPr="005A55CA">
        <w:rPr>
          <w:sz w:val="22"/>
          <w:szCs w:val="22"/>
        </w:rPr>
        <w:t xml:space="preserve"> Ekspert või audiitor kaasatakse Finantsinspektsiooni algatusel või menetlusosalise taotlusel. Eksperdi või audiitori nimi ja tema kaasamise põhjus tehakse menetlusosalisele teatavaks enne eksperdi või audiitori kaasamist, välja arvatud juhul, kui on vajalik asja kiire menetlemine või kui teavitamine võib takistada ekspertiisi või erakorralise audiitorkontrolli eesmärgi saavutamist. </w:t>
      </w:r>
    </w:p>
    <w:p w14:paraId="5A4FB0A1" w14:textId="77777777" w:rsidR="003057ED" w:rsidRPr="005A55CA" w:rsidRDefault="003057ED" w:rsidP="003057ED">
      <w:pPr>
        <w:spacing w:before="0"/>
        <w:ind w:right="-64"/>
        <w:rPr>
          <w:sz w:val="22"/>
          <w:szCs w:val="22"/>
        </w:rPr>
      </w:pPr>
    </w:p>
    <w:p w14:paraId="3E37FE42" w14:textId="77777777" w:rsidR="003057ED" w:rsidRPr="005A55CA" w:rsidRDefault="003057ED" w:rsidP="003057ED">
      <w:pPr>
        <w:spacing w:before="0"/>
        <w:ind w:right="-64"/>
        <w:rPr>
          <w:sz w:val="22"/>
          <w:szCs w:val="22"/>
        </w:rPr>
      </w:pPr>
      <w:r w:rsidRPr="005A55CA">
        <w:rPr>
          <w:b/>
          <w:sz w:val="22"/>
          <w:szCs w:val="22"/>
        </w:rPr>
        <w:t>Lõike 4</w:t>
      </w:r>
      <w:r w:rsidRPr="005A55CA">
        <w:rPr>
          <w:sz w:val="22"/>
          <w:szCs w:val="22"/>
        </w:rPr>
        <w:t xml:space="preserve"> kohaselt peab ekspert või audiitor</w:t>
      </w:r>
      <w:r>
        <w:rPr>
          <w:sz w:val="22"/>
          <w:szCs w:val="22"/>
        </w:rPr>
        <w:t>ettevõtja</w:t>
      </w:r>
      <w:r w:rsidRPr="005A55CA">
        <w:rPr>
          <w:sz w:val="22"/>
          <w:szCs w:val="22"/>
        </w:rPr>
        <w:t xml:space="preserve"> esitama oma arvamuse või hinnangu ka nende asjaolude kohta, mille kohta talle küsimusi ei esitatud, kuid mis ta tegi kindlaks järelevalvemenetluse käigus. </w:t>
      </w:r>
    </w:p>
    <w:p w14:paraId="052207CA" w14:textId="77777777" w:rsidR="003057ED" w:rsidRPr="005A55CA" w:rsidRDefault="003057ED" w:rsidP="003057ED">
      <w:pPr>
        <w:spacing w:before="0"/>
        <w:ind w:right="-64"/>
        <w:rPr>
          <w:sz w:val="22"/>
          <w:szCs w:val="22"/>
        </w:rPr>
      </w:pPr>
    </w:p>
    <w:p w14:paraId="059193BF" w14:textId="77777777" w:rsidR="003057ED" w:rsidRPr="005A55CA" w:rsidRDefault="003057ED" w:rsidP="003057ED">
      <w:pPr>
        <w:spacing w:before="0"/>
        <w:ind w:right="-64"/>
        <w:rPr>
          <w:sz w:val="22"/>
          <w:szCs w:val="22"/>
        </w:rPr>
      </w:pPr>
      <w:r w:rsidRPr="005A55CA">
        <w:rPr>
          <w:b/>
          <w:sz w:val="22"/>
          <w:szCs w:val="22"/>
        </w:rPr>
        <w:t>Lõige 5</w:t>
      </w:r>
      <w:r>
        <w:rPr>
          <w:b/>
          <w:sz w:val="22"/>
          <w:szCs w:val="22"/>
        </w:rPr>
        <w:t>:</w:t>
      </w:r>
      <w:r w:rsidRPr="005A55CA">
        <w:rPr>
          <w:sz w:val="22"/>
          <w:szCs w:val="22"/>
        </w:rPr>
        <w:t xml:space="preserve"> Kohapealset kontrolli läbi viies on eksperdil või audiitoril õigus kasutada kontrollija õigusi üksnes temale antud ülesannete täitmise</w:t>
      </w:r>
      <w:r>
        <w:rPr>
          <w:sz w:val="22"/>
          <w:szCs w:val="22"/>
        </w:rPr>
        <w:t>ks</w:t>
      </w:r>
      <w:r w:rsidRPr="005A55CA">
        <w:rPr>
          <w:sz w:val="22"/>
          <w:szCs w:val="22"/>
        </w:rPr>
        <w:t xml:space="preserve"> ning </w:t>
      </w:r>
      <w:r>
        <w:rPr>
          <w:sz w:val="22"/>
          <w:szCs w:val="22"/>
        </w:rPr>
        <w:t xml:space="preserve">audiitorettevõtjal on õigus </w:t>
      </w:r>
      <w:r w:rsidRPr="005A55CA">
        <w:rPr>
          <w:sz w:val="22"/>
          <w:szCs w:val="22"/>
        </w:rPr>
        <w:t xml:space="preserve">teha </w:t>
      </w:r>
      <w:r>
        <w:rPr>
          <w:sz w:val="22"/>
          <w:szCs w:val="22"/>
        </w:rPr>
        <w:t xml:space="preserve">ka </w:t>
      </w:r>
      <w:r w:rsidRPr="005A55CA">
        <w:rPr>
          <w:sz w:val="22"/>
          <w:szCs w:val="22"/>
        </w:rPr>
        <w:t xml:space="preserve">ettepanekuid Finantsinspektsioonile ja menetlusosalisele täiendavate andmete ja dokumentide esitamiseks. Kõikidesse ruumisesse sisenemise õigus on tal üksnes kontrollitava loal või tema juuresolekul. </w:t>
      </w:r>
    </w:p>
    <w:p w14:paraId="3CDDC52D" w14:textId="77777777" w:rsidR="003057ED" w:rsidRPr="005A55CA" w:rsidRDefault="003057ED" w:rsidP="003057ED">
      <w:pPr>
        <w:spacing w:before="0"/>
        <w:ind w:right="-64"/>
        <w:rPr>
          <w:sz w:val="22"/>
          <w:szCs w:val="22"/>
        </w:rPr>
      </w:pPr>
    </w:p>
    <w:p w14:paraId="22E2316E" w14:textId="77777777" w:rsidR="003057ED" w:rsidRPr="005A55CA" w:rsidRDefault="003057ED" w:rsidP="003057ED">
      <w:pPr>
        <w:spacing w:before="0"/>
        <w:ind w:right="-64"/>
        <w:rPr>
          <w:sz w:val="22"/>
          <w:szCs w:val="22"/>
        </w:rPr>
      </w:pPr>
      <w:r w:rsidRPr="005A55CA">
        <w:rPr>
          <w:b/>
          <w:sz w:val="22"/>
          <w:szCs w:val="22"/>
        </w:rPr>
        <w:t>Lõike 6</w:t>
      </w:r>
      <w:r w:rsidRPr="005A55CA">
        <w:rPr>
          <w:sz w:val="22"/>
          <w:szCs w:val="22"/>
        </w:rPr>
        <w:t xml:space="preserve"> eesmärk on tagada, et ekspert hoiaks saladuses avalikustamisele mittekuuluvat teavet, mis sai talle teatavaks seoses eksperdiülesannete täitmisega. Audiitori kutsesaladuse hoidmise kohustus tuleneb </w:t>
      </w:r>
      <w:proofErr w:type="spellStart"/>
      <w:r w:rsidRPr="005A55CA">
        <w:rPr>
          <w:sz w:val="22"/>
          <w:szCs w:val="22"/>
        </w:rPr>
        <w:t>AudS-ist</w:t>
      </w:r>
      <w:proofErr w:type="spellEnd"/>
      <w:r w:rsidRPr="005A55CA">
        <w:rPr>
          <w:sz w:val="22"/>
          <w:szCs w:val="22"/>
        </w:rPr>
        <w:t>.</w:t>
      </w:r>
    </w:p>
    <w:p w14:paraId="5A8F19E2" w14:textId="77777777" w:rsidR="003057ED" w:rsidRPr="005A55CA" w:rsidRDefault="003057ED" w:rsidP="003057ED">
      <w:pPr>
        <w:spacing w:before="0"/>
        <w:ind w:right="-64"/>
        <w:rPr>
          <w:sz w:val="22"/>
          <w:szCs w:val="22"/>
        </w:rPr>
      </w:pPr>
    </w:p>
    <w:p w14:paraId="3EE0D389" w14:textId="77777777" w:rsidR="003057ED" w:rsidRPr="005A55CA" w:rsidRDefault="003057ED" w:rsidP="003057ED">
      <w:pPr>
        <w:spacing w:before="0"/>
        <w:ind w:right="-62"/>
        <w:rPr>
          <w:sz w:val="22"/>
          <w:szCs w:val="22"/>
        </w:rPr>
      </w:pPr>
      <w:r w:rsidRPr="005A55CA">
        <w:rPr>
          <w:b/>
          <w:sz w:val="22"/>
          <w:szCs w:val="22"/>
        </w:rPr>
        <w:lastRenderedPageBreak/>
        <w:t>Lõikes 7</w:t>
      </w:r>
      <w:r w:rsidRPr="005A55CA">
        <w:rPr>
          <w:sz w:val="22"/>
          <w:szCs w:val="22"/>
        </w:rPr>
        <w:t xml:space="preserve"> sätestatakse, et ekspertiisi või erakorralise audiitorkontrolli kulud kaetakse Finantsinspektsiooni eelarvest ning kui ekspert või audiitor</w:t>
      </w:r>
      <w:r>
        <w:rPr>
          <w:sz w:val="22"/>
          <w:szCs w:val="22"/>
        </w:rPr>
        <w:t>ettevõtja</w:t>
      </w:r>
      <w:r w:rsidRPr="005A55CA">
        <w:rPr>
          <w:sz w:val="22"/>
          <w:szCs w:val="22"/>
        </w:rPr>
        <w:t xml:space="preserve"> kaasatakse menetlusosalise taotlusel, tasub kulud menetlusosaline. </w:t>
      </w:r>
    </w:p>
    <w:p w14:paraId="521FFFD7" w14:textId="77777777" w:rsidR="003057ED" w:rsidRPr="005A55CA" w:rsidRDefault="003057ED" w:rsidP="003057ED">
      <w:pPr>
        <w:tabs>
          <w:tab w:val="left" w:pos="0"/>
        </w:tabs>
        <w:spacing w:before="0"/>
        <w:rPr>
          <w:bCs/>
          <w:sz w:val="22"/>
          <w:szCs w:val="22"/>
          <w:u w:val="single"/>
        </w:rPr>
      </w:pPr>
    </w:p>
    <w:p w14:paraId="30A6C97A" w14:textId="77777777" w:rsidR="003057ED" w:rsidRPr="005A55CA" w:rsidRDefault="003057ED" w:rsidP="003057ED">
      <w:pPr>
        <w:tabs>
          <w:tab w:val="left" w:pos="0"/>
        </w:tabs>
        <w:spacing w:before="0"/>
        <w:rPr>
          <w:bCs/>
          <w:sz w:val="22"/>
          <w:szCs w:val="22"/>
          <w:u w:val="single"/>
        </w:rPr>
      </w:pPr>
      <w:r w:rsidRPr="005A55CA">
        <w:rPr>
          <w:b/>
          <w:bCs/>
          <w:sz w:val="22"/>
          <w:szCs w:val="22"/>
        </w:rPr>
        <w:t xml:space="preserve">Paragrahv </w:t>
      </w:r>
      <w:r>
        <w:rPr>
          <w:b/>
          <w:bCs/>
          <w:sz w:val="22"/>
          <w:szCs w:val="22"/>
        </w:rPr>
        <w:t>95</w:t>
      </w:r>
      <w:r w:rsidRPr="005A55CA">
        <w:rPr>
          <w:b/>
          <w:bCs/>
          <w:sz w:val="22"/>
          <w:szCs w:val="22"/>
        </w:rPr>
        <w:t xml:space="preserve"> </w:t>
      </w:r>
      <w:r w:rsidRPr="005A55CA">
        <w:rPr>
          <w:bCs/>
          <w:sz w:val="22"/>
          <w:szCs w:val="22"/>
        </w:rPr>
        <w:t>näeb ette Finantsinspektsioonile õiguse teha ettekirjutusi seaduses sätestatud alustel</w:t>
      </w:r>
      <w:r>
        <w:rPr>
          <w:bCs/>
          <w:sz w:val="22"/>
          <w:szCs w:val="22"/>
        </w:rPr>
        <w:t>.</w:t>
      </w:r>
    </w:p>
    <w:p w14:paraId="098C1627" w14:textId="77777777" w:rsidR="003057ED" w:rsidRPr="005A55CA" w:rsidRDefault="003057ED" w:rsidP="003057ED">
      <w:pPr>
        <w:tabs>
          <w:tab w:val="left" w:pos="0"/>
        </w:tabs>
        <w:spacing w:before="0"/>
        <w:rPr>
          <w:bCs/>
          <w:sz w:val="22"/>
          <w:szCs w:val="22"/>
          <w:u w:val="single"/>
        </w:rPr>
      </w:pPr>
    </w:p>
    <w:p w14:paraId="5E3A9EEC" w14:textId="77777777" w:rsidR="003057ED" w:rsidRPr="005A55CA" w:rsidRDefault="003057ED" w:rsidP="003057ED">
      <w:pPr>
        <w:tabs>
          <w:tab w:val="left" w:pos="-180"/>
        </w:tabs>
        <w:spacing w:before="0"/>
        <w:rPr>
          <w:sz w:val="22"/>
          <w:szCs w:val="22"/>
        </w:rPr>
      </w:pPr>
      <w:r w:rsidRPr="005A55CA">
        <w:rPr>
          <w:b/>
          <w:sz w:val="22"/>
          <w:szCs w:val="22"/>
        </w:rPr>
        <w:t>Lõi</w:t>
      </w:r>
      <w:r>
        <w:rPr>
          <w:b/>
          <w:sz w:val="22"/>
          <w:szCs w:val="22"/>
        </w:rPr>
        <w:t>k</w:t>
      </w:r>
      <w:r w:rsidRPr="005A55CA">
        <w:rPr>
          <w:b/>
          <w:sz w:val="22"/>
          <w:szCs w:val="22"/>
        </w:rPr>
        <w:t>e 1</w:t>
      </w:r>
      <w:r>
        <w:rPr>
          <w:b/>
          <w:sz w:val="22"/>
          <w:szCs w:val="22"/>
        </w:rPr>
        <w:t xml:space="preserve"> </w:t>
      </w:r>
      <w:r w:rsidRPr="00DC34DE">
        <w:rPr>
          <w:sz w:val="22"/>
          <w:szCs w:val="22"/>
        </w:rPr>
        <w:t>kohaselt on</w:t>
      </w:r>
      <w:r>
        <w:rPr>
          <w:sz w:val="22"/>
          <w:szCs w:val="22"/>
        </w:rPr>
        <w:t xml:space="preserve"> </w:t>
      </w:r>
      <w:r w:rsidRPr="005A55CA">
        <w:rPr>
          <w:sz w:val="22"/>
          <w:szCs w:val="22"/>
        </w:rPr>
        <w:t>Finantsinspektsioonil õigus teha ettekirjutus, kui tuvastatakse õigusaktide rikkumine või rikkumiste ärahoidmiseks (õigusaktide rikkumise oht). Lisaks on Finantsinspektsioonil õigus teha ettekirjutus, kui teenuseosutaja võetud riskid on oluliselt suurenenud või esineb muu tema tegevust, tema klientide huve või finantsturu kui terviku usaldusväärsust või läbipaistvust ohustavaid või ohustada võivaid asjaolusid.</w:t>
      </w:r>
    </w:p>
    <w:p w14:paraId="09EFABE3" w14:textId="77777777" w:rsidR="003057ED" w:rsidRPr="005A55CA" w:rsidRDefault="003057ED" w:rsidP="003057ED">
      <w:pPr>
        <w:tabs>
          <w:tab w:val="left" w:pos="-180"/>
        </w:tabs>
        <w:spacing w:before="0"/>
        <w:rPr>
          <w:sz w:val="22"/>
          <w:szCs w:val="22"/>
        </w:rPr>
      </w:pPr>
    </w:p>
    <w:p w14:paraId="4AA1E95F" w14:textId="77777777" w:rsidR="003057ED" w:rsidRPr="005A55CA" w:rsidRDefault="003057ED" w:rsidP="003057ED">
      <w:pPr>
        <w:spacing w:before="0"/>
        <w:rPr>
          <w:sz w:val="22"/>
          <w:szCs w:val="22"/>
        </w:rPr>
      </w:pPr>
      <w:r w:rsidRPr="005A55CA">
        <w:rPr>
          <w:b/>
          <w:sz w:val="22"/>
          <w:szCs w:val="22"/>
        </w:rPr>
        <w:t>Lõike 2</w:t>
      </w:r>
      <w:r w:rsidRPr="005A55CA">
        <w:rPr>
          <w:sz w:val="22"/>
          <w:szCs w:val="22"/>
        </w:rPr>
        <w:t xml:space="preserve"> kohaselt peab ettekirjutuse saaja asum</w:t>
      </w:r>
      <w:r>
        <w:rPr>
          <w:sz w:val="22"/>
          <w:szCs w:val="22"/>
        </w:rPr>
        <w:t>a</w:t>
      </w:r>
      <w:r w:rsidRPr="005A55CA">
        <w:rPr>
          <w:sz w:val="22"/>
          <w:szCs w:val="22"/>
        </w:rPr>
        <w:t xml:space="preserve"> ettekirjutust viivitamata täitma ning </w:t>
      </w:r>
      <w:r w:rsidRPr="005A55CA">
        <w:rPr>
          <w:b/>
          <w:sz w:val="22"/>
          <w:szCs w:val="22"/>
        </w:rPr>
        <w:t>lõikega 3</w:t>
      </w:r>
      <w:r w:rsidRPr="005A55CA">
        <w:rPr>
          <w:sz w:val="22"/>
          <w:szCs w:val="22"/>
        </w:rPr>
        <w:t xml:space="preserve"> nähakse ette, et kaebuse esitamine ja menetlemine ei peata ettekirjutuse täitmist, kui Finantsinspektsioon ei ole ette näinud teisiti.</w:t>
      </w:r>
    </w:p>
    <w:p w14:paraId="4082CD69" w14:textId="77777777" w:rsidR="003057ED" w:rsidRDefault="003057ED" w:rsidP="003057ED">
      <w:pPr>
        <w:spacing w:before="0"/>
        <w:rPr>
          <w:sz w:val="22"/>
          <w:szCs w:val="22"/>
        </w:rPr>
      </w:pPr>
    </w:p>
    <w:p w14:paraId="750EFE32" w14:textId="77777777" w:rsidR="003057ED" w:rsidRPr="00991E26" w:rsidRDefault="003057ED" w:rsidP="003057ED">
      <w:pPr>
        <w:spacing w:before="0"/>
        <w:rPr>
          <w:sz w:val="22"/>
          <w:szCs w:val="22"/>
        </w:rPr>
      </w:pPr>
      <w:r w:rsidRPr="00991E26">
        <w:rPr>
          <w:b/>
          <w:bCs/>
          <w:sz w:val="22"/>
          <w:szCs w:val="22"/>
        </w:rPr>
        <w:t xml:space="preserve">Paragrahviga 96 </w:t>
      </w:r>
      <w:r>
        <w:rPr>
          <w:sz w:val="22"/>
          <w:szCs w:val="22"/>
        </w:rPr>
        <w:t>sätestatakse Finantsinspektsiooni õigused ja kohustused ettekirjutuse tegemisel.</w:t>
      </w:r>
    </w:p>
    <w:p w14:paraId="5B3AC830" w14:textId="77777777" w:rsidR="003057ED" w:rsidRPr="005A55CA" w:rsidRDefault="003057ED" w:rsidP="003057ED">
      <w:pPr>
        <w:spacing w:before="0"/>
        <w:rPr>
          <w:sz w:val="22"/>
          <w:szCs w:val="22"/>
        </w:rPr>
      </w:pPr>
    </w:p>
    <w:p w14:paraId="791EB55F" w14:textId="77777777" w:rsidR="003057ED" w:rsidRPr="005A55CA" w:rsidRDefault="003057ED" w:rsidP="003057ED">
      <w:pPr>
        <w:spacing w:before="0"/>
        <w:rPr>
          <w:sz w:val="22"/>
          <w:szCs w:val="22"/>
        </w:rPr>
      </w:pPr>
      <w:r w:rsidRPr="005A55CA">
        <w:rPr>
          <w:b/>
          <w:sz w:val="22"/>
          <w:szCs w:val="22"/>
        </w:rPr>
        <w:t xml:space="preserve">Lõikes </w:t>
      </w:r>
      <w:r>
        <w:rPr>
          <w:b/>
          <w:sz w:val="22"/>
          <w:szCs w:val="22"/>
        </w:rPr>
        <w:t>1</w:t>
      </w:r>
      <w:r w:rsidRPr="005A55CA">
        <w:rPr>
          <w:sz w:val="22"/>
          <w:szCs w:val="22"/>
        </w:rPr>
        <w:t xml:space="preserve"> on loetelu ettekirjutustest ning juhul, kui teenuseosutaja ettekirjutust ei täida (</w:t>
      </w:r>
      <w:r w:rsidRPr="005A55CA">
        <w:rPr>
          <w:b/>
          <w:sz w:val="22"/>
          <w:szCs w:val="22"/>
        </w:rPr>
        <w:t xml:space="preserve">lõige </w:t>
      </w:r>
      <w:r>
        <w:rPr>
          <w:b/>
          <w:sz w:val="22"/>
          <w:szCs w:val="22"/>
        </w:rPr>
        <w:t>2</w:t>
      </w:r>
      <w:r w:rsidRPr="005A55CA">
        <w:rPr>
          <w:b/>
          <w:sz w:val="22"/>
          <w:szCs w:val="22"/>
        </w:rPr>
        <w:t>),</w:t>
      </w:r>
      <w:r w:rsidRPr="005A55CA">
        <w:rPr>
          <w:sz w:val="22"/>
          <w:szCs w:val="22"/>
        </w:rPr>
        <w:t xml:space="preserve"> võib tema suhtes rakendada muid seaduses ette</w:t>
      </w:r>
      <w:r>
        <w:rPr>
          <w:sz w:val="22"/>
          <w:szCs w:val="22"/>
        </w:rPr>
        <w:t xml:space="preserve"> </w:t>
      </w:r>
      <w:r w:rsidRPr="005A55CA">
        <w:rPr>
          <w:sz w:val="22"/>
          <w:szCs w:val="22"/>
        </w:rPr>
        <w:t xml:space="preserve">nähtud meetmeid, sealhulgas tunnistada kehtetuks tema tegevusluba, tema filiaali </w:t>
      </w:r>
      <w:r>
        <w:rPr>
          <w:sz w:val="22"/>
          <w:szCs w:val="22"/>
        </w:rPr>
        <w:t>registreerimise</w:t>
      </w:r>
      <w:r w:rsidRPr="005A55CA">
        <w:rPr>
          <w:sz w:val="22"/>
          <w:szCs w:val="22"/>
        </w:rPr>
        <w:t xml:space="preserve"> luba või ka nõuda teenuseosutaja juhi tagasikutsumist. </w:t>
      </w:r>
    </w:p>
    <w:p w14:paraId="2A20F8D8" w14:textId="77777777" w:rsidR="003057ED" w:rsidRDefault="003057ED" w:rsidP="003057ED">
      <w:pPr>
        <w:spacing w:before="0"/>
        <w:rPr>
          <w:sz w:val="22"/>
          <w:szCs w:val="22"/>
        </w:rPr>
      </w:pPr>
      <w:r w:rsidRPr="005A55CA">
        <w:rPr>
          <w:sz w:val="22"/>
          <w:szCs w:val="22"/>
        </w:rPr>
        <w:t xml:space="preserve"> </w:t>
      </w:r>
    </w:p>
    <w:p w14:paraId="4DF74FB5" w14:textId="77777777" w:rsidR="003057ED" w:rsidRPr="00DB2AE2" w:rsidRDefault="003057ED" w:rsidP="003057ED">
      <w:pPr>
        <w:spacing w:before="0"/>
        <w:rPr>
          <w:sz w:val="22"/>
          <w:szCs w:val="22"/>
        </w:rPr>
      </w:pPr>
      <w:r>
        <w:rPr>
          <w:b/>
          <w:sz w:val="22"/>
          <w:szCs w:val="22"/>
        </w:rPr>
        <w:t xml:space="preserve">Lõigetes 3–6 </w:t>
      </w:r>
      <w:r>
        <w:rPr>
          <w:sz w:val="22"/>
          <w:szCs w:val="22"/>
        </w:rPr>
        <w:t>on sedastatud Finantsinspektsiooni õigused ja kohustused varade kasutamise või käsutamise keelu või piirangu seadmise ning teostamisele.</w:t>
      </w:r>
    </w:p>
    <w:p w14:paraId="23B9B968" w14:textId="77777777" w:rsidR="003057ED" w:rsidRPr="005A55CA" w:rsidRDefault="003057ED" w:rsidP="003057ED">
      <w:pPr>
        <w:spacing w:before="0"/>
        <w:rPr>
          <w:sz w:val="22"/>
          <w:szCs w:val="22"/>
        </w:rPr>
      </w:pPr>
    </w:p>
    <w:p w14:paraId="270A9EC7" w14:textId="77777777" w:rsidR="003057ED" w:rsidRPr="005A55CA" w:rsidRDefault="003057ED" w:rsidP="003057ED">
      <w:pPr>
        <w:spacing w:before="0"/>
        <w:rPr>
          <w:b/>
          <w:bCs/>
          <w:sz w:val="22"/>
          <w:szCs w:val="22"/>
        </w:rPr>
      </w:pPr>
      <w:r w:rsidRPr="005A55CA">
        <w:rPr>
          <w:b/>
          <w:bCs/>
          <w:sz w:val="22"/>
          <w:szCs w:val="22"/>
        </w:rPr>
        <w:t>Paragrahv 9</w:t>
      </w:r>
      <w:r>
        <w:rPr>
          <w:b/>
          <w:bCs/>
          <w:sz w:val="22"/>
          <w:szCs w:val="22"/>
        </w:rPr>
        <w:t>7</w:t>
      </w:r>
      <w:r>
        <w:rPr>
          <w:bCs/>
          <w:sz w:val="22"/>
          <w:szCs w:val="22"/>
        </w:rPr>
        <w:t xml:space="preserve"> sätestatakse nõuded j</w:t>
      </w:r>
      <w:r w:rsidRPr="005A55CA">
        <w:rPr>
          <w:bCs/>
          <w:sz w:val="22"/>
          <w:szCs w:val="22"/>
        </w:rPr>
        <w:t>uhtimisorganite kokkukutsumi</w:t>
      </w:r>
      <w:r>
        <w:rPr>
          <w:bCs/>
          <w:sz w:val="22"/>
          <w:szCs w:val="22"/>
        </w:rPr>
        <w:t>sele</w:t>
      </w:r>
      <w:r w:rsidRPr="005A55CA">
        <w:rPr>
          <w:bCs/>
          <w:sz w:val="22"/>
          <w:szCs w:val="22"/>
        </w:rPr>
        <w:t xml:space="preserve"> ja juhtimisorgani otsuse kehtetuks tunnistami</w:t>
      </w:r>
      <w:r>
        <w:rPr>
          <w:bCs/>
          <w:sz w:val="22"/>
          <w:szCs w:val="22"/>
        </w:rPr>
        <w:t xml:space="preserve">sele </w:t>
      </w:r>
      <w:r w:rsidRPr="005A55CA">
        <w:rPr>
          <w:bCs/>
          <w:sz w:val="22"/>
          <w:szCs w:val="22"/>
        </w:rPr>
        <w:t>Finantsinspektsiooni taotlusel.</w:t>
      </w:r>
    </w:p>
    <w:p w14:paraId="5D7A0385" w14:textId="77777777" w:rsidR="003057ED" w:rsidRPr="005A55CA" w:rsidRDefault="003057ED" w:rsidP="003057ED">
      <w:pPr>
        <w:spacing w:before="0"/>
        <w:rPr>
          <w:b/>
          <w:bCs/>
          <w:sz w:val="22"/>
          <w:szCs w:val="22"/>
        </w:rPr>
      </w:pPr>
    </w:p>
    <w:p w14:paraId="2CE5ED3E" w14:textId="77777777" w:rsidR="003057ED" w:rsidRPr="005A55CA" w:rsidRDefault="003057ED" w:rsidP="003057ED">
      <w:pPr>
        <w:spacing w:before="0"/>
        <w:ind w:right="-64"/>
        <w:rPr>
          <w:sz w:val="22"/>
          <w:szCs w:val="22"/>
        </w:rPr>
      </w:pPr>
      <w:r w:rsidRPr="005A55CA">
        <w:rPr>
          <w:b/>
          <w:sz w:val="22"/>
          <w:szCs w:val="22"/>
        </w:rPr>
        <w:t>Lõike 1</w:t>
      </w:r>
      <w:r w:rsidRPr="005A55CA">
        <w:rPr>
          <w:sz w:val="22"/>
          <w:szCs w:val="22"/>
        </w:rPr>
        <w:t xml:space="preserve"> kohaselt peab teenuseosutaja teavitama üldkoosoleku toimumisest Finantsinspektsiooni vähemalt kaks nädalat ette ja kui tegemist on erakorralise üldkoosoleku toimumisega, siis tuleks võimalusel teavitada üks nädal ette.</w:t>
      </w:r>
    </w:p>
    <w:p w14:paraId="0BCB3AE5" w14:textId="77777777" w:rsidR="003057ED" w:rsidRPr="005A55CA" w:rsidRDefault="003057ED" w:rsidP="003057ED">
      <w:pPr>
        <w:spacing w:before="0"/>
        <w:ind w:right="-64"/>
        <w:rPr>
          <w:sz w:val="22"/>
          <w:szCs w:val="22"/>
          <w:u w:val="single"/>
        </w:rPr>
      </w:pPr>
    </w:p>
    <w:p w14:paraId="0E9F0EBA" w14:textId="77777777" w:rsidR="003057ED" w:rsidRPr="00B64423" w:rsidRDefault="003057ED" w:rsidP="003057ED">
      <w:pPr>
        <w:rPr>
          <w:sz w:val="20"/>
          <w:szCs w:val="20"/>
        </w:rPr>
      </w:pPr>
      <w:r w:rsidRPr="005A55CA">
        <w:rPr>
          <w:b/>
          <w:sz w:val="22"/>
          <w:szCs w:val="22"/>
        </w:rPr>
        <w:t>Lõi</w:t>
      </w:r>
      <w:r>
        <w:rPr>
          <w:b/>
          <w:sz w:val="22"/>
          <w:szCs w:val="22"/>
        </w:rPr>
        <w:t>ge 2</w:t>
      </w:r>
      <w:r w:rsidRPr="00DC34DE">
        <w:rPr>
          <w:sz w:val="22"/>
          <w:szCs w:val="22"/>
        </w:rPr>
        <w:t xml:space="preserve"> sätestab, et </w:t>
      </w:r>
      <w:r w:rsidRPr="005A55CA">
        <w:rPr>
          <w:sz w:val="22"/>
          <w:szCs w:val="22"/>
        </w:rPr>
        <w:t>Finantsinspektsioon võib ettekirjutusega nõuda teenuseosutaja juhtimisorganite kokkukutsumist. Lisaks võib Finantsinspektsioon nõuda Finantsinspektsiooni arvamuse kohaselt vajaliku küsimuse päevakorda võtmiseks.</w:t>
      </w:r>
      <w:r w:rsidRPr="00730976">
        <w:rPr>
          <w:sz w:val="22"/>
          <w:szCs w:val="22"/>
        </w:rPr>
        <w:t xml:space="preserve"> Olukorras, kus võib juhtuda, et Finantsinspektsiooni ettekirjutust ei täideta ja/või seisk</w:t>
      </w:r>
      <w:r>
        <w:rPr>
          <w:sz w:val="22"/>
          <w:szCs w:val="22"/>
        </w:rPr>
        <w:t>a</w:t>
      </w:r>
      <w:r w:rsidRPr="00730976">
        <w:rPr>
          <w:sz w:val="22"/>
          <w:szCs w:val="22"/>
        </w:rPr>
        <w:t>b selle teatud ajaks (kas</w:t>
      </w:r>
      <w:r>
        <w:rPr>
          <w:sz w:val="22"/>
          <w:szCs w:val="22"/>
        </w:rPr>
        <w:t xml:space="preserve"> </w:t>
      </w:r>
      <w:r w:rsidRPr="00730976">
        <w:rPr>
          <w:sz w:val="22"/>
          <w:szCs w:val="22"/>
        </w:rPr>
        <w:t>või ajutiselt seisukoha küsimiseks) kohtumenetlus, võib tekkida risk, et teatud olulisi küsimusi ei saa üldkoosolekule otsustamisele panna. Lõike eesmärk on tagada, et Finantsinspektsioonil on õigus kokku kutsuda üldkoosolek ja määrata koosoleku päevakord, kui ei ole täidetud lõikes 1 nimetatud ettekirjutust.</w:t>
      </w:r>
    </w:p>
    <w:p w14:paraId="0704BD81" w14:textId="77777777" w:rsidR="003057ED" w:rsidRPr="005A55CA" w:rsidRDefault="003057ED" w:rsidP="003057ED">
      <w:pPr>
        <w:spacing w:before="0"/>
        <w:ind w:right="-64"/>
        <w:rPr>
          <w:sz w:val="22"/>
          <w:szCs w:val="22"/>
          <w:u w:val="single"/>
        </w:rPr>
      </w:pPr>
    </w:p>
    <w:p w14:paraId="5BE6BFB9" w14:textId="77777777" w:rsidR="003057ED" w:rsidRPr="005A55CA" w:rsidRDefault="003057ED" w:rsidP="003057ED">
      <w:pPr>
        <w:spacing w:before="0"/>
        <w:ind w:right="-62"/>
        <w:rPr>
          <w:sz w:val="22"/>
          <w:szCs w:val="22"/>
        </w:rPr>
      </w:pPr>
      <w:r w:rsidRPr="005A55CA">
        <w:rPr>
          <w:b/>
          <w:sz w:val="22"/>
          <w:szCs w:val="22"/>
        </w:rPr>
        <w:t>Lõige 3</w:t>
      </w:r>
      <w:r>
        <w:rPr>
          <w:b/>
          <w:sz w:val="22"/>
          <w:szCs w:val="22"/>
        </w:rPr>
        <w:t xml:space="preserve"> </w:t>
      </w:r>
      <w:r w:rsidRPr="00DC34DE">
        <w:rPr>
          <w:sz w:val="22"/>
          <w:szCs w:val="22"/>
        </w:rPr>
        <w:t>annab</w:t>
      </w:r>
      <w:r>
        <w:rPr>
          <w:sz w:val="22"/>
          <w:szCs w:val="22"/>
        </w:rPr>
        <w:t xml:space="preserve"> </w:t>
      </w:r>
      <w:r w:rsidRPr="005A55CA">
        <w:rPr>
          <w:sz w:val="22"/>
          <w:szCs w:val="22"/>
        </w:rPr>
        <w:t>Finantsinspektsioon</w:t>
      </w:r>
      <w:r>
        <w:rPr>
          <w:sz w:val="22"/>
          <w:szCs w:val="22"/>
        </w:rPr>
        <w:t>ile õiguse ilma</w:t>
      </w:r>
      <w:r w:rsidRPr="005A55CA">
        <w:rPr>
          <w:sz w:val="22"/>
          <w:szCs w:val="22"/>
        </w:rPr>
        <w:t xml:space="preserve"> ette teatamiseta koosolekul osaleda. Finantsinspektsiooni esindajal on õigus koosolekul esitada oma seisukohti, teha ettepanekuid ja nõuda nende kandmist koosoleku protokolli.</w:t>
      </w:r>
      <w:r w:rsidRPr="00730976">
        <w:rPr>
          <w:sz w:val="20"/>
          <w:szCs w:val="20"/>
        </w:rPr>
        <w:t xml:space="preserve"> </w:t>
      </w:r>
      <w:r w:rsidRPr="00730976">
        <w:rPr>
          <w:sz w:val="22"/>
          <w:szCs w:val="22"/>
        </w:rPr>
        <w:t>Samasisuline säte on kehtestatud täna kõigis teistes kehtivates finantssektori ettevõtjate tegevust reguleerivates eriseadustes. Järelevalve mandaat on arvestada finantsteenuste osutajate klientide huvidega ning äärmuslikel juhtudel võib olla vajalik, et F</w:t>
      </w:r>
      <w:r>
        <w:rPr>
          <w:sz w:val="22"/>
          <w:szCs w:val="22"/>
        </w:rPr>
        <w:t>inantsinspektsiooni</w:t>
      </w:r>
      <w:r w:rsidRPr="00730976">
        <w:rPr>
          <w:sz w:val="22"/>
          <w:szCs w:val="22"/>
        </w:rPr>
        <w:t xml:space="preserve"> esindajad saaksid teenuseosutaja juhtorganite liikmete koosolekule oma esindajaid.</w:t>
      </w:r>
    </w:p>
    <w:p w14:paraId="3E560F72" w14:textId="77777777" w:rsidR="003057ED" w:rsidRPr="005A55CA" w:rsidRDefault="003057ED" w:rsidP="003057ED">
      <w:pPr>
        <w:spacing w:before="0"/>
        <w:ind w:right="-64"/>
        <w:rPr>
          <w:sz w:val="22"/>
          <w:szCs w:val="22"/>
          <w:highlight w:val="yellow"/>
          <w:u w:val="single"/>
        </w:rPr>
      </w:pPr>
    </w:p>
    <w:p w14:paraId="069B7032" w14:textId="77777777" w:rsidR="003057ED" w:rsidRPr="005A55CA" w:rsidRDefault="003057ED" w:rsidP="003057ED">
      <w:pPr>
        <w:spacing w:before="0"/>
        <w:ind w:right="-64"/>
        <w:rPr>
          <w:sz w:val="22"/>
          <w:szCs w:val="22"/>
        </w:rPr>
      </w:pPr>
      <w:r w:rsidRPr="005A55CA">
        <w:rPr>
          <w:b/>
          <w:sz w:val="22"/>
          <w:szCs w:val="22"/>
        </w:rPr>
        <w:t xml:space="preserve">Lõikega </w:t>
      </w:r>
      <w:r>
        <w:rPr>
          <w:b/>
          <w:sz w:val="22"/>
          <w:szCs w:val="22"/>
        </w:rPr>
        <w:t>4</w:t>
      </w:r>
      <w:r w:rsidRPr="005A55CA">
        <w:rPr>
          <w:sz w:val="22"/>
          <w:szCs w:val="22"/>
        </w:rPr>
        <w:t xml:space="preserve"> sätestatakse riikliku finantsjärelevalve raames rakendatav abinõu, mille eesmärk on tagada </w:t>
      </w:r>
      <w:r>
        <w:rPr>
          <w:sz w:val="22"/>
          <w:szCs w:val="22"/>
        </w:rPr>
        <w:t>F</w:t>
      </w:r>
      <w:r w:rsidRPr="005A55CA">
        <w:rPr>
          <w:sz w:val="22"/>
          <w:szCs w:val="22"/>
        </w:rPr>
        <w:t>inantsinspektsiooni seaduse § 3 lõikes 1 nimetatud avalikud huvid. Avalikule võimule on antud õigus sekkuda teenuseosutaja juhtimisotsustesse, mida kohus saab rakendada üksnes Finantsinspektsiooni taotluse alusel.</w:t>
      </w:r>
    </w:p>
    <w:p w14:paraId="142BD13C" w14:textId="77777777" w:rsidR="003057ED" w:rsidRPr="005A55CA" w:rsidRDefault="003057ED" w:rsidP="003057ED">
      <w:pPr>
        <w:spacing w:before="0"/>
        <w:rPr>
          <w:b/>
          <w:bCs/>
          <w:sz w:val="22"/>
          <w:szCs w:val="22"/>
        </w:rPr>
      </w:pPr>
    </w:p>
    <w:p w14:paraId="70069E92" w14:textId="77777777" w:rsidR="003057ED" w:rsidRDefault="003057ED" w:rsidP="003057ED">
      <w:pPr>
        <w:spacing w:before="0"/>
        <w:rPr>
          <w:bCs/>
          <w:sz w:val="22"/>
          <w:szCs w:val="22"/>
        </w:rPr>
      </w:pPr>
      <w:r w:rsidRPr="005A55CA">
        <w:rPr>
          <w:b/>
          <w:bCs/>
          <w:sz w:val="22"/>
          <w:szCs w:val="22"/>
        </w:rPr>
        <w:t>Paragrahv 9</w:t>
      </w:r>
      <w:r>
        <w:rPr>
          <w:b/>
          <w:bCs/>
          <w:sz w:val="22"/>
          <w:szCs w:val="22"/>
        </w:rPr>
        <w:t>8</w:t>
      </w:r>
      <w:r w:rsidRPr="005A55CA">
        <w:rPr>
          <w:b/>
          <w:bCs/>
          <w:sz w:val="22"/>
          <w:szCs w:val="22"/>
        </w:rPr>
        <w:t xml:space="preserve">. </w:t>
      </w:r>
      <w:r w:rsidRPr="005A55CA">
        <w:rPr>
          <w:bCs/>
          <w:sz w:val="22"/>
          <w:szCs w:val="22"/>
        </w:rPr>
        <w:t xml:space="preserve">Finantsinspektsioonile antakse õigus rakendada teenuseosutaja suhtes ettekirjutuste täitmata jätmise või mittekohase täitmise korral sunniraha. Rakendatavad sunniraha määrad peaksid </w:t>
      </w:r>
      <w:r>
        <w:rPr>
          <w:bCs/>
          <w:sz w:val="22"/>
          <w:szCs w:val="22"/>
        </w:rPr>
        <w:t>sundima ettekirjutusega kohustust täitma</w:t>
      </w:r>
      <w:r w:rsidRPr="005A55CA">
        <w:rPr>
          <w:bCs/>
          <w:sz w:val="22"/>
          <w:szCs w:val="22"/>
        </w:rPr>
        <w:t xml:space="preserve">. Haldusakti täitmata jätmise või ebakohase täitmise korral on sunniraha ülemmäär füüsilise isiku puhul esimesel korral kuni 5000 eurot ja järgmistel kordadel kuni 50 000 eurot ühe ja sama kohustuse täitmisele sundimiseks, kuid kokku mitte rohkem kui 5 000 000 eurot </w:t>
      </w:r>
      <w:r w:rsidRPr="005A55CA">
        <w:rPr>
          <w:bCs/>
          <w:sz w:val="22"/>
          <w:szCs w:val="22"/>
        </w:rPr>
        <w:lastRenderedPageBreak/>
        <w:t>ning juriidilise isiku puhul kuni 32 000 eurot ja järgmistel kordadel kokku kuni 100 000 eurot ühe ja sama kohustuse täitmisele sundimiseks, kuid kokku mitte rohkem kui 10% kogu aastasest netokäibest.</w:t>
      </w:r>
    </w:p>
    <w:p w14:paraId="48FE3496" w14:textId="77777777" w:rsidR="003057ED" w:rsidRDefault="003057ED" w:rsidP="003057ED">
      <w:pPr>
        <w:spacing w:before="0"/>
        <w:rPr>
          <w:bCs/>
          <w:sz w:val="22"/>
          <w:szCs w:val="22"/>
        </w:rPr>
      </w:pPr>
    </w:p>
    <w:p w14:paraId="5B34278C" w14:textId="77777777" w:rsidR="003057ED" w:rsidRPr="0061680E" w:rsidRDefault="003057ED" w:rsidP="003057ED">
      <w:pPr>
        <w:spacing w:before="0"/>
        <w:rPr>
          <w:bCs/>
          <w:sz w:val="22"/>
          <w:szCs w:val="22"/>
        </w:rPr>
      </w:pPr>
      <w:r>
        <w:rPr>
          <w:bCs/>
          <w:sz w:val="22"/>
          <w:szCs w:val="22"/>
        </w:rPr>
        <w:t>Halduskaristusena ja muude mittekaristuslike meetmetena (</w:t>
      </w:r>
      <w:proofErr w:type="spellStart"/>
      <w:r w:rsidRPr="00AB6ED4">
        <w:rPr>
          <w:bCs/>
          <w:i/>
          <w:sz w:val="22"/>
          <w:szCs w:val="22"/>
        </w:rPr>
        <w:t>administrative</w:t>
      </w:r>
      <w:proofErr w:type="spellEnd"/>
      <w:r w:rsidRPr="00AB6ED4">
        <w:rPr>
          <w:bCs/>
          <w:i/>
          <w:sz w:val="22"/>
          <w:szCs w:val="22"/>
        </w:rPr>
        <w:t xml:space="preserve"> </w:t>
      </w:r>
      <w:proofErr w:type="spellStart"/>
      <w:r w:rsidRPr="00AB6ED4">
        <w:rPr>
          <w:bCs/>
          <w:i/>
          <w:sz w:val="22"/>
          <w:szCs w:val="22"/>
        </w:rPr>
        <w:t>penalties</w:t>
      </w:r>
      <w:proofErr w:type="spellEnd"/>
      <w:r w:rsidRPr="00AB6ED4">
        <w:rPr>
          <w:bCs/>
          <w:i/>
          <w:sz w:val="22"/>
          <w:szCs w:val="22"/>
        </w:rPr>
        <w:t xml:space="preserve"> and </w:t>
      </w:r>
      <w:proofErr w:type="spellStart"/>
      <w:r w:rsidRPr="00AB6ED4">
        <w:rPr>
          <w:bCs/>
          <w:i/>
          <w:sz w:val="22"/>
          <w:szCs w:val="22"/>
        </w:rPr>
        <w:t>other</w:t>
      </w:r>
      <w:proofErr w:type="spellEnd"/>
      <w:r w:rsidRPr="00AB6ED4">
        <w:rPr>
          <w:bCs/>
          <w:i/>
          <w:sz w:val="22"/>
          <w:szCs w:val="22"/>
        </w:rPr>
        <w:t xml:space="preserve"> </w:t>
      </w:r>
      <w:proofErr w:type="spellStart"/>
      <w:r w:rsidRPr="00AB6ED4">
        <w:rPr>
          <w:bCs/>
          <w:i/>
          <w:sz w:val="22"/>
          <w:szCs w:val="22"/>
        </w:rPr>
        <w:t>administrative</w:t>
      </w:r>
      <w:proofErr w:type="spellEnd"/>
      <w:r w:rsidRPr="00AB6ED4">
        <w:rPr>
          <w:bCs/>
          <w:i/>
          <w:sz w:val="22"/>
          <w:szCs w:val="22"/>
        </w:rPr>
        <w:t xml:space="preserve"> </w:t>
      </w:r>
      <w:proofErr w:type="spellStart"/>
      <w:r w:rsidRPr="00AB6ED4">
        <w:rPr>
          <w:bCs/>
          <w:i/>
          <w:sz w:val="22"/>
          <w:szCs w:val="22"/>
        </w:rPr>
        <w:t>measures</w:t>
      </w:r>
      <w:proofErr w:type="spellEnd"/>
      <w:r>
        <w:rPr>
          <w:bCs/>
          <w:sz w:val="22"/>
          <w:szCs w:val="22"/>
        </w:rPr>
        <w:t xml:space="preserve">) näeb EL </w:t>
      </w:r>
      <w:proofErr w:type="spellStart"/>
      <w:r>
        <w:rPr>
          <w:bCs/>
          <w:sz w:val="22"/>
          <w:szCs w:val="22"/>
        </w:rPr>
        <w:t>ühisrahastusmääruse</w:t>
      </w:r>
      <w:proofErr w:type="spellEnd"/>
      <w:r w:rsidRPr="007C1B33">
        <w:rPr>
          <w:b/>
          <w:bCs/>
          <w:sz w:val="22"/>
          <w:szCs w:val="22"/>
        </w:rPr>
        <w:t xml:space="preserve"> </w:t>
      </w:r>
      <w:r>
        <w:rPr>
          <w:bCs/>
          <w:sz w:val="22"/>
          <w:szCs w:val="22"/>
        </w:rPr>
        <w:t xml:space="preserve">ette mitmeid meetmeid. Selle artikli 39 lõike 2 punktiga d nähakse ette järelevalve õigus määrata maksimaalne haldustrahv, mis on </w:t>
      </w:r>
      <w:r w:rsidRPr="00D904A9">
        <w:rPr>
          <w:bCs/>
          <w:sz w:val="22"/>
          <w:szCs w:val="22"/>
        </w:rPr>
        <w:t xml:space="preserve">vähemalt sama suur kui kahekordne kasu, mis saadi õigusrikkumise tulemusel, mille puhul on võimalik kasu kindlaks määrata, isegi kui see ületab </w:t>
      </w:r>
      <w:r>
        <w:rPr>
          <w:bCs/>
          <w:sz w:val="22"/>
          <w:szCs w:val="22"/>
        </w:rPr>
        <w:t xml:space="preserve">EL </w:t>
      </w:r>
      <w:proofErr w:type="spellStart"/>
      <w:r>
        <w:rPr>
          <w:bCs/>
          <w:sz w:val="22"/>
          <w:szCs w:val="22"/>
        </w:rPr>
        <w:t>ühisrahastusmääruse</w:t>
      </w:r>
      <w:proofErr w:type="spellEnd"/>
      <w:r>
        <w:rPr>
          <w:bCs/>
          <w:sz w:val="22"/>
          <w:szCs w:val="22"/>
        </w:rPr>
        <w:t xml:space="preserve"> artikli 39 lõike 2 </w:t>
      </w:r>
      <w:r w:rsidRPr="00D904A9">
        <w:rPr>
          <w:bCs/>
          <w:sz w:val="22"/>
          <w:szCs w:val="22"/>
        </w:rPr>
        <w:t>punktis e sätestatud maksimumsummasid</w:t>
      </w:r>
      <w:r>
        <w:rPr>
          <w:bCs/>
          <w:sz w:val="22"/>
          <w:szCs w:val="22"/>
        </w:rPr>
        <w:t xml:space="preserve"> (see on 500 000 eurot). Määruse artikli 39 lõike 2 punktiga e nähakse ette, et </w:t>
      </w:r>
      <w:r w:rsidRPr="00D904A9">
        <w:rPr>
          <w:bCs/>
          <w:sz w:val="22"/>
          <w:szCs w:val="22"/>
        </w:rPr>
        <w:t xml:space="preserve">juriidilise isiku puhul </w:t>
      </w:r>
      <w:r>
        <w:rPr>
          <w:bCs/>
          <w:sz w:val="22"/>
          <w:szCs w:val="22"/>
        </w:rPr>
        <w:t xml:space="preserve">on </w:t>
      </w:r>
      <w:r w:rsidRPr="00D904A9">
        <w:rPr>
          <w:bCs/>
          <w:sz w:val="22"/>
          <w:szCs w:val="22"/>
        </w:rPr>
        <w:t>maksimaalne haldustrahv vähemalt 500 000 eurot või kuni 5 % selle juriidilise isiku aastasest kogukäibest vastavalt kõige värskemale finantsaruandele, mille juhtorgan on kinnitanud. Kui juriidiline isik on emaettevõtja või selle emaettevõtja tütarettevõtja, kes peab koostama konsolideeritud finantsaruandeid vastavalt Euroopa Parlamendi ja nõukogu direktiivile 2013/34/EL</w:t>
      </w:r>
      <w:r w:rsidRPr="00C95F0D">
        <w:rPr>
          <w:sz w:val="22"/>
          <w:szCs w:val="22"/>
          <w:vertAlign w:val="superscript"/>
        </w:rPr>
        <w:footnoteReference w:id="56"/>
      </w:r>
      <w:r w:rsidRPr="00D904A9">
        <w:rPr>
          <w:b/>
          <w:bCs/>
          <w:sz w:val="22"/>
          <w:szCs w:val="22"/>
        </w:rPr>
        <w:t>,</w:t>
      </w:r>
      <w:r w:rsidRPr="00D904A9">
        <w:rPr>
          <w:bCs/>
          <w:sz w:val="22"/>
          <w:szCs w:val="22"/>
        </w:rPr>
        <w:t> siis on asjakohane aastane kogukäive vastavalt liidu asjakohastele raamatupidamisalastele õigusaktidele aastane kogukäive või vastav tululiik viimase kättesaadava konsolideeritud finantsaruande järgi, mille on kinnitanud kõrgeima tasandi emaettevõtja juhtorgan</w:t>
      </w:r>
      <w:r>
        <w:rPr>
          <w:bCs/>
          <w:sz w:val="22"/>
          <w:szCs w:val="22"/>
        </w:rPr>
        <w:t xml:space="preserve">. Lisaks näeb viidatud sätte punkt f ette haldustrahvi ka füüsilisele isikule. Selle kohaselt on </w:t>
      </w:r>
      <w:r w:rsidRPr="00D904A9">
        <w:rPr>
          <w:bCs/>
          <w:sz w:val="22"/>
          <w:szCs w:val="22"/>
        </w:rPr>
        <w:t xml:space="preserve">füüsilise isiku puhul </w:t>
      </w:r>
      <w:r>
        <w:rPr>
          <w:bCs/>
          <w:sz w:val="22"/>
          <w:szCs w:val="22"/>
        </w:rPr>
        <w:t xml:space="preserve">kohaldatav </w:t>
      </w:r>
      <w:r w:rsidRPr="00D904A9">
        <w:rPr>
          <w:bCs/>
          <w:sz w:val="22"/>
          <w:szCs w:val="22"/>
        </w:rPr>
        <w:t>maksimaalne haldustrahv vähemalt 500 000 eurot.</w:t>
      </w:r>
      <w:r>
        <w:rPr>
          <w:bCs/>
          <w:sz w:val="22"/>
          <w:szCs w:val="22"/>
        </w:rPr>
        <w:t xml:space="preserve"> Paragrahvis 98 nimetatud normid on sätestatud ka teistele finantssektori ettevõtjatele, sealhulgas krediidiasutustele (KAS § 104</w:t>
      </w:r>
      <w:r>
        <w:rPr>
          <w:bCs/>
          <w:sz w:val="22"/>
          <w:szCs w:val="22"/>
          <w:vertAlign w:val="superscript"/>
        </w:rPr>
        <w:t>1</w:t>
      </w:r>
      <w:r>
        <w:rPr>
          <w:bCs/>
          <w:sz w:val="22"/>
          <w:szCs w:val="22"/>
        </w:rPr>
        <w:t>) ja investeerimisühingutele (VPTS § 234</w:t>
      </w:r>
      <w:r>
        <w:rPr>
          <w:bCs/>
          <w:sz w:val="22"/>
          <w:szCs w:val="22"/>
          <w:vertAlign w:val="superscript"/>
        </w:rPr>
        <w:t>1</w:t>
      </w:r>
      <w:r>
        <w:rPr>
          <w:bCs/>
          <w:sz w:val="22"/>
          <w:szCs w:val="22"/>
        </w:rPr>
        <w:t>).</w:t>
      </w:r>
    </w:p>
    <w:p w14:paraId="5030A228" w14:textId="6751030E" w:rsidR="00CB748D" w:rsidRPr="005A55CA" w:rsidRDefault="00CB748D" w:rsidP="00D375E5">
      <w:pPr>
        <w:spacing w:before="0"/>
        <w:rPr>
          <w:sz w:val="22"/>
          <w:szCs w:val="22"/>
        </w:rPr>
      </w:pPr>
      <w:bookmarkStart w:id="5" w:name="para73"/>
      <w:bookmarkEnd w:id="5"/>
    </w:p>
    <w:p w14:paraId="373918B0" w14:textId="77777777" w:rsidR="003057ED" w:rsidRPr="00D07B6C" w:rsidRDefault="003057ED" w:rsidP="003057ED">
      <w:pPr>
        <w:spacing w:before="0"/>
        <w:ind w:right="-83"/>
        <w:rPr>
          <w:bCs/>
          <w:sz w:val="22"/>
          <w:szCs w:val="22"/>
        </w:rPr>
      </w:pPr>
      <w:bookmarkStart w:id="6" w:name="_Toc48637194"/>
      <w:bookmarkStart w:id="7" w:name="_Toc55577740"/>
      <w:r w:rsidRPr="00D07B6C">
        <w:rPr>
          <w:b/>
          <w:bCs/>
          <w:sz w:val="22"/>
          <w:szCs w:val="22"/>
        </w:rPr>
        <w:t xml:space="preserve">12. peatükk </w:t>
      </w:r>
      <w:r w:rsidRPr="00D07B6C">
        <w:rPr>
          <w:bCs/>
          <w:sz w:val="22"/>
          <w:szCs w:val="22"/>
        </w:rPr>
        <w:t xml:space="preserve">sätestab vastutusega seotud normid. </w:t>
      </w:r>
    </w:p>
    <w:p w14:paraId="2474E005" w14:textId="77777777" w:rsidR="003057ED" w:rsidRPr="00D07B6C" w:rsidRDefault="003057ED" w:rsidP="003057ED">
      <w:pPr>
        <w:spacing w:before="0"/>
        <w:ind w:right="-83"/>
        <w:rPr>
          <w:bCs/>
          <w:sz w:val="22"/>
          <w:szCs w:val="22"/>
        </w:rPr>
      </w:pPr>
    </w:p>
    <w:p w14:paraId="32C2EF9E" w14:textId="0EA44FEB" w:rsidR="003057ED" w:rsidRDefault="003057ED" w:rsidP="003057ED">
      <w:pPr>
        <w:spacing w:before="0"/>
        <w:ind w:right="-83"/>
        <w:rPr>
          <w:bCs/>
          <w:sz w:val="22"/>
          <w:szCs w:val="22"/>
        </w:rPr>
      </w:pPr>
      <w:r w:rsidRPr="00D07B6C">
        <w:rPr>
          <w:bCs/>
          <w:sz w:val="22"/>
          <w:szCs w:val="22"/>
        </w:rPr>
        <w:t>Viidatud peatükk käsitleb Finantsinspektsiooni määratavaid võimalikke sanktsioone eelnõus sätestatud rikkumiste eest. Selleks, et tagada õigusaktide tõhus jõustamine, tuleb kehtestada asjakohased menetlused nende teenuseosutajate suhtes, kes ei täida reguleerivaid õigusakte. Üldine põhimõte on, et karistused peavad olema tõhusad, proportsionaalsed ja hoiatavad. Väärteokoosseisude määramisel on aluseks võetud teistes finantssektori</w:t>
      </w:r>
      <w:r w:rsidR="005D02CF">
        <w:rPr>
          <w:bCs/>
          <w:sz w:val="22"/>
          <w:szCs w:val="22"/>
        </w:rPr>
        <w:t xml:space="preserve"> </w:t>
      </w:r>
      <w:r w:rsidRPr="00D07B6C">
        <w:rPr>
          <w:bCs/>
          <w:sz w:val="22"/>
          <w:szCs w:val="22"/>
        </w:rPr>
        <w:t>seadustes ette nähtud koosseisud ja rahatrahvi suurused (300 trahviühikut või juriidilise isiku korral kuni 400 000 eurot).</w:t>
      </w:r>
    </w:p>
    <w:p w14:paraId="7B6F4508" w14:textId="77777777" w:rsidR="003057ED" w:rsidRPr="00D07B6C" w:rsidRDefault="003057ED" w:rsidP="003057ED">
      <w:pPr>
        <w:spacing w:before="0"/>
        <w:ind w:right="-83"/>
        <w:rPr>
          <w:bCs/>
          <w:sz w:val="22"/>
          <w:szCs w:val="22"/>
        </w:rPr>
      </w:pPr>
    </w:p>
    <w:p w14:paraId="76B82C6E" w14:textId="77777777" w:rsidR="003057ED" w:rsidRDefault="003057ED" w:rsidP="003057ED">
      <w:pPr>
        <w:spacing w:before="0"/>
        <w:rPr>
          <w:sz w:val="22"/>
          <w:szCs w:val="22"/>
        </w:rPr>
      </w:pPr>
      <w:r w:rsidRPr="00D07B6C">
        <w:rPr>
          <w:sz w:val="22"/>
          <w:szCs w:val="22"/>
        </w:rPr>
        <w:t xml:space="preserve">Finantsjärelevalve prioriteet on riskihinnangute alusel konkreetse ohu tõrjumine. Üldjuhul on Finantsinspektsioonil võimalik õiguskorda kaitsta ettekirjutuse tegemise teel, mille mittetäitmisel on õigus rakendada sunniraha. Sellest lähtekohast võetuna ei peaks väärteokoosseisud iseenesest nagu vajalikud olema. Sellisel lähenemisel finantssektori jaoks on siiski aga mitu olulist puudust. </w:t>
      </w:r>
    </w:p>
    <w:p w14:paraId="128D60CA" w14:textId="77777777" w:rsidR="003057ED" w:rsidRPr="00D07B6C" w:rsidRDefault="003057ED" w:rsidP="003057ED">
      <w:pPr>
        <w:spacing w:before="0"/>
        <w:rPr>
          <w:sz w:val="22"/>
          <w:szCs w:val="22"/>
        </w:rPr>
      </w:pPr>
    </w:p>
    <w:p w14:paraId="54C6DD5A" w14:textId="582A6E0B" w:rsidR="003057ED" w:rsidRDefault="003057ED" w:rsidP="003057ED">
      <w:pPr>
        <w:spacing w:before="0"/>
        <w:rPr>
          <w:sz w:val="22"/>
          <w:szCs w:val="22"/>
        </w:rPr>
      </w:pPr>
      <w:r w:rsidRPr="00D07B6C">
        <w:rPr>
          <w:sz w:val="22"/>
          <w:szCs w:val="22"/>
        </w:rPr>
        <w:t>Esiteks</w:t>
      </w:r>
      <w:r w:rsidR="005D02CF">
        <w:rPr>
          <w:sz w:val="22"/>
          <w:szCs w:val="22"/>
        </w:rPr>
        <w:t>,</w:t>
      </w:r>
      <w:r w:rsidRPr="00D07B6C">
        <w:rPr>
          <w:sz w:val="22"/>
          <w:szCs w:val="22"/>
        </w:rPr>
        <w:t xml:space="preserve"> rikkuja suhtes rakendatava meetme </w:t>
      </w:r>
      <w:proofErr w:type="spellStart"/>
      <w:r w:rsidRPr="00D07B6C">
        <w:rPr>
          <w:sz w:val="22"/>
          <w:szCs w:val="22"/>
        </w:rPr>
        <w:t>heidutavuse</w:t>
      </w:r>
      <w:proofErr w:type="spellEnd"/>
      <w:r w:rsidRPr="00D07B6C">
        <w:rPr>
          <w:sz w:val="22"/>
          <w:szCs w:val="22"/>
        </w:rPr>
        <w:t xml:space="preserve"> juures hinnatakse sunni või karistuse mõju selle isiku või teiste isikute käitumise muutuse esile kutsumisele (mõjusust), kuid eelpool toodud lähenemise mõjusus ei ole finantsvaldkonnas piisav. Sellise lahenduse </w:t>
      </w:r>
      <w:proofErr w:type="spellStart"/>
      <w:r w:rsidRPr="00D07B6C">
        <w:rPr>
          <w:sz w:val="22"/>
          <w:szCs w:val="22"/>
        </w:rPr>
        <w:t>üld</w:t>
      </w:r>
      <w:proofErr w:type="spellEnd"/>
      <w:r w:rsidRPr="00D07B6C">
        <w:rPr>
          <w:sz w:val="22"/>
          <w:szCs w:val="22"/>
        </w:rPr>
        <w:t xml:space="preserve">- ja eripreventiivne eesmärk ei ole selge. Eelkõige jääb vajaka </w:t>
      </w:r>
      <w:proofErr w:type="spellStart"/>
      <w:r w:rsidRPr="00D07B6C">
        <w:rPr>
          <w:sz w:val="22"/>
          <w:szCs w:val="22"/>
        </w:rPr>
        <w:t>üldpreventsiooni</w:t>
      </w:r>
      <w:proofErr w:type="spellEnd"/>
      <w:r w:rsidRPr="00D07B6C">
        <w:rPr>
          <w:sz w:val="22"/>
          <w:szCs w:val="22"/>
        </w:rPr>
        <w:t xml:space="preserve"> positiivne eesmärk, kuna õiguskord ei annaks avalikkusele selget märki õigusrikkumise </w:t>
      </w:r>
      <w:proofErr w:type="spellStart"/>
      <w:r w:rsidRPr="00D07B6C">
        <w:rPr>
          <w:sz w:val="22"/>
          <w:szCs w:val="22"/>
        </w:rPr>
        <w:t>hukkamõistetavuse</w:t>
      </w:r>
      <w:proofErr w:type="spellEnd"/>
      <w:r w:rsidRPr="00D07B6C">
        <w:rPr>
          <w:sz w:val="22"/>
          <w:szCs w:val="22"/>
        </w:rPr>
        <w:t xml:space="preserve"> kohta. Sunniraha meede võimaldab finantsjärelevalve subjektidel nõudeid rikkuda, teades, et nõuete rikkumisele võib järgneda vaid ettekirjutus, s.t ettekirjutuse täitmisel ei ole neil vaja karta rahalist karistust. Kehtiv õigus ei võimalda arvestada sunniraha perioodiliselt kasvava summana. </w:t>
      </w:r>
    </w:p>
    <w:p w14:paraId="6C26B9D5" w14:textId="77777777" w:rsidR="003057ED" w:rsidRPr="00D07B6C" w:rsidRDefault="003057ED" w:rsidP="003057ED">
      <w:pPr>
        <w:spacing w:before="0"/>
        <w:rPr>
          <w:sz w:val="22"/>
          <w:szCs w:val="22"/>
        </w:rPr>
      </w:pPr>
    </w:p>
    <w:p w14:paraId="24B40F0D" w14:textId="7FB0307B" w:rsidR="003057ED" w:rsidRDefault="003057ED" w:rsidP="003057ED">
      <w:pPr>
        <w:spacing w:before="0"/>
        <w:rPr>
          <w:sz w:val="22"/>
          <w:szCs w:val="22"/>
        </w:rPr>
      </w:pPr>
      <w:r w:rsidRPr="00D07B6C">
        <w:rPr>
          <w:sz w:val="22"/>
          <w:szCs w:val="22"/>
        </w:rPr>
        <w:t xml:space="preserve">Teiseks, avalikkusele suunatud investeerimisprojektide puhul, võib iga nõude rikkumisega kaasneda oluline kahju avalikkusele, eelkõige </w:t>
      </w:r>
      <w:r w:rsidR="004A5F19">
        <w:rPr>
          <w:sz w:val="22"/>
          <w:szCs w:val="22"/>
        </w:rPr>
        <w:t>klientidele</w:t>
      </w:r>
      <w:r w:rsidRPr="00D07B6C">
        <w:rPr>
          <w:sz w:val="22"/>
          <w:szCs w:val="22"/>
        </w:rPr>
        <w:t xml:space="preserve">. Ettekirjutuse ja sunnirahaga on võimalik nõuda seaduskuulekat käitumist ja kõrvaldada eelkõige selliseid rikkumisi, mille tagajärjed ei avalda mõju kolmandatele isikutele. Näiteks kasutab Finantsinspektsioon nimetatud meetmeid peamiselt </w:t>
      </w:r>
      <w:proofErr w:type="spellStart"/>
      <w:r w:rsidRPr="00D07B6C">
        <w:rPr>
          <w:sz w:val="22"/>
          <w:szCs w:val="22"/>
        </w:rPr>
        <w:t>järelevalvelise</w:t>
      </w:r>
      <w:proofErr w:type="spellEnd"/>
      <w:r w:rsidRPr="00D07B6C">
        <w:rPr>
          <w:sz w:val="22"/>
          <w:szCs w:val="22"/>
        </w:rPr>
        <w:t xml:space="preserve"> aruandlus- ja raporteerimiskohustuse tagamiseks.</w:t>
      </w:r>
    </w:p>
    <w:p w14:paraId="2AB22424" w14:textId="77777777" w:rsidR="003057ED" w:rsidRPr="00D07B6C" w:rsidRDefault="003057ED" w:rsidP="003057ED">
      <w:pPr>
        <w:spacing w:before="0"/>
        <w:rPr>
          <w:sz w:val="22"/>
          <w:szCs w:val="22"/>
        </w:rPr>
      </w:pPr>
    </w:p>
    <w:p w14:paraId="0F213852" w14:textId="77777777" w:rsidR="003057ED" w:rsidRDefault="003057ED" w:rsidP="003057ED">
      <w:pPr>
        <w:spacing w:before="0"/>
        <w:rPr>
          <w:sz w:val="22"/>
          <w:szCs w:val="22"/>
        </w:rPr>
      </w:pPr>
      <w:r w:rsidRPr="00D07B6C">
        <w:rPr>
          <w:sz w:val="22"/>
          <w:szCs w:val="22"/>
        </w:rPr>
        <w:t xml:space="preserve">Sunniraha rakendamine eeldab ettekirjutuse tegemist ja on suunatud ettekirjutuse täitmisele (nt ettekirjutus võib olla suunatud ka konkreetsest rikkumisest hoidumisele ning sunniraha tähtpäev määratud selle rikkumise sündmuse saabumisega, st eeldab haldusorgani poolt ohukahtluse või ohu väljaselgitamise korral selle ohu tõrjumisele ja rikkumise ennetamisele suunatud ettekirjutuse tegemist, </w:t>
      </w:r>
      <w:r w:rsidRPr="00D07B6C">
        <w:rPr>
          <w:sz w:val="22"/>
          <w:szCs w:val="22"/>
        </w:rPr>
        <w:lastRenderedPageBreak/>
        <w:t xml:space="preserve">sh hinnatakse just ettekirjutatud kohustuse täitmist, mitte tagajärje saabumist. Sunniraha instituuti ei ole samas võimalik kohaldada juhtumitele, kus minevikus tehtud tegu ja selle tagajärjed on lõppenud. </w:t>
      </w:r>
    </w:p>
    <w:p w14:paraId="087A60F5" w14:textId="77777777" w:rsidR="003057ED" w:rsidRPr="00D07B6C" w:rsidRDefault="003057ED" w:rsidP="003057ED">
      <w:pPr>
        <w:spacing w:before="0"/>
        <w:rPr>
          <w:sz w:val="22"/>
          <w:szCs w:val="22"/>
        </w:rPr>
      </w:pPr>
    </w:p>
    <w:p w14:paraId="59E64F33" w14:textId="14C47967" w:rsidR="003057ED" w:rsidRDefault="003057ED" w:rsidP="003057ED">
      <w:pPr>
        <w:spacing w:before="0"/>
        <w:rPr>
          <w:sz w:val="22"/>
          <w:szCs w:val="22"/>
        </w:rPr>
      </w:pPr>
      <w:r w:rsidRPr="00D07B6C">
        <w:rPr>
          <w:sz w:val="22"/>
          <w:szCs w:val="22"/>
        </w:rPr>
        <w:t xml:space="preserve">Praktikas võib puududa alus rikkumist ennetava ettekirjutuse tegemiseks (näiteks teadvalt avaldatakse vale teavet, mis eksitab </w:t>
      </w:r>
      <w:r w:rsidR="004A5F19">
        <w:rPr>
          <w:sz w:val="22"/>
          <w:szCs w:val="22"/>
        </w:rPr>
        <w:t>kliente</w:t>
      </w:r>
      <w:r w:rsidRPr="00D07B6C">
        <w:rPr>
          <w:sz w:val="22"/>
          <w:szCs w:val="22"/>
        </w:rPr>
        <w:t xml:space="preserve"> − rikkumine on toime pandud  ja keegi võib teha investeerimisotsuse tuginedes väärale teabele). Sunniraha rakendamise eelduseks on  konkretiseeriva ettekirjutuse tegemine ehk rikkumise formaalne tuvastamine ning see eeldab isiku poolt täiendavaid tegevusi rikkumise kõrvaldamiseks.  Sunniraha on meede, millega mõjutatakse isikut viima oma käitumine konkreetsel juhul õigusega vastavusse ja millist ei rakendata, kui ettekirjutus täidetakse. Sunniraha ei saa kasutada heidutamiseks hüpoteetilise järgmise juhtumi suhtes. Samuti ei saa sellega reageerida juba toimunud lõppenud teole, millel puuduvad kõrvaldatavad tagajärjed. Need juhtumid jäävad väärteo- või kriminaalõiguse valdkonda.  </w:t>
      </w:r>
    </w:p>
    <w:p w14:paraId="73793A35" w14:textId="77777777" w:rsidR="003057ED" w:rsidRPr="00D07B6C" w:rsidRDefault="003057ED" w:rsidP="003057ED">
      <w:pPr>
        <w:spacing w:before="0"/>
        <w:rPr>
          <w:sz w:val="22"/>
          <w:szCs w:val="22"/>
        </w:rPr>
      </w:pPr>
    </w:p>
    <w:p w14:paraId="0CBAE590" w14:textId="309E7D2E" w:rsidR="003057ED" w:rsidRDefault="003057ED" w:rsidP="003057ED">
      <w:pPr>
        <w:spacing w:before="0"/>
        <w:rPr>
          <w:sz w:val="22"/>
          <w:szCs w:val="22"/>
        </w:rPr>
      </w:pPr>
      <w:r w:rsidRPr="00D07B6C">
        <w:rPr>
          <w:sz w:val="22"/>
          <w:szCs w:val="22"/>
        </w:rPr>
        <w:t xml:space="preserve">Oma olemuselt on valdav osa finantsvaldkonna õigusrikkumistest  </w:t>
      </w:r>
      <w:proofErr w:type="spellStart"/>
      <w:r w:rsidRPr="00D07B6C">
        <w:rPr>
          <w:sz w:val="22"/>
          <w:szCs w:val="22"/>
        </w:rPr>
        <w:t>peitelised</w:t>
      </w:r>
      <w:proofErr w:type="spellEnd"/>
      <w:r w:rsidRPr="00D07B6C">
        <w:rPr>
          <w:sz w:val="22"/>
          <w:szCs w:val="22"/>
        </w:rPr>
        <w:t xml:space="preserve"> ja rikkumiste toimepanemine võib selguda alles hiljem (nt mitme kuu möödumisel teo toimepanemisest). Rikkumiste puhul, mille tagajärje kõrvaldamine ei ole seega võimalik, tuleks kehtestada väärteo koosseisud ja vastavad õigusjärelmid piisavalt suure rahatrahvi näol.</w:t>
      </w:r>
    </w:p>
    <w:p w14:paraId="4B35144B" w14:textId="77777777" w:rsidR="005D02CF" w:rsidRPr="00D07B6C" w:rsidRDefault="005D02CF" w:rsidP="003057ED">
      <w:pPr>
        <w:spacing w:before="0"/>
        <w:rPr>
          <w:sz w:val="22"/>
          <w:szCs w:val="22"/>
        </w:rPr>
      </w:pPr>
    </w:p>
    <w:p w14:paraId="790584C6" w14:textId="77777777" w:rsidR="003057ED" w:rsidRPr="00D07B6C" w:rsidRDefault="003057ED" w:rsidP="003057ED">
      <w:pPr>
        <w:spacing w:before="0"/>
        <w:rPr>
          <w:sz w:val="22"/>
          <w:szCs w:val="22"/>
        </w:rPr>
      </w:pPr>
      <w:r w:rsidRPr="00D07B6C">
        <w:rPr>
          <w:sz w:val="22"/>
          <w:szCs w:val="22"/>
        </w:rPr>
        <w:t xml:space="preserve">Väärteokoosseisud on eelnõus toodud juhtude kohta, millistel haldussunniga ei ole õiguskorda võimalik tõhusalt kaitsta ja tagada ühiskonda oluliselt mõjutavate normide järgimine. Oluliseks on peetud sätete </w:t>
      </w:r>
      <w:proofErr w:type="spellStart"/>
      <w:r w:rsidRPr="00D07B6C">
        <w:rPr>
          <w:sz w:val="22"/>
          <w:szCs w:val="22"/>
        </w:rPr>
        <w:t>üldpreventiivset</w:t>
      </w:r>
      <w:proofErr w:type="spellEnd"/>
      <w:r w:rsidRPr="00D07B6C">
        <w:rPr>
          <w:sz w:val="22"/>
          <w:szCs w:val="22"/>
        </w:rPr>
        <w:t xml:space="preserve"> mõju ja normide heidutavat mõju. </w:t>
      </w:r>
      <w:proofErr w:type="spellStart"/>
      <w:r w:rsidRPr="00D07B6C">
        <w:rPr>
          <w:sz w:val="22"/>
          <w:szCs w:val="22"/>
        </w:rPr>
        <w:t>Heidutavuse</w:t>
      </w:r>
      <w:proofErr w:type="spellEnd"/>
      <w:r w:rsidRPr="00D07B6C">
        <w:rPr>
          <w:sz w:val="22"/>
          <w:szCs w:val="22"/>
        </w:rPr>
        <w:t xml:space="preserve"> juures peetakse silmas sunni või karistuse mõju selle isiku või teiste isikute käitumise muutuse esile kutsumisele (mõjusus).</w:t>
      </w:r>
    </w:p>
    <w:p w14:paraId="63C39A5C" w14:textId="77777777" w:rsidR="003057ED" w:rsidRPr="00D07B6C" w:rsidRDefault="003057ED" w:rsidP="003057ED">
      <w:pPr>
        <w:spacing w:before="0"/>
        <w:rPr>
          <w:sz w:val="22"/>
          <w:szCs w:val="22"/>
        </w:rPr>
      </w:pPr>
    </w:p>
    <w:p w14:paraId="6205B421" w14:textId="77777777" w:rsidR="003057ED" w:rsidRDefault="003057ED" w:rsidP="003057ED">
      <w:pPr>
        <w:spacing w:before="0"/>
        <w:rPr>
          <w:sz w:val="22"/>
          <w:szCs w:val="22"/>
        </w:rPr>
      </w:pPr>
      <w:r w:rsidRPr="00D07B6C">
        <w:rPr>
          <w:sz w:val="22"/>
          <w:szCs w:val="22"/>
        </w:rPr>
        <w:t xml:space="preserve">Eelnõus on lähtutud eeldusest, et Finantsinspektsioonil peab olema pädevus iga rikkumist eraldi hinnata. Kui rikkumise tagajärjed ei ole ilmnenud, siis võib olla piisavaks abinõuks ettekirjutuse tegemine, mille mittetäitmisel rakendatakse sunniraha. Kui aga rikkumise tagajärjed on ilmnenud, liiati kui sellega kaasnes avalikkuse jaoks oluline kahju, siis on põhjendatud lisaks ettekirjutuse tegemisele ka vastava väärteo menetlemine ja rahatrahvi määramine. </w:t>
      </w:r>
    </w:p>
    <w:p w14:paraId="0FDC47BC" w14:textId="77777777" w:rsidR="003057ED" w:rsidRPr="00D07B6C" w:rsidRDefault="003057ED" w:rsidP="003057ED">
      <w:pPr>
        <w:spacing w:before="0"/>
        <w:rPr>
          <w:sz w:val="22"/>
          <w:szCs w:val="22"/>
        </w:rPr>
      </w:pPr>
    </w:p>
    <w:p w14:paraId="10B8A070" w14:textId="77777777" w:rsidR="003057ED" w:rsidRPr="00D07B6C" w:rsidRDefault="003057ED" w:rsidP="003057ED">
      <w:pPr>
        <w:spacing w:before="0"/>
        <w:rPr>
          <w:sz w:val="22"/>
          <w:szCs w:val="22"/>
        </w:rPr>
      </w:pPr>
      <w:r w:rsidRPr="00D07B6C">
        <w:rPr>
          <w:sz w:val="22"/>
          <w:szCs w:val="22"/>
        </w:rPr>
        <w:t xml:space="preserve">Eelnõus on vastutuse koosseisud esitatud kahel viisil. Enamikul juhtudel on esitatud esimeses lõigus teo põhikoosseis, mis kohaldub füüsilisele isikule, teises lõikes on esitatud karistusmäär juriidilisele isikule. </w:t>
      </w:r>
    </w:p>
    <w:p w14:paraId="15EF9174" w14:textId="77777777" w:rsidR="003057ED" w:rsidRPr="00D07B6C" w:rsidRDefault="003057ED" w:rsidP="003057ED">
      <w:pPr>
        <w:spacing w:before="0"/>
        <w:rPr>
          <w:sz w:val="22"/>
          <w:szCs w:val="22"/>
        </w:rPr>
      </w:pPr>
      <w:r w:rsidRPr="00D07B6C">
        <w:rPr>
          <w:sz w:val="22"/>
          <w:szCs w:val="22"/>
        </w:rPr>
        <w:t xml:space="preserve">Osadel juhtudel on esitatud aga vaid üks teokoosseis, mis kehtib vaid juriidilisele isikutele, sellisteks koosseisudeks on näiteks seaduse §-d 102–104 (nõuded teenuse osutamisele jm). Selline lähenemine ei võimalda osade koosseisude puhul füüsilist isikut, näiteks teenuseosutaja juhatuse liiget, karistada. Sellest tulenevalt on eraldi ettenähtud teokoosseisu paragrahv, mis näevad ette karistuse teenuseosutaja juhi (seaduse § 110) kohustuste rikkumise eest. </w:t>
      </w:r>
    </w:p>
    <w:p w14:paraId="22ABBB6D" w14:textId="77777777" w:rsidR="003057ED" w:rsidRPr="00D07B6C" w:rsidRDefault="003057ED" w:rsidP="003057ED">
      <w:pPr>
        <w:spacing w:before="0"/>
        <w:rPr>
          <w:b/>
          <w:sz w:val="22"/>
          <w:szCs w:val="22"/>
        </w:rPr>
      </w:pPr>
    </w:p>
    <w:p w14:paraId="3142057D" w14:textId="527DC70B" w:rsidR="003057ED" w:rsidRPr="00D07B6C" w:rsidRDefault="003057ED" w:rsidP="003057ED">
      <w:pPr>
        <w:spacing w:before="0"/>
        <w:rPr>
          <w:bCs/>
          <w:iCs/>
          <w:sz w:val="22"/>
          <w:szCs w:val="22"/>
        </w:rPr>
      </w:pPr>
      <w:r w:rsidRPr="00D07B6C">
        <w:rPr>
          <w:b/>
          <w:iCs/>
          <w:sz w:val="22"/>
          <w:szCs w:val="22"/>
        </w:rPr>
        <w:t>Paragrahv 99</w:t>
      </w:r>
      <w:r w:rsidRPr="00D07B6C">
        <w:rPr>
          <w:bCs/>
          <w:iCs/>
          <w:sz w:val="22"/>
          <w:szCs w:val="22"/>
        </w:rPr>
        <w:t xml:space="preserve"> näeb ette </w:t>
      </w:r>
      <w:r w:rsidRPr="00D07B6C">
        <w:rPr>
          <w:bCs/>
          <w:sz w:val="22"/>
          <w:szCs w:val="22"/>
        </w:rPr>
        <w:t xml:space="preserve">põhiteabedokumendiga seotud nõuete rikkumise eest sanktsioneerimise. Põhiteabedokument on </w:t>
      </w:r>
      <w:r w:rsidR="004A5F19">
        <w:rPr>
          <w:bCs/>
          <w:sz w:val="22"/>
          <w:szCs w:val="22"/>
        </w:rPr>
        <w:t>kliendi</w:t>
      </w:r>
      <w:r w:rsidRPr="00D07B6C">
        <w:rPr>
          <w:bCs/>
          <w:sz w:val="22"/>
          <w:szCs w:val="22"/>
        </w:rPr>
        <w:t xml:space="preserve"> jaoks kesksel kohal kuna lähtuvalt sellest peaks </w:t>
      </w:r>
      <w:r w:rsidR="004A5F19">
        <w:rPr>
          <w:bCs/>
          <w:sz w:val="22"/>
          <w:szCs w:val="22"/>
        </w:rPr>
        <w:t xml:space="preserve">klient </w:t>
      </w:r>
      <w:r w:rsidRPr="00D07B6C">
        <w:rPr>
          <w:bCs/>
          <w:sz w:val="22"/>
          <w:szCs w:val="22"/>
        </w:rPr>
        <w:t>otsustama, kas investeerida konkreetsesse investeerimisprojekti või mitte.</w:t>
      </w:r>
    </w:p>
    <w:p w14:paraId="4CD94B6D" w14:textId="69DFF02F" w:rsidR="003057ED" w:rsidRPr="00D07B6C" w:rsidRDefault="003057ED" w:rsidP="003057ED">
      <w:pPr>
        <w:spacing w:before="0"/>
        <w:rPr>
          <w:bCs/>
          <w:iCs/>
          <w:sz w:val="22"/>
          <w:szCs w:val="22"/>
        </w:rPr>
      </w:pPr>
      <w:r w:rsidRPr="00D07B6C">
        <w:rPr>
          <w:bCs/>
          <w:iCs/>
          <w:sz w:val="22"/>
          <w:szCs w:val="22"/>
        </w:rPr>
        <w:t xml:space="preserve">Seega võib tekkida </w:t>
      </w:r>
      <w:r w:rsidR="004A5F19">
        <w:rPr>
          <w:bCs/>
          <w:iCs/>
          <w:sz w:val="22"/>
          <w:szCs w:val="22"/>
        </w:rPr>
        <w:t>klientide</w:t>
      </w:r>
      <w:r w:rsidRPr="00D07B6C">
        <w:rPr>
          <w:bCs/>
          <w:iCs/>
          <w:sz w:val="22"/>
          <w:szCs w:val="22"/>
        </w:rPr>
        <w:t xml:space="preserve"> jaoks oluline kahju kui nad on põhiteabedokumendis vale, ebapiisava või eksitaval kujul avaldatud teabe põhjal teinud investeerimisotsuseid. </w:t>
      </w:r>
    </w:p>
    <w:p w14:paraId="472F6538" w14:textId="77777777" w:rsidR="003057ED" w:rsidRPr="00D07B6C" w:rsidRDefault="003057ED" w:rsidP="003057ED">
      <w:pPr>
        <w:spacing w:before="0"/>
        <w:rPr>
          <w:bCs/>
          <w:iCs/>
          <w:sz w:val="22"/>
          <w:szCs w:val="22"/>
        </w:rPr>
      </w:pPr>
    </w:p>
    <w:p w14:paraId="004B0045" w14:textId="0B1F63DB" w:rsidR="003057ED" w:rsidRPr="00D07B6C" w:rsidRDefault="003057ED" w:rsidP="003057ED">
      <w:pPr>
        <w:spacing w:before="0"/>
        <w:rPr>
          <w:sz w:val="22"/>
          <w:szCs w:val="22"/>
        </w:rPr>
      </w:pPr>
      <w:r w:rsidRPr="00D07B6C">
        <w:rPr>
          <w:b/>
          <w:iCs/>
          <w:sz w:val="22"/>
          <w:szCs w:val="22"/>
        </w:rPr>
        <w:t>Paragrahv 100</w:t>
      </w:r>
      <w:r w:rsidRPr="00D07B6C">
        <w:rPr>
          <w:bCs/>
          <w:iCs/>
          <w:sz w:val="22"/>
          <w:szCs w:val="22"/>
        </w:rPr>
        <w:t xml:space="preserve"> näeb lisaks põhiteabedokumendiga seonduvale ette täiendava sanktsiooninormi kui investeerimisprojekti kohta esitatakse muul kujul ja muude normide alusel ebapiisavat, ebaõiget, eksitavat või mitteõigeaegselt teavet. Eelkõige tulenevad need teabe avalikustamise nõuded käesoleva seaduse 6. peatüki 1, 2 ja 5 jaost. </w:t>
      </w:r>
      <w:r w:rsidRPr="00D07B6C">
        <w:rPr>
          <w:bCs/>
          <w:sz w:val="22"/>
          <w:szCs w:val="22"/>
        </w:rPr>
        <w:t xml:space="preserve">Lisaks ka olukorras, kus valeandmeid esitatakse tahtmatult või kui hooletusest jäetakse </w:t>
      </w:r>
      <w:r w:rsidR="004A5F19">
        <w:rPr>
          <w:bCs/>
          <w:sz w:val="22"/>
          <w:szCs w:val="22"/>
        </w:rPr>
        <w:t>klientidele</w:t>
      </w:r>
      <w:r w:rsidRPr="00D07B6C">
        <w:rPr>
          <w:bCs/>
          <w:sz w:val="22"/>
          <w:szCs w:val="22"/>
        </w:rPr>
        <w:t xml:space="preserve"> teave esitamata, on oluline omada ka sel juhul võimalust turuosalise sanktsioneerimiseks.</w:t>
      </w:r>
    </w:p>
    <w:p w14:paraId="58561242" w14:textId="77777777" w:rsidR="003057ED" w:rsidRPr="00D07B6C" w:rsidRDefault="003057ED" w:rsidP="003057ED">
      <w:pPr>
        <w:spacing w:before="0"/>
        <w:rPr>
          <w:sz w:val="22"/>
          <w:szCs w:val="22"/>
        </w:rPr>
      </w:pPr>
    </w:p>
    <w:p w14:paraId="79075AD8" w14:textId="77777777" w:rsidR="003057ED" w:rsidRPr="00D07B6C" w:rsidRDefault="003057ED" w:rsidP="003057ED">
      <w:pPr>
        <w:spacing w:before="0"/>
        <w:rPr>
          <w:bCs/>
          <w:iCs/>
          <w:sz w:val="22"/>
          <w:szCs w:val="22"/>
        </w:rPr>
      </w:pPr>
      <w:r w:rsidRPr="00D07B6C">
        <w:rPr>
          <w:b/>
          <w:iCs/>
          <w:sz w:val="22"/>
          <w:szCs w:val="22"/>
        </w:rPr>
        <w:t xml:space="preserve">Paragrahv 101 </w:t>
      </w:r>
      <w:r w:rsidRPr="00D07B6C">
        <w:rPr>
          <w:iCs/>
          <w:sz w:val="22"/>
          <w:szCs w:val="22"/>
        </w:rPr>
        <w:t>näeb ette sanktsiooni kui</w:t>
      </w:r>
      <w:r w:rsidRPr="00D07B6C">
        <w:rPr>
          <w:bCs/>
          <w:sz w:val="22"/>
          <w:szCs w:val="22"/>
        </w:rPr>
        <w:t xml:space="preserve"> </w:t>
      </w:r>
      <w:r w:rsidRPr="00D07B6C">
        <w:rPr>
          <w:sz w:val="22"/>
          <w:szCs w:val="22"/>
        </w:rPr>
        <w:t xml:space="preserve">Finantsinspektsioonile ei esitata aruannet või muud teavet õigeks ajaks või selles sisalduv on puudulik või lausa vale. </w:t>
      </w:r>
      <w:r w:rsidRPr="00D07B6C">
        <w:rPr>
          <w:iCs/>
          <w:sz w:val="22"/>
          <w:szCs w:val="22"/>
        </w:rPr>
        <w:t>F</w:t>
      </w:r>
      <w:r w:rsidRPr="00D07B6C">
        <w:rPr>
          <w:bCs/>
          <w:iCs/>
          <w:sz w:val="22"/>
          <w:szCs w:val="22"/>
        </w:rPr>
        <w:t xml:space="preserve">inantssektori järelevalve eripärast tulenevalt on aruandlus ja teenuseosutaja tegevuse kohta muu seaduses sätestatud teabe kogumine kesksel kohal, sest </w:t>
      </w:r>
      <w:proofErr w:type="spellStart"/>
      <w:r w:rsidRPr="00D07B6C">
        <w:rPr>
          <w:bCs/>
          <w:iCs/>
          <w:sz w:val="22"/>
          <w:szCs w:val="22"/>
        </w:rPr>
        <w:t>järelevalvelise</w:t>
      </w:r>
      <w:proofErr w:type="spellEnd"/>
      <w:r w:rsidRPr="00D07B6C">
        <w:rPr>
          <w:bCs/>
          <w:iCs/>
          <w:sz w:val="22"/>
          <w:szCs w:val="22"/>
        </w:rPr>
        <w:t xml:space="preserve"> aruandluse põhjal toimub järjepidev kontroll järelevalvesubjekti tegevusloa nõuetele vastavuse üle. </w:t>
      </w:r>
      <w:r w:rsidRPr="00D07B6C">
        <w:rPr>
          <w:sz w:val="22"/>
          <w:szCs w:val="22"/>
        </w:rPr>
        <w:t xml:space="preserve">On oluline, et nii turule sisenemisel kui ka hilisemal tegutsemisel oleks tagatud finantssektori ettevõtjate õiguskuulekus (s.t. see on olulisel kohal kõigi finantsjärelevalve subjektide puhul – pangad, investeerimisühingud jt). </w:t>
      </w:r>
      <w:r w:rsidRPr="00D07B6C">
        <w:rPr>
          <w:bCs/>
          <w:iCs/>
          <w:sz w:val="22"/>
          <w:szCs w:val="22"/>
        </w:rPr>
        <w:t xml:space="preserve">Eksitavad andmed võivad kaasa tuua olulise kahju. Vale, </w:t>
      </w:r>
      <w:r w:rsidRPr="00D07B6C">
        <w:rPr>
          <w:bCs/>
          <w:iCs/>
          <w:sz w:val="22"/>
          <w:szCs w:val="22"/>
        </w:rPr>
        <w:lastRenderedPageBreak/>
        <w:t xml:space="preserve">puuduliku või eksitava teabe põhjal läbi viidud järelevalve annab moonutatud pildi järelevalvesubjekti tegevusest, sh tema finantsilisest seisundist, mis võib halvimal juhul kaasa tuua laiemalt ka finantssüsteemi häire. </w:t>
      </w:r>
    </w:p>
    <w:p w14:paraId="2A351C23" w14:textId="77777777" w:rsidR="003057ED" w:rsidRPr="00D07B6C" w:rsidRDefault="003057ED" w:rsidP="003057ED">
      <w:pPr>
        <w:spacing w:before="0"/>
        <w:rPr>
          <w:bCs/>
          <w:iCs/>
          <w:sz w:val="22"/>
          <w:szCs w:val="22"/>
        </w:rPr>
      </w:pPr>
    </w:p>
    <w:p w14:paraId="5285345E" w14:textId="77777777" w:rsidR="003057ED" w:rsidRPr="00D07B6C" w:rsidRDefault="003057ED" w:rsidP="003057ED">
      <w:pPr>
        <w:spacing w:before="0"/>
        <w:rPr>
          <w:i/>
          <w:sz w:val="22"/>
          <w:szCs w:val="22"/>
        </w:rPr>
      </w:pPr>
      <w:r w:rsidRPr="00D07B6C">
        <w:rPr>
          <w:sz w:val="22"/>
          <w:szCs w:val="22"/>
        </w:rPr>
        <w:t xml:space="preserve">Finantssektor ja eelkõige antud valdkond (s.t. </w:t>
      </w:r>
      <w:proofErr w:type="spellStart"/>
      <w:r w:rsidRPr="00D07B6C">
        <w:rPr>
          <w:sz w:val="22"/>
          <w:szCs w:val="22"/>
        </w:rPr>
        <w:t>krüptovara</w:t>
      </w:r>
      <w:proofErr w:type="spellEnd"/>
      <w:r w:rsidRPr="00D07B6C">
        <w:rPr>
          <w:sz w:val="22"/>
          <w:szCs w:val="22"/>
        </w:rPr>
        <w:t xml:space="preserve"> ja </w:t>
      </w:r>
      <w:proofErr w:type="spellStart"/>
      <w:r w:rsidRPr="00D07B6C">
        <w:rPr>
          <w:sz w:val="22"/>
          <w:szCs w:val="22"/>
        </w:rPr>
        <w:t>ühisrahastuse</w:t>
      </w:r>
      <w:proofErr w:type="spellEnd"/>
      <w:r w:rsidRPr="00D07B6C">
        <w:rPr>
          <w:sz w:val="22"/>
          <w:szCs w:val="22"/>
        </w:rPr>
        <w:t xml:space="preserve"> valdkond) toimib valdavalt n.ö virtuaalselt. Seega on kriitiline, et andmed, mida teenuseosutaja loob ja esitab ning mille põhjal nii järelevalve kui ka kliendid teevad oma otsuseid, oleksid õiged.</w:t>
      </w:r>
    </w:p>
    <w:p w14:paraId="5B36E931" w14:textId="77777777" w:rsidR="003057ED" w:rsidRPr="00D07B6C" w:rsidRDefault="003057ED" w:rsidP="003057ED">
      <w:pPr>
        <w:spacing w:before="0"/>
        <w:rPr>
          <w:sz w:val="22"/>
          <w:szCs w:val="22"/>
        </w:rPr>
      </w:pPr>
    </w:p>
    <w:p w14:paraId="649CDDFB" w14:textId="77777777" w:rsidR="003057ED" w:rsidRPr="00D07B6C" w:rsidRDefault="003057ED" w:rsidP="003057ED">
      <w:pPr>
        <w:spacing w:before="0"/>
        <w:ind w:right="-83"/>
        <w:rPr>
          <w:bCs/>
          <w:sz w:val="22"/>
          <w:szCs w:val="22"/>
        </w:rPr>
      </w:pPr>
      <w:r w:rsidRPr="00D07B6C">
        <w:rPr>
          <w:b/>
          <w:bCs/>
          <w:sz w:val="22"/>
          <w:szCs w:val="22"/>
        </w:rPr>
        <w:t>Paragrahv 102</w:t>
      </w:r>
      <w:r w:rsidRPr="00D07B6C">
        <w:rPr>
          <w:bCs/>
          <w:sz w:val="22"/>
          <w:szCs w:val="22"/>
        </w:rPr>
        <w:t xml:space="preserve"> näeb ette vastutuse teenuse osutamisega seotud kohustuste rikkumiste eest</w:t>
      </w:r>
    </w:p>
    <w:p w14:paraId="70FCD693" w14:textId="77777777" w:rsidR="003057ED" w:rsidRPr="00D07B6C" w:rsidRDefault="003057ED" w:rsidP="003057ED">
      <w:pPr>
        <w:spacing w:before="0"/>
        <w:ind w:right="-83"/>
        <w:rPr>
          <w:bCs/>
          <w:sz w:val="22"/>
          <w:szCs w:val="22"/>
        </w:rPr>
      </w:pPr>
    </w:p>
    <w:p w14:paraId="2EC0B0ED" w14:textId="1A82CD0A" w:rsidR="003057ED" w:rsidRPr="00D07B6C" w:rsidRDefault="003057ED" w:rsidP="003057ED">
      <w:pPr>
        <w:spacing w:before="0"/>
        <w:ind w:right="-83"/>
        <w:rPr>
          <w:bCs/>
          <w:sz w:val="22"/>
          <w:szCs w:val="22"/>
        </w:rPr>
      </w:pPr>
      <w:r w:rsidRPr="00D07B6C">
        <w:rPr>
          <w:sz w:val="22"/>
          <w:szCs w:val="22"/>
        </w:rPr>
        <w:t>Antud paragrahvi</w:t>
      </w:r>
      <w:r w:rsidRPr="00D07B6C">
        <w:rPr>
          <w:bCs/>
          <w:sz w:val="22"/>
          <w:szCs w:val="22"/>
        </w:rPr>
        <w:t xml:space="preserve"> kohaselt saab karistada teenuseosutajat käesoleva seaduse §-s 42 (kliendi kaebuste lahendamine) ja 6. peatükis sätestatud teenuse osutamisega seotud kohustuste rikkumise eest. Sellisteks kohustusteks on eelkõige nõuded: (i) teenuse osutamisele, (ii) investeerimisprojekti asjakohasuse hindamisel </w:t>
      </w:r>
      <w:r w:rsidR="004A5F19">
        <w:rPr>
          <w:bCs/>
          <w:sz w:val="22"/>
          <w:szCs w:val="22"/>
        </w:rPr>
        <w:t>kliendile</w:t>
      </w:r>
      <w:r w:rsidRPr="00D07B6C">
        <w:rPr>
          <w:bCs/>
          <w:sz w:val="22"/>
          <w:szCs w:val="22"/>
        </w:rPr>
        <w:t xml:space="preserve">, (iii) lepingueelse järelemõtlemisaja kohta investeerimisprojekti pakkumisel, (iv) investeerimisprojekti tulususe või tootluse garanteerimisele ja tagasiostugarantiile, (v) eelseadistatud investeerimisele </w:t>
      </w:r>
      <w:proofErr w:type="spellStart"/>
      <w:r w:rsidRPr="00D07B6C">
        <w:rPr>
          <w:bCs/>
          <w:sz w:val="22"/>
          <w:szCs w:val="22"/>
        </w:rPr>
        <w:t>ühisrahastusteenuse</w:t>
      </w:r>
      <w:proofErr w:type="spellEnd"/>
      <w:r w:rsidRPr="00D07B6C">
        <w:rPr>
          <w:bCs/>
          <w:sz w:val="22"/>
          <w:szCs w:val="22"/>
        </w:rPr>
        <w:t xml:space="preserve"> korral, (vi) </w:t>
      </w:r>
      <w:proofErr w:type="spellStart"/>
      <w:r w:rsidRPr="00D07B6C">
        <w:rPr>
          <w:bCs/>
          <w:sz w:val="22"/>
          <w:szCs w:val="22"/>
        </w:rPr>
        <w:t>krüptovara</w:t>
      </w:r>
      <w:proofErr w:type="spellEnd"/>
      <w:r w:rsidRPr="00D07B6C">
        <w:rPr>
          <w:bCs/>
          <w:sz w:val="22"/>
          <w:szCs w:val="22"/>
        </w:rPr>
        <w:t xml:space="preserve"> hoidmisele, vahetamisele ja tehingute tegemisele, (vii) </w:t>
      </w:r>
      <w:r w:rsidR="004A5F19">
        <w:rPr>
          <w:bCs/>
          <w:sz w:val="22"/>
          <w:szCs w:val="22"/>
        </w:rPr>
        <w:t>kliendile</w:t>
      </w:r>
      <w:r w:rsidRPr="00D07B6C">
        <w:rPr>
          <w:bCs/>
          <w:sz w:val="22"/>
          <w:szCs w:val="22"/>
        </w:rPr>
        <w:t xml:space="preserve"> kahju hüvitamise korral ja (viii) kliendi kaebuse lahendamisel. </w:t>
      </w:r>
    </w:p>
    <w:p w14:paraId="315040C0" w14:textId="77777777" w:rsidR="003057ED" w:rsidRPr="00D07B6C" w:rsidRDefault="003057ED" w:rsidP="003057ED">
      <w:pPr>
        <w:spacing w:before="0"/>
        <w:ind w:right="-83"/>
        <w:rPr>
          <w:bCs/>
          <w:sz w:val="22"/>
          <w:szCs w:val="22"/>
        </w:rPr>
      </w:pPr>
    </w:p>
    <w:p w14:paraId="6ED0D89E" w14:textId="77777777" w:rsidR="003057ED" w:rsidRPr="00D07B6C" w:rsidRDefault="003057ED" w:rsidP="003057ED">
      <w:pPr>
        <w:spacing w:before="0"/>
        <w:ind w:right="-83"/>
        <w:rPr>
          <w:sz w:val="22"/>
          <w:szCs w:val="22"/>
        </w:rPr>
      </w:pPr>
      <w:r w:rsidRPr="00D07B6C">
        <w:rPr>
          <w:b/>
          <w:bCs/>
          <w:sz w:val="22"/>
          <w:szCs w:val="22"/>
        </w:rPr>
        <w:t>Paragrahv 103</w:t>
      </w:r>
      <w:r w:rsidRPr="00D07B6C">
        <w:rPr>
          <w:bCs/>
          <w:sz w:val="22"/>
          <w:szCs w:val="22"/>
        </w:rPr>
        <w:t xml:space="preserve"> näeb ette võimaluse karistada teenuse osutamisega seoses tasu ja hüve saamise ning andmise nõuete rikkumise eest. Vastav nõue on sätestatud käesoleva seaduse eelnõu §-s 38. Seal on sätestatud vastav keeld, </w:t>
      </w:r>
      <w:r w:rsidRPr="00D07B6C">
        <w:rPr>
          <w:sz w:val="22"/>
          <w:szCs w:val="22"/>
        </w:rPr>
        <w:t xml:space="preserve">millega soovitakse tagada, et teenuseosutaja ei suunaks kliente mingi investeerimisprojekti pakkumise juurde või muul moel ei eelistaks üht pakkumist teisele s.t. laiemalt on eesmärgiks välistada võimalikku huvide konflikti. </w:t>
      </w:r>
    </w:p>
    <w:p w14:paraId="5D13218E" w14:textId="77777777" w:rsidR="003057ED" w:rsidRPr="00D07B6C" w:rsidRDefault="003057ED" w:rsidP="003057ED">
      <w:pPr>
        <w:spacing w:before="0"/>
        <w:ind w:right="-83"/>
        <w:rPr>
          <w:bCs/>
          <w:sz w:val="22"/>
          <w:szCs w:val="22"/>
        </w:rPr>
      </w:pPr>
      <w:r w:rsidRPr="00D07B6C">
        <w:rPr>
          <w:sz w:val="22"/>
          <w:szCs w:val="22"/>
        </w:rPr>
        <w:t>Antud juhul nähakse ette võimalus karistada üksnes juriidilist isikut ja seda rahatrahviga kuni 400 000 eurot.</w:t>
      </w:r>
    </w:p>
    <w:p w14:paraId="41FB1DAD" w14:textId="77777777" w:rsidR="003057ED" w:rsidRPr="00D07B6C" w:rsidRDefault="003057ED" w:rsidP="003057ED">
      <w:pPr>
        <w:spacing w:before="0"/>
        <w:rPr>
          <w:sz w:val="22"/>
          <w:szCs w:val="22"/>
        </w:rPr>
      </w:pPr>
    </w:p>
    <w:p w14:paraId="59AE4E90" w14:textId="77777777" w:rsidR="003057ED" w:rsidRPr="00D07B6C" w:rsidRDefault="003057ED" w:rsidP="003057ED">
      <w:pPr>
        <w:spacing w:before="0"/>
        <w:rPr>
          <w:bCs/>
          <w:sz w:val="22"/>
          <w:szCs w:val="22"/>
        </w:rPr>
      </w:pPr>
      <w:r w:rsidRPr="00D07B6C">
        <w:rPr>
          <w:b/>
          <w:bCs/>
          <w:sz w:val="22"/>
          <w:szCs w:val="22"/>
        </w:rPr>
        <w:t>Paragrahviga 104</w:t>
      </w:r>
      <w:r w:rsidRPr="00D07B6C">
        <w:rPr>
          <w:bCs/>
          <w:sz w:val="22"/>
          <w:szCs w:val="22"/>
        </w:rPr>
        <w:t xml:space="preserve"> nähakse ette karistamise võimalus finantsvahendusplatvormi haldamise ja korraldamisega seotud nõuete rikkumise eest. Vastavad nõuded on sätestatud täpsemalt eelnõu §-s 40.</w:t>
      </w:r>
    </w:p>
    <w:p w14:paraId="0F08C68D" w14:textId="77777777" w:rsidR="003057ED" w:rsidRPr="00D07B6C" w:rsidRDefault="003057ED" w:rsidP="003057ED">
      <w:pPr>
        <w:spacing w:before="0"/>
        <w:rPr>
          <w:sz w:val="22"/>
          <w:szCs w:val="22"/>
        </w:rPr>
      </w:pPr>
      <w:bookmarkStart w:id="8" w:name="_Hlk108083104"/>
      <w:r w:rsidRPr="00D07B6C">
        <w:rPr>
          <w:sz w:val="22"/>
          <w:szCs w:val="22"/>
        </w:rPr>
        <w:t>Antud juhul nähakse ette võimalus karistada üksnes juriidilist isikut ja seda rahatrahviga kuni 400 000 eurot.</w:t>
      </w:r>
    </w:p>
    <w:bookmarkEnd w:id="8"/>
    <w:p w14:paraId="5EB5D9B3" w14:textId="77777777" w:rsidR="003057ED" w:rsidRPr="00D07B6C" w:rsidRDefault="003057ED" w:rsidP="003057ED">
      <w:pPr>
        <w:spacing w:before="0"/>
        <w:rPr>
          <w:sz w:val="22"/>
          <w:szCs w:val="22"/>
        </w:rPr>
      </w:pPr>
    </w:p>
    <w:p w14:paraId="016D9700" w14:textId="77777777" w:rsidR="003057ED" w:rsidRPr="00D07B6C" w:rsidRDefault="003057ED" w:rsidP="003057ED">
      <w:pPr>
        <w:spacing w:before="0"/>
        <w:rPr>
          <w:bCs/>
          <w:sz w:val="22"/>
          <w:szCs w:val="22"/>
        </w:rPr>
      </w:pPr>
      <w:r w:rsidRPr="00D07B6C">
        <w:rPr>
          <w:b/>
          <w:bCs/>
          <w:sz w:val="22"/>
          <w:szCs w:val="22"/>
        </w:rPr>
        <w:t>Paragrahviga 105</w:t>
      </w:r>
      <w:r w:rsidRPr="00D07B6C">
        <w:rPr>
          <w:bCs/>
          <w:sz w:val="22"/>
          <w:szCs w:val="22"/>
        </w:rPr>
        <w:t xml:space="preserve"> nähakse ette karistamise võimalus teenuseosutaja või temaga seotud isikute investeerimisprojektides osalemisega seotud nõuete rikkumise eest. Vastavad nõuded on täpsemalt sätestatud eelnõu §-s 37.</w:t>
      </w:r>
    </w:p>
    <w:p w14:paraId="64468ED9" w14:textId="77777777" w:rsidR="003057ED" w:rsidRPr="00D07B6C" w:rsidRDefault="003057ED" w:rsidP="003057ED">
      <w:pPr>
        <w:spacing w:before="0"/>
        <w:rPr>
          <w:bCs/>
          <w:sz w:val="22"/>
          <w:szCs w:val="22"/>
        </w:rPr>
      </w:pPr>
    </w:p>
    <w:p w14:paraId="01E30F5A" w14:textId="77777777" w:rsidR="003057ED" w:rsidRPr="00D07B6C" w:rsidRDefault="003057ED" w:rsidP="003057ED">
      <w:pPr>
        <w:spacing w:before="0"/>
        <w:rPr>
          <w:bCs/>
          <w:sz w:val="22"/>
          <w:szCs w:val="22"/>
        </w:rPr>
      </w:pPr>
      <w:r w:rsidRPr="00D07B6C">
        <w:rPr>
          <w:b/>
          <w:bCs/>
          <w:sz w:val="22"/>
          <w:szCs w:val="22"/>
        </w:rPr>
        <w:t>Paragrahviga 106</w:t>
      </w:r>
      <w:r w:rsidRPr="00D07B6C">
        <w:rPr>
          <w:bCs/>
          <w:sz w:val="22"/>
          <w:szCs w:val="22"/>
        </w:rPr>
        <w:t xml:space="preserve"> nähakse ette karistamise võimalus andmete registreerimise ja säilitamise kohustuse rikkumise eest. Vastavad nõuded on täpsemalt sätestatud eelnõu §-s 34.</w:t>
      </w:r>
    </w:p>
    <w:p w14:paraId="7ED09994" w14:textId="77777777" w:rsidR="003057ED" w:rsidRPr="00D07B6C" w:rsidRDefault="003057ED" w:rsidP="003057ED">
      <w:pPr>
        <w:spacing w:before="0"/>
        <w:rPr>
          <w:bCs/>
          <w:sz w:val="22"/>
          <w:szCs w:val="22"/>
        </w:rPr>
      </w:pPr>
      <w:r w:rsidRPr="00D07B6C">
        <w:rPr>
          <w:sz w:val="22"/>
          <w:szCs w:val="22"/>
        </w:rPr>
        <w:t>Antud juhul nähakse ette võimalus karistada üksnes juriidilist isikut ja seda rahatrahviga kuni 400 000 eurot.</w:t>
      </w:r>
    </w:p>
    <w:p w14:paraId="23A0B137" w14:textId="77777777" w:rsidR="003057ED" w:rsidRPr="00D07B6C" w:rsidRDefault="003057ED" w:rsidP="003057ED">
      <w:pPr>
        <w:spacing w:before="0"/>
        <w:rPr>
          <w:sz w:val="22"/>
          <w:szCs w:val="22"/>
        </w:rPr>
      </w:pPr>
    </w:p>
    <w:p w14:paraId="66BB4B7E" w14:textId="77777777" w:rsidR="003057ED" w:rsidRPr="00D07B6C" w:rsidRDefault="003057ED" w:rsidP="003057ED">
      <w:pPr>
        <w:spacing w:before="0"/>
        <w:rPr>
          <w:sz w:val="22"/>
          <w:szCs w:val="22"/>
        </w:rPr>
      </w:pPr>
      <w:r w:rsidRPr="00D07B6C">
        <w:rPr>
          <w:b/>
          <w:sz w:val="22"/>
          <w:szCs w:val="22"/>
        </w:rPr>
        <w:t xml:space="preserve">Paragrahv 107 </w:t>
      </w:r>
      <w:r w:rsidRPr="00D07B6C">
        <w:rPr>
          <w:sz w:val="22"/>
          <w:szCs w:val="22"/>
        </w:rPr>
        <w:t>(olulise osaluse omandamise korra rikkumine) väärteokoosseis aitab tagada, et teenuseosutaja aktsionäride ja osanike ring oleks läbipaistev igal ajahetkel. Olulise osaluse omandamise nõuded moodustavad osa tegevusloa andmise ja selle olemasolu eeltingimustest, mistõttu nähakse ette võimalus kohaldada rahatrahvi. Olulise osaluse nõuete eesmärgiks on tagada, et asutatava või omandatava ettevõtja juhtimine on usaldusväärne, arvestades suuraktsionäri või suurosaniku tõenäolist mõju ettevõtja juhtimise kvaliteedile. Vastavad nõuded on täpsemalt sätestatud eelnõu §-des 19, 20 ja 25.</w:t>
      </w:r>
    </w:p>
    <w:p w14:paraId="3A4C09AC" w14:textId="77777777" w:rsidR="003057ED" w:rsidRPr="00D07B6C" w:rsidRDefault="003057ED" w:rsidP="003057ED">
      <w:pPr>
        <w:spacing w:before="0"/>
        <w:rPr>
          <w:sz w:val="22"/>
          <w:szCs w:val="22"/>
        </w:rPr>
      </w:pPr>
    </w:p>
    <w:p w14:paraId="121BF0B7" w14:textId="77777777" w:rsidR="003057ED" w:rsidRPr="00D07B6C" w:rsidRDefault="003057ED" w:rsidP="003057ED">
      <w:pPr>
        <w:spacing w:before="0"/>
        <w:rPr>
          <w:sz w:val="22"/>
          <w:szCs w:val="22"/>
        </w:rPr>
      </w:pPr>
      <w:r w:rsidRPr="00D07B6C">
        <w:rPr>
          <w:b/>
          <w:sz w:val="22"/>
          <w:szCs w:val="22"/>
        </w:rPr>
        <w:t>Paragrahv 108</w:t>
      </w:r>
      <w:r w:rsidRPr="00D07B6C">
        <w:rPr>
          <w:sz w:val="22"/>
          <w:szCs w:val="22"/>
        </w:rPr>
        <w:t xml:space="preserve"> sätestab karistamise võimaluse sisekontrolli süsteemide kehtestamata jätmise eest ja </w:t>
      </w:r>
      <w:proofErr w:type="spellStart"/>
      <w:r w:rsidRPr="00D07B6C">
        <w:rPr>
          <w:sz w:val="22"/>
          <w:szCs w:val="22"/>
        </w:rPr>
        <w:t>sise</w:t>
      </w:r>
      <w:proofErr w:type="spellEnd"/>
      <w:r w:rsidRPr="00D07B6C">
        <w:rPr>
          <w:sz w:val="22"/>
          <w:szCs w:val="22"/>
        </w:rPr>
        <w:t>-eeskirjade kohaldamise rikkumise eest. Teenuseosutaja sisemise kontrolli, juhtimise ja muude organisatsioonile kehtestatud nõuete eesmärgiks on ära hoida ebausaldusväärsete isikute tegutsemine, tagada organisatsiooni struktuuri läbipaistvus, jätkusuutlikkus ja organisatsiooni suutlikkus osutada teenuseid. Nõuete rikkumine seab ohtu organisatsiooni õiguskuuleka, oskusliku ja läbipaistva tegutsemise. Sisekontrolli süsteemi nõuded tulenevad seadusest, teenuseosutajale on teada, millistele miinimumnõuetele vastavad süsteemid peavad vastama, seega sellekohane rikkumine on eelduslikult seotud teenuseosutaja tahtlusega, teadliku tegutsemisega ühingujuhtimise valdkonnas.</w:t>
      </w:r>
    </w:p>
    <w:p w14:paraId="54EE5F2A" w14:textId="77777777" w:rsidR="003057ED" w:rsidRPr="00D07B6C" w:rsidRDefault="003057ED" w:rsidP="003057ED">
      <w:pPr>
        <w:spacing w:before="0"/>
        <w:rPr>
          <w:sz w:val="22"/>
          <w:szCs w:val="22"/>
        </w:rPr>
      </w:pPr>
      <w:r w:rsidRPr="00D07B6C">
        <w:rPr>
          <w:sz w:val="22"/>
          <w:szCs w:val="22"/>
        </w:rPr>
        <w:lastRenderedPageBreak/>
        <w:t>Antud juhul nähakse ette võimalus karistada üksnes juriidilist isikut ja seda rahatrahviga kuni 400 000 eurot.</w:t>
      </w:r>
    </w:p>
    <w:p w14:paraId="57C5C16C" w14:textId="77777777" w:rsidR="003057ED" w:rsidRPr="00D07B6C" w:rsidRDefault="003057ED" w:rsidP="003057ED">
      <w:pPr>
        <w:spacing w:before="0"/>
        <w:rPr>
          <w:sz w:val="22"/>
          <w:szCs w:val="22"/>
        </w:rPr>
      </w:pPr>
    </w:p>
    <w:p w14:paraId="589A2D0A" w14:textId="77777777" w:rsidR="003057ED" w:rsidRPr="00D07B6C" w:rsidRDefault="003057ED" w:rsidP="003057ED">
      <w:pPr>
        <w:spacing w:before="0"/>
        <w:rPr>
          <w:sz w:val="22"/>
          <w:szCs w:val="22"/>
        </w:rPr>
      </w:pPr>
      <w:r w:rsidRPr="00D07B6C">
        <w:rPr>
          <w:b/>
          <w:sz w:val="22"/>
          <w:szCs w:val="22"/>
        </w:rPr>
        <w:t>Paragrahv 109</w:t>
      </w:r>
      <w:r w:rsidRPr="00D07B6C">
        <w:rPr>
          <w:sz w:val="22"/>
          <w:szCs w:val="22"/>
        </w:rPr>
        <w:t xml:space="preserve"> kehtestab vastutuse teenuseosutaja tegevuse edasiandmise korra rikkumise korral.</w:t>
      </w:r>
    </w:p>
    <w:p w14:paraId="2DBECC8C" w14:textId="77777777" w:rsidR="003057ED" w:rsidRPr="00D07B6C" w:rsidRDefault="003057ED" w:rsidP="003057ED">
      <w:pPr>
        <w:spacing w:before="0"/>
        <w:rPr>
          <w:sz w:val="22"/>
          <w:szCs w:val="22"/>
        </w:rPr>
      </w:pPr>
      <w:r w:rsidRPr="00D07B6C">
        <w:rPr>
          <w:sz w:val="22"/>
          <w:szCs w:val="22"/>
        </w:rPr>
        <w:t>Täpsemalt on need nõuded määratletud eelnõu §-s 35. Tegevuse edasiandmine on ettevõtlusvaldkonnas tavapärane, sest teatud tegevusi on majanduslikult kasulikum sisse osta. Selleks, et tagada efektiivne kontroll kogu ettevõtja tegevuse üle, on teenusega seotud tegevuse suhtes sätestatud rida tingimusi. Seega tingib asjaolu, et finantsvaldkond on range järelevalve all, ka teatud piirangud. Igasugune tegevuse edasiandmine toob kaasa rea riske. Üldjuhul saab edasi anda tegevusi, mis on põhitegevusega seotud, näiteks kliendi kohta teabe kogumist, isiku tuvastamist, tarkvara haldamine. Teatud tegevusi saab üle anda üksnes vastavat tegevusluba omavale isikule. Kuna tegevuse üleandmisel kehtib põhimõte, et kontrolli teostamine peab olema jätkuvalt tagatud kogu ettevõtja tegevuse ja struktuuri üle ning vastutavaks tegevuse täitmise eest jääb tegevuse üle andnud ettevõtja, on oluline, et kolmas isik, kellele tegevus üle antakse, on usaldusväärne ja selleks sobiv.</w:t>
      </w:r>
    </w:p>
    <w:p w14:paraId="0BB9F0A1" w14:textId="77777777" w:rsidR="003057ED" w:rsidRPr="00D07B6C" w:rsidRDefault="003057ED" w:rsidP="003057ED">
      <w:pPr>
        <w:spacing w:before="0"/>
        <w:rPr>
          <w:sz w:val="22"/>
          <w:szCs w:val="22"/>
        </w:rPr>
      </w:pPr>
      <w:bookmarkStart w:id="9" w:name="_Hlk108083533"/>
      <w:r w:rsidRPr="00D07B6C">
        <w:rPr>
          <w:sz w:val="22"/>
          <w:szCs w:val="22"/>
        </w:rPr>
        <w:t>Antud juhul nähakse ette võimalus karistada üksnes juriidilist isikut ja seda rahatrahviga kuni 400 000 eurot.</w:t>
      </w:r>
      <w:bookmarkEnd w:id="9"/>
    </w:p>
    <w:p w14:paraId="7750F4D3" w14:textId="77777777" w:rsidR="003057ED" w:rsidRPr="00D07B6C" w:rsidRDefault="003057ED" w:rsidP="003057ED">
      <w:pPr>
        <w:spacing w:before="0"/>
        <w:rPr>
          <w:sz w:val="22"/>
          <w:szCs w:val="22"/>
        </w:rPr>
      </w:pPr>
    </w:p>
    <w:p w14:paraId="77CD4686" w14:textId="77777777" w:rsidR="003057ED" w:rsidRPr="00D07B6C" w:rsidRDefault="003057ED" w:rsidP="003057ED">
      <w:pPr>
        <w:pStyle w:val="Normal2"/>
        <w:rPr>
          <w:szCs w:val="22"/>
        </w:rPr>
      </w:pPr>
      <w:r w:rsidRPr="00D07B6C">
        <w:rPr>
          <w:b/>
          <w:szCs w:val="22"/>
        </w:rPr>
        <w:t>Paragrahviga 110</w:t>
      </w:r>
      <w:r w:rsidRPr="00D07B6C">
        <w:rPr>
          <w:szCs w:val="22"/>
        </w:rPr>
        <w:t xml:space="preserve"> nähakse ette karistamise võimalus teenuseosutaja juhtorgani kohustuste rikkumise korral. Selle kohaselt, kui teenuseosutaja juhtorgani liige rikub käesoleva seaduse §-s 28 sätestatud kohustust ehk kehtestatud nõudeid juhtorgani liikmele, ja kui nende nõuete rikkumisega kaasnes teenuseosutaja või tema klientide huvide kaitseta jätmine või esines selle oht, karistatakse rahatrahviga kuni 300 trahviühikut.</w:t>
      </w:r>
    </w:p>
    <w:p w14:paraId="191776E5" w14:textId="77777777" w:rsidR="003057ED" w:rsidRPr="00D07B6C" w:rsidRDefault="003057ED" w:rsidP="003057ED">
      <w:pPr>
        <w:pStyle w:val="Normal2"/>
        <w:rPr>
          <w:szCs w:val="22"/>
        </w:rPr>
      </w:pPr>
    </w:p>
    <w:p w14:paraId="3438FE8B" w14:textId="77777777" w:rsidR="003057ED" w:rsidRPr="00D07B6C" w:rsidRDefault="003057ED" w:rsidP="003057ED">
      <w:pPr>
        <w:spacing w:before="0"/>
        <w:rPr>
          <w:sz w:val="22"/>
          <w:szCs w:val="22"/>
        </w:rPr>
      </w:pPr>
      <w:r w:rsidRPr="00D07B6C">
        <w:rPr>
          <w:b/>
          <w:bCs/>
          <w:sz w:val="22"/>
          <w:szCs w:val="22"/>
        </w:rPr>
        <w:t>Paragrahv 111</w:t>
      </w:r>
      <w:r w:rsidRPr="00D07B6C">
        <w:rPr>
          <w:bCs/>
          <w:sz w:val="22"/>
          <w:szCs w:val="22"/>
        </w:rPr>
        <w:t xml:space="preserve"> sätestab väärteo koosseisu omavahendite nõuete rikkumise eest. </w:t>
      </w:r>
      <w:r w:rsidRPr="00D07B6C">
        <w:rPr>
          <w:sz w:val="22"/>
          <w:szCs w:val="22"/>
        </w:rPr>
        <w:t>Eelnõus kehtestatud usaldatavusnõuded on miinimumtingimused, millistele teenuseosutaja peab vastama igal ajahetkel ning järelevalve eesmärk on tagada, et finantssektori äriühingud tegutseksid kindlalt ja usaldusväärselt ning omaksid piisavalt kapitali ja reserve oma tegevusest tulenevate riskide katteks.</w:t>
      </w:r>
    </w:p>
    <w:p w14:paraId="0989DBB0" w14:textId="77777777" w:rsidR="003057ED" w:rsidRPr="00D07B6C" w:rsidRDefault="003057ED" w:rsidP="003057ED">
      <w:pPr>
        <w:spacing w:before="0"/>
        <w:rPr>
          <w:sz w:val="22"/>
          <w:szCs w:val="22"/>
        </w:rPr>
      </w:pPr>
      <w:r w:rsidRPr="00D07B6C">
        <w:rPr>
          <w:sz w:val="22"/>
          <w:szCs w:val="22"/>
        </w:rPr>
        <w:t>Antud juhul nähakse ette võimalus karistada üksnes juriidilist isikut ja seda rahatrahviga kuni 400 000 eurot.</w:t>
      </w:r>
    </w:p>
    <w:p w14:paraId="08BDA377" w14:textId="77777777" w:rsidR="003057ED" w:rsidRPr="00D07B6C" w:rsidRDefault="003057ED" w:rsidP="003057ED">
      <w:pPr>
        <w:spacing w:before="0"/>
        <w:rPr>
          <w:sz w:val="22"/>
          <w:szCs w:val="22"/>
        </w:rPr>
      </w:pPr>
    </w:p>
    <w:p w14:paraId="6E34CC5E" w14:textId="77777777" w:rsidR="003057ED" w:rsidRPr="00D07B6C" w:rsidRDefault="003057ED" w:rsidP="003057ED">
      <w:pPr>
        <w:spacing w:before="0"/>
        <w:rPr>
          <w:sz w:val="22"/>
          <w:szCs w:val="22"/>
        </w:rPr>
      </w:pPr>
      <w:r w:rsidRPr="00D07B6C">
        <w:rPr>
          <w:b/>
          <w:sz w:val="22"/>
          <w:szCs w:val="22"/>
        </w:rPr>
        <w:t xml:space="preserve">Paragrahvis 112 ettenähtud </w:t>
      </w:r>
      <w:r w:rsidRPr="00D07B6C">
        <w:rPr>
          <w:sz w:val="22"/>
          <w:szCs w:val="22"/>
        </w:rPr>
        <w:t>koosseis võimaldab</w:t>
      </w:r>
      <w:r w:rsidRPr="00D07B6C">
        <w:rPr>
          <w:b/>
          <w:bCs/>
          <w:sz w:val="22"/>
          <w:szCs w:val="22"/>
        </w:rPr>
        <w:t xml:space="preserve"> </w:t>
      </w:r>
      <w:r w:rsidRPr="00D07B6C">
        <w:rPr>
          <w:sz w:val="22"/>
          <w:szCs w:val="22"/>
        </w:rPr>
        <w:t xml:space="preserve">karistada teenuseosutajat tema kliendi vara hoidmise või muu kaitsega seotud kohustuse täitmata jätmise, samuti mitteõigeaegse või ebapiisava täitmise eest. Täpsemalt on need nõuded sätestatud seaduse §-s 74. </w:t>
      </w:r>
    </w:p>
    <w:p w14:paraId="7A911E91" w14:textId="77777777" w:rsidR="003057ED" w:rsidRPr="00D07B6C" w:rsidRDefault="003057ED" w:rsidP="003057ED">
      <w:pPr>
        <w:spacing w:before="0"/>
        <w:rPr>
          <w:sz w:val="22"/>
          <w:szCs w:val="22"/>
        </w:rPr>
      </w:pPr>
      <w:bookmarkStart w:id="10" w:name="_Hlk108099316"/>
      <w:r w:rsidRPr="00D07B6C">
        <w:rPr>
          <w:sz w:val="22"/>
          <w:szCs w:val="22"/>
        </w:rPr>
        <w:t>Antud juhul nähakse ette võimalus karistada üksnes juriidilist isikut ja seda rahatrahviga kuni 400 000 eurot.</w:t>
      </w:r>
      <w:bookmarkEnd w:id="10"/>
    </w:p>
    <w:p w14:paraId="2C4E9A96" w14:textId="77777777" w:rsidR="003057ED" w:rsidRPr="00D07B6C" w:rsidRDefault="003057ED" w:rsidP="003057ED">
      <w:pPr>
        <w:spacing w:before="0"/>
        <w:rPr>
          <w:sz w:val="22"/>
          <w:szCs w:val="22"/>
        </w:rPr>
      </w:pPr>
    </w:p>
    <w:p w14:paraId="5E8D3459" w14:textId="77777777" w:rsidR="003057ED" w:rsidRPr="00D07B6C" w:rsidRDefault="003057ED" w:rsidP="003057ED">
      <w:pPr>
        <w:spacing w:before="0"/>
        <w:rPr>
          <w:sz w:val="22"/>
          <w:szCs w:val="22"/>
        </w:rPr>
      </w:pPr>
      <w:r w:rsidRPr="00D07B6C">
        <w:rPr>
          <w:b/>
          <w:sz w:val="22"/>
          <w:szCs w:val="22"/>
        </w:rPr>
        <w:t xml:space="preserve">Paragrahviga 113 </w:t>
      </w:r>
      <w:r w:rsidRPr="00D07B6C">
        <w:rPr>
          <w:bCs/>
          <w:sz w:val="22"/>
          <w:szCs w:val="22"/>
        </w:rPr>
        <w:t xml:space="preserve">nähakse ette </w:t>
      </w:r>
      <w:r w:rsidRPr="00D07B6C">
        <w:rPr>
          <w:sz w:val="22"/>
          <w:szCs w:val="22"/>
        </w:rPr>
        <w:t>võimalus karistada teenuseosutajat huvide konfliktide vältimise või  maandamisega seotud nõuete rikkumise eest. Paragrahvides 36–38 on sätestatud huvide konflikti maandamise ja vältimise nõuded. Näiteks peab teenuseosutaja kehtestama huvide konflikti maandamise ja vältimise korra, mis on vajalik selleks, et tuvastada, maandada ja võimaluse korral vältida teenuse osutamisel teenuseosutaja sisest huvide konflikti, huvide konflikti teenuse osutaja ja tema üle kontrolli teostava isiku vahel, teenuse osutaja ja tema klientide vahel ning klientide omavahelisi huvide konflikte.</w:t>
      </w:r>
    </w:p>
    <w:p w14:paraId="6A1E1B96" w14:textId="77777777" w:rsidR="003057ED" w:rsidRPr="00D07B6C" w:rsidRDefault="003057ED" w:rsidP="003057ED">
      <w:pPr>
        <w:spacing w:before="0"/>
        <w:rPr>
          <w:b/>
          <w:sz w:val="22"/>
          <w:szCs w:val="22"/>
        </w:rPr>
      </w:pPr>
    </w:p>
    <w:p w14:paraId="201540DB" w14:textId="77777777" w:rsidR="003057ED" w:rsidRPr="00D07B6C" w:rsidRDefault="003057ED" w:rsidP="003057ED">
      <w:pPr>
        <w:spacing w:before="0"/>
        <w:rPr>
          <w:sz w:val="22"/>
          <w:szCs w:val="22"/>
        </w:rPr>
      </w:pPr>
      <w:r w:rsidRPr="00D07B6C">
        <w:rPr>
          <w:b/>
          <w:sz w:val="22"/>
          <w:szCs w:val="22"/>
        </w:rPr>
        <w:t>Paragrahviga 114</w:t>
      </w:r>
      <w:r w:rsidRPr="00D07B6C">
        <w:rPr>
          <w:sz w:val="22"/>
          <w:szCs w:val="22"/>
        </w:rPr>
        <w:t xml:space="preserve"> nähakse ette võimalus karistada teenuseosutaja tegevusega seotud õigusrikkumisest teavitamise korra rikkumise puhul. See nõue on sätestatud § 32 lõike 2 punktis 19, mille kohaselt tuleb teenuseosutajal kehtestada kord, millega tagatakse töötajatele sõltumatu ja autonoomne võimalus teavitada organisatsiooni siseselt töötaja poolt avastatud õigusrikkumisest. Karistatav oleks nii korra kehtestamata jätmine kui selle rakendamata jätmine, mis hõlmab korrale mittevastavat tegevust, näiteks ei ole tingimustele vastavat teavituskanalit loodud või ei rakendata teadete kontrollimist või ei ole sellega tagatud töötaja isikuandmete kaitse või teavitamise konfidentsiaalsus. </w:t>
      </w:r>
    </w:p>
    <w:p w14:paraId="6A65D298" w14:textId="77777777" w:rsidR="003057ED" w:rsidRPr="00D07B6C" w:rsidRDefault="003057ED" w:rsidP="003057ED">
      <w:pPr>
        <w:spacing w:before="0"/>
        <w:rPr>
          <w:sz w:val="22"/>
          <w:szCs w:val="22"/>
        </w:rPr>
      </w:pPr>
    </w:p>
    <w:p w14:paraId="5F4D0488" w14:textId="77777777" w:rsidR="003057ED" w:rsidRPr="00D07B6C" w:rsidRDefault="003057ED" w:rsidP="003057ED">
      <w:pPr>
        <w:spacing w:before="0"/>
        <w:rPr>
          <w:sz w:val="22"/>
          <w:szCs w:val="22"/>
        </w:rPr>
      </w:pPr>
      <w:r w:rsidRPr="00D07B6C">
        <w:rPr>
          <w:b/>
          <w:sz w:val="22"/>
          <w:szCs w:val="22"/>
        </w:rPr>
        <w:t>Paragrahv 115</w:t>
      </w:r>
      <w:r w:rsidRPr="00D07B6C">
        <w:rPr>
          <w:sz w:val="22"/>
          <w:szCs w:val="22"/>
        </w:rPr>
        <w:t xml:space="preserve"> näeb ette karistamise võimaluse talituspidevusega või </w:t>
      </w:r>
      <w:proofErr w:type="spellStart"/>
      <w:r w:rsidRPr="00D07B6C">
        <w:rPr>
          <w:sz w:val="22"/>
          <w:szCs w:val="22"/>
        </w:rPr>
        <w:t>küberturvalisusega</w:t>
      </w:r>
      <w:proofErr w:type="spellEnd"/>
      <w:r w:rsidRPr="00D07B6C">
        <w:rPr>
          <w:sz w:val="22"/>
          <w:szCs w:val="22"/>
        </w:rPr>
        <w:t xml:space="preserve"> seotud nõuete rikkumise korral. Need nõuded on täpsemalt määratletud seaduse §-des 43 ja 44. </w:t>
      </w:r>
    </w:p>
    <w:p w14:paraId="28B3C427" w14:textId="77777777" w:rsidR="003057ED" w:rsidRPr="00D07B6C" w:rsidRDefault="003057ED" w:rsidP="003057ED">
      <w:pPr>
        <w:spacing w:before="0"/>
        <w:rPr>
          <w:sz w:val="22"/>
          <w:szCs w:val="22"/>
        </w:rPr>
      </w:pPr>
    </w:p>
    <w:p w14:paraId="1378D17B" w14:textId="77777777" w:rsidR="003057ED" w:rsidRPr="00D07B6C" w:rsidRDefault="003057ED" w:rsidP="003057ED">
      <w:pPr>
        <w:spacing w:before="0"/>
        <w:rPr>
          <w:sz w:val="22"/>
          <w:szCs w:val="22"/>
        </w:rPr>
      </w:pPr>
      <w:r w:rsidRPr="00D07B6C">
        <w:rPr>
          <w:b/>
          <w:sz w:val="22"/>
          <w:szCs w:val="22"/>
        </w:rPr>
        <w:t>Paragrahv 116</w:t>
      </w:r>
      <w:r w:rsidRPr="00D07B6C">
        <w:rPr>
          <w:sz w:val="22"/>
          <w:szCs w:val="22"/>
        </w:rPr>
        <w:t xml:space="preserve"> võimaldab sanktsioneerida teenuseosutajat juhul kui ei teavitata Finantsinspektsiooni vastavalt seaduses sätestatule teenuse piiriülese osutamise ja filiaali asutamise korral muudes riikides. </w:t>
      </w:r>
    </w:p>
    <w:p w14:paraId="1D090FD6" w14:textId="77777777" w:rsidR="003057ED" w:rsidRPr="00D07B6C" w:rsidRDefault="003057ED" w:rsidP="003057ED">
      <w:pPr>
        <w:spacing w:before="0"/>
        <w:rPr>
          <w:sz w:val="22"/>
          <w:szCs w:val="22"/>
        </w:rPr>
      </w:pPr>
    </w:p>
    <w:p w14:paraId="7FB14866" w14:textId="77777777" w:rsidR="003057ED" w:rsidRPr="00D07B6C" w:rsidRDefault="003057ED" w:rsidP="003057ED">
      <w:pPr>
        <w:spacing w:before="0"/>
        <w:rPr>
          <w:sz w:val="22"/>
          <w:szCs w:val="22"/>
        </w:rPr>
      </w:pPr>
      <w:r w:rsidRPr="00D07B6C">
        <w:rPr>
          <w:b/>
          <w:sz w:val="22"/>
          <w:szCs w:val="22"/>
        </w:rPr>
        <w:lastRenderedPageBreak/>
        <w:t>Paragrahv 117</w:t>
      </w:r>
      <w:r w:rsidRPr="00D07B6C">
        <w:rPr>
          <w:sz w:val="22"/>
          <w:szCs w:val="22"/>
        </w:rPr>
        <w:t xml:space="preserve"> kehtestab karistamise võimaluse teenuseosutaja ümberkujundamise, ühinemise ja lõpetamisega seotud nõuete rikkumise korral. </w:t>
      </w:r>
    </w:p>
    <w:p w14:paraId="4F337215" w14:textId="77777777" w:rsidR="003057ED" w:rsidRPr="00D07B6C" w:rsidRDefault="003057ED" w:rsidP="003057ED">
      <w:pPr>
        <w:spacing w:before="0"/>
        <w:rPr>
          <w:sz w:val="22"/>
          <w:szCs w:val="22"/>
        </w:rPr>
      </w:pPr>
    </w:p>
    <w:p w14:paraId="03AC6161" w14:textId="77777777" w:rsidR="003057ED" w:rsidRPr="00D07B6C" w:rsidRDefault="003057ED" w:rsidP="003057ED">
      <w:pPr>
        <w:spacing w:before="0"/>
        <w:rPr>
          <w:bCs/>
          <w:sz w:val="22"/>
          <w:szCs w:val="22"/>
        </w:rPr>
      </w:pPr>
      <w:r w:rsidRPr="00D07B6C">
        <w:rPr>
          <w:b/>
          <w:bCs/>
          <w:sz w:val="22"/>
          <w:szCs w:val="22"/>
        </w:rPr>
        <w:t>Paragrahv 118</w:t>
      </w:r>
      <w:r w:rsidRPr="00D07B6C">
        <w:rPr>
          <w:bCs/>
          <w:sz w:val="22"/>
          <w:szCs w:val="22"/>
        </w:rPr>
        <w:t xml:space="preserve"> kehtestab karistamise võimaluse EL </w:t>
      </w:r>
      <w:proofErr w:type="spellStart"/>
      <w:r w:rsidRPr="00D07B6C">
        <w:rPr>
          <w:bCs/>
          <w:sz w:val="22"/>
          <w:szCs w:val="22"/>
        </w:rPr>
        <w:t>ühisrahastusmääruses</w:t>
      </w:r>
      <w:proofErr w:type="spellEnd"/>
      <w:r w:rsidRPr="00D07B6C">
        <w:rPr>
          <w:bCs/>
          <w:sz w:val="22"/>
          <w:szCs w:val="22"/>
        </w:rPr>
        <w:t xml:space="preserve"> (2020/1503 sätestatud nõuete rikkumise korral viidatud määruse alusel tegevusloa saanud isikutele. </w:t>
      </w:r>
    </w:p>
    <w:p w14:paraId="0720803D" w14:textId="77777777" w:rsidR="003057ED" w:rsidRPr="00D07B6C" w:rsidRDefault="003057ED" w:rsidP="003057ED">
      <w:pPr>
        <w:spacing w:before="0"/>
        <w:rPr>
          <w:bCs/>
          <w:sz w:val="22"/>
          <w:szCs w:val="22"/>
        </w:rPr>
      </w:pPr>
      <w:r w:rsidRPr="00D07B6C">
        <w:rPr>
          <w:bCs/>
          <w:sz w:val="22"/>
          <w:szCs w:val="22"/>
        </w:rPr>
        <w:t xml:space="preserve">Vastav alus tuleb viidatud määruse artiklist 39. </w:t>
      </w:r>
    </w:p>
    <w:p w14:paraId="04E447E8" w14:textId="77777777" w:rsidR="003057ED" w:rsidRPr="00D07B6C" w:rsidRDefault="003057ED" w:rsidP="003057ED">
      <w:pPr>
        <w:pStyle w:val="SLONormal"/>
        <w:spacing w:before="0" w:after="0"/>
        <w:rPr>
          <w:sz w:val="22"/>
          <w:szCs w:val="22"/>
          <w:lang w:val="et-EE"/>
        </w:rPr>
      </w:pPr>
      <w:r w:rsidRPr="00D07B6C">
        <w:rPr>
          <w:sz w:val="22"/>
          <w:szCs w:val="22"/>
          <w:lang w:val="et-EE"/>
        </w:rPr>
        <w:t xml:space="preserve">Täpsemalt on Finantsinspektsioonil võimalike rikkumiste korral </w:t>
      </w:r>
      <w:proofErr w:type="spellStart"/>
      <w:r w:rsidRPr="00D07B6C">
        <w:rPr>
          <w:sz w:val="22"/>
          <w:szCs w:val="22"/>
          <w:lang w:val="et-EE"/>
        </w:rPr>
        <w:t>ühisrahastusteenuse</w:t>
      </w:r>
      <w:proofErr w:type="spellEnd"/>
      <w:r w:rsidRPr="00D07B6C">
        <w:rPr>
          <w:sz w:val="22"/>
          <w:szCs w:val="22"/>
          <w:lang w:val="et-EE"/>
        </w:rPr>
        <w:t xml:space="preserve">  osutajat väärteo korras sanktsioneerida EL määruse 2020/1503 järgmistes artiklites sätestatud nõuete rikkumiste eest: </w:t>
      </w:r>
    </w:p>
    <w:p w14:paraId="44A7350C"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3, mis näeb ette üldised teenuse osutamise nõuded;</w:t>
      </w:r>
    </w:p>
    <w:p w14:paraId="5DAAD5D0"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4, mis näeb ette juhtimise kohustused;</w:t>
      </w:r>
    </w:p>
    <w:p w14:paraId="7DD97F33"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 xml:space="preserve">artikkel 5, mis näeb ette kohustuse kontrollida </w:t>
      </w:r>
      <w:proofErr w:type="spellStart"/>
      <w:r w:rsidRPr="00D07B6C">
        <w:rPr>
          <w:sz w:val="22"/>
          <w:szCs w:val="22"/>
          <w:lang w:val="et-EE"/>
        </w:rPr>
        <w:t>ühisrahastusprojekti</w:t>
      </w:r>
      <w:proofErr w:type="spellEnd"/>
      <w:r w:rsidRPr="00D07B6C">
        <w:rPr>
          <w:sz w:val="22"/>
          <w:szCs w:val="22"/>
          <w:lang w:val="et-EE"/>
        </w:rPr>
        <w:t xml:space="preserve"> tausta;</w:t>
      </w:r>
    </w:p>
    <w:p w14:paraId="1BF1C449"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 xml:space="preserve">artikli 6 lõiked 1–6, mis näeb ette nõuded, kuidas võimaldatakse nn automaatset investeerimist </w:t>
      </w:r>
      <w:proofErr w:type="spellStart"/>
      <w:r w:rsidRPr="00D07B6C">
        <w:rPr>
          <w:sz w:val="22"/>
          <w:szCs w:val="22"/>
          <w:lang w:val="et-EE"/>
        </w:rPr>
        <w:t>ühisrahastusprojektidesse</w:t>
      </w:r>
      <w:proofErr w:type="spellEnd"/>
      <w:r w:rsidRPr="00D07B6C">
        <w:rPr>
          <w:sz w:val="22"/>
          <w:szCs w:val="22"/>
          <w:lang w:val="et-EE"/>
        </w:rPr>
        <w:t>;</w:t>
      </w:r>
    </w:p>
    <w:p w14:paraId="2503E8A2"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artikli 7 lõiked 1–4, mis näeb ette nõuded, kuidas kliendikaebusi menetletakse;</w:t>
      </w:r>
    </w:p>
    <w:p w14:paraId="2200469A"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artikli 8 lõiked 1–6, millega nähakse ette huvide konfliktide vältimise/maandamise nõuded;</w:t>
      </w:r>
    </w:p>
    <w:p w14:paraId="7FA13AD0"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artikli 9 lõiked 1 ja 2, millega nähakse ette teenuse edasiandmise nõuded;</w:t>
      </w:r>
    </w:p>
    <w:p w14:paraId="675A3898"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10, millega nähakse ette klientide rahaliste vahendite hoidmise ja makseteenuste osutamise nõuded;</w:t>
      </w:r>
    </w:p>
    <w:p w14:paraId="0B3A02F4"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11, millega nähakse ette kapitalinõuded;</w:t>
      </w:r>
    </w:p>
    <w:p w14:paraId="4B8FF50D"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12 lõige 1 ja artikkel 13 lõige 2, millega nähakse ette tegevusloa taotlemise nõuded;</w:t>
      </w:r>
    </w:p>
    <w:p w14:paraId="6CB8C637"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15 lõiked 2 ja 3, millega nähakse ette nõue teavitada järelevalveasutust võimalikest muudatustest oma tegevuses;</w:t>
      </w:r>
    </w:p>
    <w:p w14:paraId="07992BA9"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16 lõige 1, millega nähakse ette raporteerimise nõuded;</w:t>
      </w:r>
    </w:p>
    <w:p w14:paraId="1A2CB9A7"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18 lõiked 1 ja 4, piiriülese teenuse osutamise nõuded;</w:t>
      </w:r>
    </w:p>
    <w:p w14:paraId="40DB0B8B"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19 lõiked 1–6, investorite informeerimise nõuded;</w:t>
      </w:r>
    </w:p>
    <w:p w14:paraId="2E569F1A"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20 lõiked 1 ja 2, info andmise nõuded makseviivituste korral;</w:t>
      </w:r>
    </w:p>
    <w:p w14:paraId="4C22667C"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21 lõiked 1–7, investorite testimise nõuded;</w:t>
      </w:r>
    </w:p>
    <w:p w14:paraId="5EC28C2B"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22, taganemiseõiguse võimaldamise kohustus;</w:t>
      </w:r>
    </w:p>
    <w:p w14:paraId="688847C1"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23, lõiked 2–13 ja artikkel 24, põhiteabedokumendi koostamise ja avaldamise nõuded;</w:t>
      </w:r>
    </w:p>
    <w:p w14:paraId="4F3593CD"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25, nõuded nn keskkonnale, mis võimaldab investoritele ostu- ja müügihuvide nö reklaamimist;</w:t>
      </w:r>
    </w:p>
    <w:p w14:paraId="5573ED66"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26, andmete säilitamise ja juurdepääsu tagamise nõuded;</w:t>
      </w:r>
    </w:p>
    <w:p w14:paraId="5B67384C"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27 lõiked 1–3, reklaaminõuded;</w:t>
      </w:r>
    </w:p>
    <w:p w14:paraId="21E79813" w14:textId="77777777" w:rsidR="003057ED" w:rsidRPr="00D07B6C" w:rsidRDefault="003057ED" w:rsidP="002B2C7C">
      <w:pPr>
        <w:pStyle w:val="SLONormal"/>
        <w:numPr>
          <w:ilvl w:val="0"/>
          <w:numId w:val="36"/>
        </w:numPr>
        <w:spacing w:before="0" w:after="0"/>
        <w:ind w:left="284" w:hanging="284"/>
        <w:rPr>
          <w:sz w:val="22"/>
          <w:szCs w:val="22"/>
          <w:lang w:val="et-EE"/>
        </w:rPr>
      </w:pPr>
      <w:r w:rsidRPr="00D07B6C">
        <w:rPr>
          <w:sz w:val="22"/>
          <w:szCs w:val="22"/>
          <w:lang w:val="et-EE"/>
        </w:rPr>
        <w:t>artikkel 30 lõige 1, juurdepääsu tagamise nõuded finantsjärelevalvele ja audiitoritele.</w:t>
      </w:r>
    </w:p>
    <w:p w14:paraId="4CC1C9EC" w14:textId="77777777" w:rsidR="003057ED" w:rsidRPr="00D07B6C" w:rsidRDefault="003057ED" w:rsidP="003057ED">
      <w:pPr>
        <w:spacing w:before="0"/>
        <w:rPr>
          <w:sz w:val="22"/>
          <w:szCs w:val="22"/>
        </w:rPr>
      </w:pPr>
    </w:p>
    <w:p w14:paraId="416C4557" w14:textId="77777777" w:rsidR="003057ED" w:rsidRPr="00D07B6C" w:rsidRDefault="003057ED" w:rsidP="003057ED">
      <w:pPr>
        <w:pStyle w:val="Normal2"/>
        <w:rPr>
          <w:szCs w:val="22"/>
        </w:rPr>
      </w:pPr>
      <w:r w:rsidRPr="00D07B6C">
        <w:rPr>
          <w:b/>
          <w:szCs w:val="22"/>
        </w:rPr>
        <w:t>Paragrahviga 119</w:t>
      </w:r>
      <w:r w:rsidRPr="00D07B6C">
        <w:rPr>
          <w:szCs w:val="22"/>
        </w:rPr>
        <w:t xml:space="preserve"> täpsustatakse, et 12. peatükis sätestatud väärtegude kohtuväline </w:t>
      </w:r>
      <w:proofErr w:type="spellStart"/>
      <w:r w:rsidRPr="00D07B6C">
        <w:rPr>
          <w:szCs w:val="22"/>
        </w:rPr>
        <w:t>menetleja</w:t>
      </w:r>
      <w:proofErr w:type="spellEnd"/>
      <w:r w:rsidRPr="00D07B6C">
        <w:rPr>
          <w:szCs w:val="22"/>
        </w:rPr>
        <w:t xml:space="preserve"> on Finantsinspektsioon. Tegemist on tavapärase finantsjärelevalvesubjekti normiga, mis sisaldub ka kõikides teistes finantssektori eriseadustes.</w:t>
      </w:r>
    </w:p>
    <w:bookmarkEnd w:id="6"/>
    <w:bookmarkEnd w:id="7"/>
    <w:p w14:paraId="65E3FD51" w14:textId="77777777" w:rsidR="00E45768" w:rsidRDefault="00E45768" w:rsidP="00D375E5">
      <w:pPr>
        <w:spacing w:before="0"/>
        <w:rPr>
          <w:sz w:val="22"/>
          <w:szCs w:val="22"/>
        </w:rPr>
      </w:pPr>
    </w:p>
    <w:p w14:paraId="64D1A813" w14:textId="77777777" w:rsidR="003057ED" w:rsidRDefault="003057ED" w:rsidP="003057ED">
      <w:pPr>
        <w:spacing w:before="0"/>
        <w:rPr>
          <w:sz w:val="22"/>
          <w:szCs w:val="22"/>
        </w:rPr>
      </w:pPr>
      <w:r w:rsidRPr="00142DFD">
        <w:rPr>
          <w:b/>
          <w:sz w:val="22"/>
          <w:szCs w:val="22"/>
        </w:rPr>
        <w:t>Seaduse 13. peatükk</w:t>
      </w:r>
      <w:r w:rsidRPr="00142DFD">
        <w:rPr>
          <w:sz w:val="22"/>
          <w:szCs w:val="22"/>
        </w:rPr>
        <w:t xml:space="preserve"> kehtestab rakendussätted.</w:t>
      </w:r>
    </w:p>
    <w:p w14:paraId="5A29DC02" w14:textId="77777777" w:rsidR="003057ED" w:rsidRPr="005A55CA" w:rsidRDefault="003057ED" w:rsidP="003057ED">
      <w:pPr>
        <w:spacing w:before="0"/>
        <w:rPr>
          <w:sz w:val="22"/>
          <w:szCs w:val="22"/>
        </w:rPr>
      </w:pPr>
    </w:p>
    <w:p w14:paraId="12EA2347" w14:textId="77777777" w:rsidR="003057ED" w:rsidRPr="005A55CA" w:rsidRDefault="003057ED" w:rsidP="003057ED">
      <w:pPr>
        <w:spacing w:before="0"/>
        <w:rPr>
          <w:b/>
          <w:bCs/>
          <w:sz w:val="22"/>
          <w:szCs w:val="22"/>
        </w:rPr>
      </w:pPr>
      <w:r w:rsidRPr="005A55CA">
        <w:rPr>
          <w:b/>
          <w:bCs/>
          <w:sz w:val="22"/>
          <w:szCs w:val="22"/>
        </w:rPr>
        <w:t>Paragrahv 1</w:t>
      </w:r>
      <w:r>
        <w:rPr>
          <w:b/>
          <w:bCs/>
          <w:sz w:val="22"/>
          <w:szCs w:val="22"/>
        </w:rPr>
        <w:t>20</w:t>
      </w:r>
      <w:r w:rsidRPr="005A55CA">
        <w:rPr>
          <w:b/>
          <w:bCs/>
          <w:sz w:val="22"/>
          <w:szCs w:val="22"/>
        </w:rPr>
        <w:t xml:space="preserve"> </w:t>
      </w:r>
      <w:r w:rsidRPr="005A55CA">
        <w:rPr>
          <w:bCs/>
          <w:sz w:val="22"/>
          <w:szCs w:val="22"/>
        </w:rPr>
        <w:t xml:space="preserve">kehtestab üleminekusätted ja tegevuse kooskõlla viimise nõuded teenuseosutajatele, kes käesoleval ajal pakuvad </w:t>
      </w:r>
      <w:r>
        <w:rPr>
          <w:bCs/>
          <w:sz w:val="22"/>
          <w:szCs w:val="22"/>
        </w:rPr>
        <w:t>eelnõu kohaldamisalas</w:t>
      </w:r>
      <w:r w:rsidRPr="005A55CA">
        <w:rPr>
          <w:bCs/>
          <w:sz w:val="22"/>
          <w:szCs w:val="22"/>
        </w:rPr>
        <w:t xml:space="preserve"> olevaid teenuseid.</w:t>
      </w:r>
    </w:p>
    <w:p w14:paraId="3B581982" w14:textId="77777777" w:rsidR="003057ED" w:rsidRPr="005A55CA" w:rsidRDefault="003057ED" w:rsidP="003057ED">
      <w:pPr>
        <w:spacing w:before="0"/>
        <w:rPr>
          <w:sz w:val="22"/>
          <w:szCs w:val="22"/>
        </w:rPr>
      </w:pPr>
    </w:p>
    <w:p w14:paraId="3DD76B57" w14:textId="77777777" w:rsidR="003057ED" w:rsidRPr="00B6064C" w:rsidRDefault="003057ED" w:rsidP="003057ED">
      <w:pPr>
        <w:spacing w:before="0"/>
        <w:rPr>
          <w:sz w:val="22"/>
          <w:szCs w:val="22"/>
        </w:rPr>
      </w:pPr>
      <w:r w:rsidRPr="005A55CA">
        <w:rPr>
          <w:b/>
          <w:sz w:val="22"/>
          <w:szCs w:val="22"/>
        </w:rPr>
        <w:t>Lõike 1</w:t>
      </w:r>
      <w:r w:rsidRPr="005A55CA">
        <w:rPr>
          <w:sz w:val="22"/>
          <w:szCs w:val="22"/>
        </w:rPr>
        <w:t xml:space="preserve"> </w:t>
      </w:r>
      <w:r w:rsidRPr="00B6064C">
        <w:rPr>
          <w:sz w:val="22"/>
          <w:szCs w:val="22"/>
        </w:rPr>
        <w:t xml:space="preserve">kohaselt peab krediidivahendaja, kes on asutatud ja tegutsenud enne käesoleva seaduse jõustumist ja kellel on kehtiv tegevusluba krediidiandjate ja –vahendajate seaduse § 2 lõike 2 alusel, oma äritegevuse jätkamiseks taotlema Finantsinspektsioonilt </w:t>
      </w:r>
      <w:proofErr w:type="spellStart"/>
      <w:r>
        <w:rPr>
          <w:sz w:val="22"/>
          <w:szCs w:val="22"/>
        </w:rPr>
        <w:t>ühisrahastusteenuse</w:t>
      </w:r>
      <w:proofErr w:type="spellEnd"/>
      <w:r>
        <w:rPr>
          <w:sz w:val="22"/>
          <w:szCs w:val="22"/>
        </w:rPr>
        <w:t xml:space="preserve"> osutaja</w:t>
      </w:r>
      <w:r w:rsidRPr="00B6064C">
        <w:rPr>
          <w:sz w:val="22"/>
          <w:szCs w:val="22"/>
        </w:rPr>
        <w:t xml:space="preserve"> tegevusluba ning viima oma tegevuse ja dokumendid käesolevas seaduses sätestatuga vastavusse 202</w:t>
      </w:r>
      <w:r>
        <w:rPr>
          <w:sz w:val="22"/>
          <w:szCs w:val="22"/>
        </w:rPr>
        <w:t>4</w:t>
      </w:r>
      <w:r w:rsidRPr="00B6064C">
        <w:rPr>
          <w:sz w:val="22"/>
          <w:szCs w:val="22"/>
        </w:rPr>
        <w:t xml:space="preserve">. aasta </w:t>
      </w:r>
      <w:r>
        <w:rPr>
          <w:sz w:val="22"/>
          <w:szCs w:val="22"/>
        </w:rPr>
        <w:t>1</w:t>
      </w:r>
      <w:r w:rsidRPr="00B6064C">
        <w:rPr>
          <w:sz w:val="22"/>
          <w:szCs w:val="22"/>
        </w:rPr>
        <w:t xml:space="preserve">. </w:t>
      </w:r>
      <w:r>
        <w:rPr>
          <w:sz w:val="22"/>
          <w:szCs w:val="22"/>
        </w:rPr>
        <w:t xml:space="preserve">aprilliks. </w:t>
      </w:r>
      <w:r w:rsidRPr="00B6064C">
        <w:rPr>
          <w:sz w:val="22"/>
          <w:szCs w:val="22"/>
        </w:rPr>
        <w:t xml:space="preserve">Siia alla kuuluvad sellised </w:t>
      </w:r>
      <w:proofErr w:type="spellStart"/>
      <w:r w:rsidRPr="00B6064C">
        <w:rPr>
          <w:sz w:val="22"/>
          <w:szCs w:val="22"/>
        </w:rPr>
        <w:t>ühisrahastusteenuse</w:t>
      </w:r>
      <w:proofErr w:type="spellEnd"/>
      <w:r w:rsidRPr="00B6064C">
        <w:rPr>
          <w:sz w:val="22"/>
          <w:szCs w:val="22"/>
        </w:rPr>
        <w:t xml:space="preserve"> osutajad, kes vahendavad tarbijale krediiti. Seadusandja soov on </w:t>
      </w:r>
      <w:proofErr w:type="spellStart"/>
      <w:r w:rsidRPr="00B6064C">
        <w:rPr>
          <w:sz w:val="22"/>
          <w:szCs w:val="22"/>
        </w:rPr>
        <w:t>ühisrahastusteenused</w:t>
      </w:r>
      <w:proofErr w:type="spellEnd"/>
      <w:r w:rsidRPr="00B6064C">
        <w:rPr>
          <w:sz w:val="22"/>
          <w:szCs w:val="22"/>
        </w:rPr>
        <w:t xml:space="preserve"> koondada käesoleva seaduse alla. Kui KAVS § 2 lõike 2 alusel vahendatakse krediiti, kuid ei võimaldata </w:t>
      </w:r>
      <w:r>
        <w:rPr>
          <w:sz w:val="22"/>
          <w:szCs w:val="22"/>
        </w:rPr>
        <w:t xml:space="preserve">eelnõu </w:t>
      </w:r>
      <w:r w:rsidRPr="00B6064C">
        <w:rPr>
          <w:sz w:val="22"/>
          <w:szCs w:val="22"/>
        </w:rPr>
        <w:t>kohastesse investeerimis</w:t>
      </w:r>
      <w:r>
        <w:rPr>
          <w:sz w:val="22"/>
          <w:szCs w:val="22"/>
        </w:rPr>
        <w:t>projektidesse</w:t>
      </w:r>
      <w:r w:rsidRPr="00B6064C">
        <w:rPr>
          <w:sz w:val="22"/>
          <w:szCs w:val="22"/>
        </w:rPr>
        <w:t xml:space="preserve"> investeerimist, siis sellise teenuste puhul midagi ei muutu ja teenuseosutajale käesolevat nõuet ei rakendata. </w:t>
      </w:r>
      <w:proofErr w:type="spellStart"/>
      <w:r w:rsidRPr="00B6064C">
        <w:rPr>
          <w:sz w:val="22"/>
          <w:szCs w:val="22"/>
        </w:rPr>
        <w:t>KAVSi</w:t>
      </w:r>
      <w:proofErr w:type="spellEnd"/>
      <w:r w:rsidRPr="00B6064C">
        <w:rPr>
          <w:sz w:val="22"/>
          <w:szCs w:val="22"/>
        </w:rPr>
        <w:t xml:space="preserve"> alusel käesoleval ajal </w:t>
      </w:r>
      <w:proofErr w:type="spellStart"/>
      <w:r w:rsidRPr="00B6064C">
        <w:rPr>
          <w:sz w:val="22"/>
          <w:szCs w:val="22"/>
        </w:rPr>
        <w:t>ühisrahastusteenuseid</w:t>
      </w:r>
      <w:proofErr w:type="spellEnd"/>
      <w:r w:rsidRPr="00B6064C">
        <w:rPr>
          <w:sz w:val="22"/>
          <w:szCs w:val="22"/>
        </w:rPr>
        <w:t xml:space="preserve"> pakkuvad ettevõtjad on vaja koondada </w:t>
      </w:r>
      <w:r>
        <w:rPr>
          <w:sz w:val="22"/>
          <w:szCs w:val="22"/>
        </w:rPr>
        <w:t>eelnõu</w:t>
      </w:r>
      <w:r w:rsidRPr="00B6064C">
        <w:rPr>
          <w:sz w:val="22"/>
          <w:szCs w:val="22"/>
        </w:rPr>
        <w:t xml:space="preserve"> alla muuhulgas ka seetõttu, et rakendada tõhusaid investorkaitse meetmeid.</w:t>
      </w:r>
      <w:r>
        <w:rPr>
          <w:sz w:val="22"/>
          <w:szCs w:val="22"/>
        </w:rPr>
        <w:t xml:space="preserve"> </w:t>
      </w:r>
    </w:p>
    <w:p w14:paraId="0C3DBDA7" w14:textId="77777777" w:rsidR="003057ED" w:rsidRPr="00B6064C" w:rsidRDefault="003057ED" w:rsidP="003057ED">
      <w:pPr>
        <w:spacing w:before="0"/>
        <w:rPr>
          <w:sz w:val="22"/>
          <w:szCs w:val="22"/>
        </w:rPr>
      </w:pPr>
    </w:p>
    <w:p w14:paraId="37A1695D" w14:textId="77777777" w:rsidR="003057ED" w:rsidRPr="00B6064C" w:rsidRDefault="003057ED" w:rsidP="003057ED">
      <w:pPr>
        <w:spacing w:before="0"/>
        <w:rPr>
          <w:sz w:val="22"/>
          <w:szCs w:val="22"/>
        </w:rPr>
      </w:pPr>
      <w:r w:rsidRPr="00B6064C">
        <w:rPr>
          <w:b/>
          <w:sz w:val="22"/>
          <w:szCs w:val="22"/>
        </w:rPr>
        <w:t>Lõike 2</w:t>
      </w:r>
      <w:r w:rsidRPr="00B6064C">
        <w:rPr>
          <w:sz w:val="22"/>
          <w:szCs w:val="22"/>
        </w:rPr>
        <w:t xml:space="preserve"> kohaselt peab virtuaalvääringu teenuse pakkuja , kellele on enne käesoleva s</w:t>
      </w:r>
      <w:r>
        <w:rPr>
          <w:sz w:val="22"/>
          <w:szCs w:val="22"/>
        </w:rPr>
        <w:t>e</w:t>
      </w:r>
      <w:r w:rsidRPr="00B6064C">
        <w:rPr>
          <w:sz w:val="22"/>
          <w:szCs w:val="22"/>
        </w:rPr>
        <w:t>aduse jõust</w:t>
      </w:r>
      <w:r>
        <w:rPr>
          <w:sz w:val="22"/>
          <w:szCs w:val="22"/>
        </w:rPr>
        <w:t>u</w:t>
      </w:r>
      <w:r w:rsidRPr="00B6064C">
        <w:rPr>
          <w:sz w:val="22"/>
          <w:szCs w:val="22"/>
        </w:rPr>
        <w:t>mist väljastatud rahapesu ja terrorismi rahastamise tõkestamise seaduse alusel tegevusluba</w:t>
      </w:r>
      <w:r>
        <w:rPr>
          <w:sz w:val="22"/>
          <w:szCs w:val="22"/>
        </w:rPr>
        <w:t xml:space="preserve"> ning kes soovib </w:t>
      </w:r>
      <w:r>
        <w:rPr>
          <w:sz w:val="22"/>
          <w:szCs w:val="22"/>
        </w:rPr>
        <w:lastRenderedPageBreak/>
        <w:t xml:space="preserve">alates 2024. aasta 1. aprillist osutada </w:t>
      </w:r>
      <w:proofErr w:type="spellStart"/>
      <w:r>
        <w:rPr>
          <w:sz w:val="22"/>
          <w:szCs w:val="22"/>
        </w:rPr>
        <w:t>krüptovarateenuseid</w:t>
      </w:r>
      <w:proofErr w:type="spellEnd"/>
      <w:r>
        <w:rPr>
          <w:sz w:val="22"/>
          <w:szCs w:val="22"/>
        </w:rPr>
        <w:t xml:space="preserve"> käesoleva seaduse alusel</w:t>
      </w:r>
      <w:r w:rsidRPr="00B6064C">
        <w:rPr>
          <w:sz w:val="22"/>
          <w:szCs w:val="22"/>
        </w:rPr>
        <w:t xml:space="preserve">, </w:t>
      </w:r>
      <w:r>
        <w:rPr>
          <w:sz w:val="22"/>
          <w:szCs w:val="22"/>
        </w:rPr>
        <w:t xml:space="preserve">peab </w:t>
      </w:r>
      <w:r w:rsidRPr="00B6064C">
        <w:rPr>
          <w:sz w:val="22"/>
          <w:szCs w:val="22"/>
        </w:rPr>
        <w:t>taotlema Finantsinspektsioonilt käesolevas seaduses sätestatud tegevusloa</w:t>
      </w:r>
      <w:r>
        <w:rPr>
          <w:sz w:val="22"/>
          <w:szCs w:val="22"/>
        </w:rPr>
        <w:t xml:space="preserve">. Arvestades turuosaliste võrdlemisi suurt hulka eelnõu koostamise ajal on eelnõu koostajate hinnangul vajalik ette näha täiendav üleminekuperiood Finantsinspektsioonile, et viimasel oleks võimalik kaasata lisaressurssi täiendavate tegevusloa </w:t>
      </w:r>
      <w:r w:rsidRPr="00A00037">
        <w:rPr>
          <w:sz w:val="22"/>
          <w:szCs w:val="22"/>
        </w:rPr>
        <w:t>menetluste läbiviimiseks.</w:t>
      </w:r>
      <w:r w:rsidRPr="00087CF2">
        <w:rPr>
          <w:sz w:val="22"/>
          <w:szCs w:val="22"/>
        </w:rPr>
        <w:t xml:space="preserve"> Arvestades, et </w:t>
      </w:r>
      <w:proofErr w:type="spellStart"/>
      <w:r w:rsidRPr="00087CF2">
        <w:rPr>
          <w:sz w:val="22"/>
          <w:szCs w:val="22"/>
        </w:rPr>
        <w:t>Raha</w:t>
      </w:r>
      <w:r w:rsidRPr="00392520">
        <w:rPr>
          <w:sz w:val="22"/>
          <w:szCs w:val="22"/>
        </w:rPr>
        <w:t>PTS</w:t>
      </w:r>
      <w:proofErr w:type="spellEnd"/>
      <w:r w:rsidRPr="00392520">
        <w:rPr>
          <w:sz w:val="22"/>
          <w:szCs w:val="22"/>
        </w:rPr>
        <w:t xml:space="preserve"> alusel välja antud</w:t>
      </w:r>
      <w:r w:rsidRPr="0088634D">
        <w:rPr>
          <w:sz w:val="22"/>
          <w:szCs w:val="22"/>
        </w:rPr>
        <w:t xml:space="preserve"> virtuaalvääringu teenuse osutajate tegevusload </w:t>
      </w:r>
      <w:r w:rsidRPr="008A4107">
        <w:rPr>
          <w:sz w:val="22"/>
          <w:szCs w:val="22"/>
        </w:rPr>
        <w:t>m</w:t>
      </w:r>
      <w:r w:rsidRPr="005076AB">
        <w:rPr>
          <w:sz w:val="22"/>
          <w:szCs w:val="22"/>
        </w:rPr>
        <w:t>uutuvad kehtetuks</w:t>
      </w:r>
      <w:r w:rsidRPr="00CA20C7">
        <w:rPr>
          <w:sz w:val="22"/>
          <w:szCs w:val="22"/>
        </w:rPr>
        <w:t xml:space="preserve"> </w:t>
      </w:r>
      <w:r w:rsidRPr="00A00037">
        <w:rPr>
          <w:sz w:val="22"/>
          <w:szCs w:val="22"/>
        </w:rPr>
        <w:t xml:space="preserve">2024. aasta 1. aprillil </w:t>
      </w:r>
      <w:r w:rsidRPr="00A00037">
        <w:rPr>
          <w:b/>
          <w:sz w:val="22"/>
          <w:szCs w:val="22"/>
        </w:rPr>
        <w:t>(</w:t>
      </w:r>
      <w:r w:rsidRPr="00A00037">
        <w:rPr>
          <w:sz w:val="22"/>
          <w:szCs w:val="22"/>
        </w:rPr>
        <w:t xml:space="preserve">eelnõu </w:t>
      </w:r>
      <w:r w:rsidRPr="00A00037">
        <w:rPr>
          <w:b/>
          <w:sz w:val="22"/>
          <w:szCs w:val="22"/>
        </w:rPr>
        <w:t>§ 127 p 6</w:t>
      </w:r>
      <w:r w:rsidRPr="00A00037">
        <w:rPr>
          <w:sz w:val="22"/>
          <w:szCs w:val="22"/>
        </w:rPr>
        <w:t>), siis</w:t>
      </w:r>
      <w:r>
        <w:rPr>
          <w:sz w:val="22"/>
          <w:szCs w:val="22"/>
        </w:rPr>
        <w:t xml:space="preserve"> </w:t>
      </w:r>
      <w:r w:rsidRPr="00B6064C">
        <w:rPr>
          <w:sz w:val="22"/>
          <w:szCs w:val="22"/>
        </w:rPr>
        <w:t xml:space="preserve">peaksid </w:t>
      </w:r>
      <w:r>
        <w:rPr>
          <w:sz w:val="22"/>
          <w:szCs w:val="22"/>
        </w:rPr>
        <w:t>ka virtuaalvääringu teenuseosutajad</w:t>
      </w:r>
      <w:r w:rsidRPr="00B6064C">
        <w:rPr>
          <w:sz w:val="22"/>
          <w:szCs w:val="22"/>
        </w:rPr>
        <w:t xml:space="preserve"> ennast seaduse nõuetega vastavusse viima hiljemalt </w:t>
      </w:r>
      <w:r>
        <w:rPr>
          <w:sz w:val="22"/>
          <w:szCs w:val="22"/>
        </w:rPr>
        <w:t>samaks kuupäevaks.</w:t>
      </w:r>
      <w:r w:rsidRPr="00B6064C">
        <w:rPr>
          <w:sz w:val="22"/>
          <w:szCs w:val="22"/>
        </w:rPr>
        <w:t xml:space="preserve"> </w:t>
      </w:r>
      <w:r>
        <w:rPr>
          <w:sz w:val="22"/>
          <w:szCs w:val="22"/>
        </w:rPr>
        <w:t xml:space="preserve">Vastasel juhul kohaldatakse lõiget 4. </w:t>
      </w:r>
    </w:p>
    <w:p w14:paraId="4653E961" w14:textId="77777777" w:rsidR="003057ED" w:rsidRPr="00B6064C" w:rsidRDefault="003057ED" w:rsidP="003057ED">
      <w:pPr>
        <w:spacing w:before="0"/>
        <w:rPr>
          <w:sz w:val="22"/>
          <w:szCs w:val="22"/>
        </w:rPr>
      </w:pPr>
    </w:p>
    <w:p w14:paraId="1C2D0ADA" w14:textId="77777777" w:rsidR="003057ED" w:rsidRPr="00B6064C" w:rsidRDefault="003057ED" w:rsidP="003057ED">
      <w:pPr>
        <w:spacing w:before="0"/>
        <w:rPr>
          <w:sz w:val="22"/>
          <w:szCs w:val="22"/>
        </w:rPr>
      </w:pPr>
      <w:r w:rsidRPr="00B6064C">
        <w:rPr>
          <w:b/>
          <w:sz w:val="22"/>
          <w:szCs w:val="22"/>
        </w:rPr>
        <w:t>Lõike 3</w:t>
      </w:r>
      <w:r w:rsidRPr="00B6064C">
        <w:rPr>
          <w:sz w:val="22"/>
          <w:szCs w:val="22"/>
        </w:rPr>
        <w:t xml:space="preserve"> kohaselt, otsuse käesoleva paragrahvi lõikes 1 või 2 nimetatud isikule tegevusloa andmise või sellest keeldumise kohta teeb Finantsinspektsioon k</w:t>
      </w:r>
      <w:r>
        <w:rPr>
          <w:sz w:val="22"/>
          <w:szCs w:val="22"/>
        </w:rPr>
        <w:t>olme</w:t>
      </w:r>
      <w:r w:rsidRPr="00B6064C">
        <w:rPr>
          <w:sz w:val="22"/>
          <w:szCs w:val="22"/>
        </w:rPr>
        <w:t xml:space="preserve"> kuu jooksul kõigi vajalike nõuetekohaste andmete ja dokumentide saamisest ning nõuete täitmisest arvates, kuid mitte hiljem kui k</w:t>
      </w:r>
      <w:r>
        <w:rPr>
          <w:sz w:val="22"/>
          <w:szCs w:val="22"/>
        </w:rPr>
        <w:t>uue</w:t>
      </w:r>
      <w:r w:rsidRPr="00B6064C">
        <w:rPr>
          <w:sz w:val="22"/>
          <w:szCs w:val="22"/>
        </w:rPr>
        <w:t xml:space="preserve"> kuu möödumisel tegevusloa taotluse saamisest arvates.</w:t>
      </w:r>
    </w:p>
    <w:p w14:paraId="07061428" w14:textId="77777777" w:rsidR="003057ED" w:rsidRPr="00B6064C" w:rsidRDefault="003057ED" w:rsidP="003057ED">
      <w:pPr>
        <w:spacing w:before="0"/>
        <w:rPr>
          <w:sz w:val="22"/>
          <w:szCs w:val="22"/>
        </w:rPr>
      </w:pPr>
    </w:p>
    <w:p w14:paraId="0F3FF689" w14:textId="77777777" w:rsidR="003057ED" w:rsidRPr="00B6064C" w:rsidRDefault="003057ED" w:rsidP="003057ED">
      <w:pPr>
        <w:spacing w:before="0"/>
        <w:rPr>
          <w:sz w:val="22"/>
          <w:szCs w:val="22"/>
        </w:rPr>
      </w:pPr>
      <w:r w:rsidRPr="00B6064C">
        <w:rPr>
          <w:b/>
          <w:sz w:val="22"/>
          <w:szCs w:val="22"/>
        </w:rPr>
        <w:t>Lõike 4</w:t>
      </w:r>
      <w:r w:rsidRPr="00B6064C">
        <w:rPr>
          <w:sz w:val="22"/>
          <w:szCs w:val="22"/>
        </w:rPr>
        <w:t xml:space="preserve"> kohaselt, kui </w:t>
      </w:r>
      <w:r>
        <w:rPr>
          <w:sz w:val="22"/>
          <w:szCs w:val="22"/>
        </w:rPr>
        <w:t>sama paragrahvi lõikes 1 või 2 nimetatud teenuse osutaja on</w:t>
      </w:r>
      <w:r w:rsidRPr="00B6064C">
        <w:rPr>
          <w:sz w:val="22"/>
          <w:szCs w:val="22"/>
        </w:rPr>
        <w:t xml:space="preserve"> esitanud vastavalt käesolevale seadusele tegevusloa taotluse enne 202</w:t>
      </w:r>
      <w:r>
        <w:rPr>
          <w:sz w:val="22"/>
          <w:szCs w:val="22"/>
        </w:rPr>
        <w:t>4</w:t>
      </w:r>
      <w:r w:rsidRPr="00B6064C">
        <w:rPr>
          <w:sz w:val="22"/>
          <w:szCs w:val="22"/>
        </w:rPr>
        <w:t xml:space="preserve">. aasta </w:t>
      </w:r>
      <w:r>
        <w:rPr>
          <w:sz w:val="22"/>
          <w:szCs w:val="22"/>
        </w:rPr>
        <w:t xml:space="preserve">1. aprillist, </w:t>
      </w:r>
      <w:r w:rsidRPr="00B6064C">
        <w:rPr>
          <w:sz w:val="22"/>
          <w:szCs w:val="22"/>
        </w:rPr>
        <w:t xml:space="preserve">ja </w:t>
      </w:r>
      <w:r>
        <w:rPr>
          <w:sz w:val="22"/>
          <w:szCs w:val="22"/>
        </w:rPr>
        <w:t xml:space="preserve">vastavalt </w:t>
      </w:r>
      <w:r w:rsidRPr="00B6064C">
        <w:rPr>
          <w:sz w:val="22"/>
          <w:szCs w:val="22"/>
        </w:rPr>
        <w:t xml:space="preserve">käesoleva paragrahvi lõikes 1 </w:t>
      </w:r>
      <w:r>
        <w:rPr>
          <w:sz w:val="22"/>
          <w:szCs w:val="22"/>
        </w:rPr>
        <w:t xml:space="preserve">või 2 </w:t>
      </w:r>
      <w:r w:rsidRPr="00B6064C">
        <w:rPr>
          <w:sz w:val="22"/>
          <w:szCs w:val="22"/>
        </w:rPr>
        <w:t xml:space="preserve">nimetatud tähtajaks ei ole Finantsinspektsioon otsustanud tegevusloa andmist või sellest keeldumist, ei loeta krediidiandja või -vahendaja või virtuaalvääringu teenuseosutaja tegevust tegevusloata tegevuseks karistusseadustiku tähenduses. Sellisel juhul ei ole teenuseosutajal lubatud alates </w:t>
      </w:r>
      <w:r>
        <w:rPr>
          <w:sz w:val="22"/>
          <w:szCs w:val="22"/>
        </w:rPr>
        <w:t>vastavatest kuupäevadest</w:t>
      </w:r>
      <w:r w:rsidRPr="00B6064C">
        <w:rPr>
          <w:sz w:val="22"/>
          <w:szCs w:val="22"/>
        </w:rPr>
        <w:t xml:space="preserve"> kuni tegevusloa andmise või sellest keeldumise otsustamiseni teenuseid osutada.</w:t>
      </w:r>
    </w:p>
    <w:p w14:paraId="23E19B7F" w14:textId="77777777" w:rsidR="003057ED" w:rsidRPr="00B6064C" w:rsidRDefault="003057ED" w:rsidP="003057ED">
      <w:pPr>
        <w:spacing w:before="0"/>
        <w:rPr>
          <w:sz w:val="22"/>
          <w:szCs w:val="22"/>
        </w:rPr>
      </w:pPr>
    </w:p>
    <w:p w14:paraId="211713AE" w14:textId="77777777" w:rsidR="003057ED" w:rsidRPr="00B6064C" w:rsidRDefault="003057ED" w:rsidP="003057ED">
      <w:pPr>
        <w:spacing w:before="0"/>
        <w:rPr>
          <w:sz w:val="22"/>
          <w:szCs w:val="22"/>
        </w:rPr>
      </w:pPr>
      <w:r w:rsidRPr="00B6064C">
        <w:rPr>
          <w:b/>
          <w:sz w:val="22"/>
          <w:szCs w:val="22"/>
        </w:rPr>
        <w:t>Lõike 5</w:t>
      </w:r>
      <w:r w:rsidRPr="00B6064C">
        <w:rPr>
          <w:sz w:val="22"/>
          <w:szCs w:val="22"/>
        </w:rPr>
        <w:t xml:space="preserve"> kohaselt ei kohaldata käesolevas seaduses sätestatud nõudeid lepingute suhtes, mis on sõlmitud enne teenuseosutajale </w:t>
      </w:r>
      <w:r>
        <w:rPr>
          <w:sz w:val="22"/>
          <w:szCs w:val="22"/>
        </w:rPr>
        <w:t xml:space="preserve">käesoleva seaduse alusel </w:t>
      </w:r>
      <w:r w:rsidRPr="00B6064C">
        <w:rPr>
          <w:sz w:val="22"/>
          <w:szCs w:val="22"/>
        </w:rPr>
        <w:t xml:space="preserve">tegevusloa andmist. Kui leping on sõlmitud enne </w:t>
      </w:r>
      <w:r>
        <w:rPr>
          <w:sz w:val="22"/>
          <w:szCs w:val="22"/>
        </w:rPr>
        <w:t xml:space="preserve">käesoleva seaduse alusel </w:t>
      </w:r>
      <w:r w:rsidRPr="00B6064C">
        <w:rPr>
          <w:sz w:val="22"/>
          <w:szCs w:val="22"/>
        </w:rPr>
        <w:t>teenuseosutajale tegevusloa andmist, kohaldatakse teenuse</w:t>
      </w:r>
      <w:r>
        <w:rPr>
          <w:sz w:val="22"/>
          <w:szCs w:val="22"/>
        </w:rPr>
        <w:t xml:space="preserve"> </w:t>
      </w:r>
      <w:r w:rsidRPr="00B6064C">
        <w:rPr>
          <w:sz w:val="22"/>
          <w:szCs w:val="22"/>
        </w:rPr>
        <w:t>osutamisele ja sellega seotud toimingutele või asjaoludele alates teenuseosutajale tegevusloa andmisest või hiljemalt 202</w:t>
      </w:r>
      <w:r>
        <w:rPr>
          <w:sz w:val="22"/>
          <w:szCs w:val="22"/>
        </w:rPr>
        <w:t>4</w:t>
      </w:r>
      <w:r w:rsidRPr="00B6064C">
        <w:rPr>
          <w:sz w:val="22"/>
          <w:szCs w:val="22"/>
        </w:rPr>
        <w:t xml:space="preserve">. aasta </w:t>
      </w:r>
      <w:r>
        <w:rPr>
          <w:sz w:val="22"/>
          <w:szCs w:val="22"/>
        </w:rPr>
        <w:t>1. aprillist</w:t>
      </w:r>
      <w:r w:rsidRPr="00B6064C">
        <w:rPr>
          <w:sz w:val="22"/>
          <w:szCs w:val="22"/>
        </w:rPr>
        <w:t xml:space="preserve"> käesolevas seaduses sätestatut.</w:t>
      </w:r>
    </w:p>
    <w:p w14:paraId="0D5ACB10" w14:textId="77777777" w:rsidR="003057ED" w:rsidRPr="00B6064C" w:rsidRDefault="003057ED" w:rsidP="003057ED">
      <w:pPr>
        <w:spacing w:before="0"/>
        <w:rPr>
          <w:sz w:val="22"/>
          <w:szCs w:val="22"/>
        </w:rPr>
      </w:pPr>
    </w:p>
    <w:p w14:paraId="6F2CD7E9" w14:textId="77777777" w:rsidR="003057ED" w:rsidRDefault="003057ED" w:rsidP="003057ED">
      <w:pPr>
        <w:spacing w:before="0"/>
        <w:rPr>
          <w:sz w:val="22"/>
          <w:szCs w:val="22"/>
        </w:rPr>
      </w:pPr>
      <w:r w:rsidRPr="00B6064C">
        <w:rPr>
          <w:b/>
          <w:sz w:val="22"/>
          <w:szCs w:val="22"/>
        </w:rPr>
        <w:t>Lõike 6</w:t>
      </w:r>
      <w:r w:rsidRPr="00B6064C">
        <w:rPr>
          <w:sz w:val="22"/>
          <w:szCs w:val="22"/>
        </w:rPr>
        <w:t xml:space="preserve"> kohaselt ei pea teenuseosutaja, kes on asutatud ja tegutsenud enne käesoleva seaduse jõustumist ja kes alates 202</w:t>
      </w:r>
      <w:r>
        <w:rPr>
          <w:sz w:val="22"/>
          <w:szCs w:val="22"/>
        </w:rPr>
        <w:t>3</w:t>
      </w:r>
      <w:r w:rsidRPr="00B6064C">
        <w:rPr>
          <w:sz w:val="22"/>
          <w:szCs w:val="22"/>
        </w:rPr>
        <w:t xml:space="preserve">. aasta </w:t>
      </w:r>
      <w:r>
        <w:rPr>
          <w:sz w:val="22"/>
          <w:szCs w:val="22"/>
        </w:rPr>
        <w:t>1. juulist</w:t>
      </w:r>
      <w:r w:rsidRPr="00B6064C">
        <w:rPr>
          <w:sz w:val="22"/>
          <w:szCs w:val="22"/>
        </w:rPr>
        <w:t xml:space="preserve"> ei anna ega vahenda krediiti või ei osuta virtuaalvääringu teenust, taotlema Finantsinspektsioonilt tegevusluba. Krediidilepingule või virtuaalvääringu teenusega seotud lepingule, mille käesoleva lõike esimeses lauses nimetatud krediidiandja või -vahendaja või virtuaalvääringu teenuseosutaja on sõlminud enne 202</w:t>
      </w:r>
      <w:r>
        <w:rPr>
          <w:sz w:val="22"/>
          <w:szCs w:val="22"/>
        </w:rPr>
        <w:t>3</w:t>
      </w:r>
      <w:r w:rsidRPr="00B6064C">
        <w:rPr>
          <w:sz w:val="22"/>
          <w:szCs w:val="22"/>
        </w:rPr>
        <w:t xml:space="preserve">. aasta </w:t>
      </w:r>
      <w:r>
        <w:rPr>
          <w:sz w:val="22"/>
          <w:szCs w:val="22"/>
        </w:rPr>
        <w:t>1. juulit</w:t>
      </w:r>
      <w:r w:rsidRPr="00B6064C">
        <w:rPr>
          <w:sz w:val="22"/>
          <w:szCs w:val="22"/>
        </w:rPr>
        <w:t>, ei kohaldata käesolevas seaduses sätestatut.</w:t>
      </w:r>
    </w:p>
    <w:p w14:paraId="26640134" w14:textId="77777777" w:rsidR="003057ED" w:rsidRPr="00B6064C" w:rsidRDefault="003057ED" w:rsidP="003057ED">
      <w:pPr>
        <w:spacing w:before="0"/>
        <w:rPr>
          <w:sz w:val="22"/>
          <w:szCs w:val="22"/>
        </w:rPr>
      </w:pPr>
    </w:p>
    <w:p w14:paraId="658EEF98" w14:textId="77777777" w:rsidR="003057ED" w:rsidRPr="00D71A5E" w:rsidRDefault="003057ED" w:rsidP="003057ED">
      <w:pPr>
        <w:spacing w:before="0"/>
        <w:rPr>
          <w:sz w:val="22"/>
          <w:szCs w:val="22"/>
        </w:rPr>
      </w:pPr>
      <w:r w:rsidRPr="00B6064C">
        <w:rPr>
          <w:b/>
          <w:sz w:val="22"/>
          <w:szCs w:val="22"/>
        </w:rPr>
        <w:t>Lõike 7</w:t>
      </w:r>
      <w:r w:rsidRPr="00B6064C">
        <w:rPr>
          <w:sz w:val="22"/>
          <w:szCs w:val="22"/>
        </w:rPr>
        <w:t xml:space="preserve"> alusel kohaldatakse käesolevat seadust krediidiandjate ja –vahendajate seaduse § 53</w:t>
      </w:r>
      <w:r w:rsidRPr="00B6064C">
        <w:rPr>
          <w:sz w:val="22"/>
          <w:szCs w:val="22"/>
          <w:vertAlign w:val="superscript"/>
        </w:rPr>
        <w:t>1</w:t>
      </w:r>
      <w:r w:rsidRPr="00B6064C">
        <w:rPr>
          <w:sz w:val="22"/>
          <w:szCs w:val="22"/>
        </w:rPr>
        <w:t> lõike 2 punktis 5</w:t>
      </w:r>
      <w:r w:rsidRPr="00B6064C">
        <w:rPr>
          <w:sz w:val="22"/>
          <w:szCs w:val="22"/>
          <w:vertAlign w:val="superscript"/>
        </w:rPr>
        <w:t>1</w:t>
      </w:r>
      <w:r w:rsidRPr="00B6064C">
        <w:rPr>
          <w:sz w:val="22"/>
          <w:szCs w:val="22"/>
        </w:rPr>
        <w:t xml:space="preserve"> nimetatud krediidilepingule, mis on sõlmitud 202</w:t>
      </w:r>
      <w:r>
        <w:rPr>
          <w:sz w:val="22"/>
          <w:szCs w:val="22"/>
        </w:rPr>
        <w:t>4</w:t>
      </w:r>
      <w:r w:rsidRPr="00B6064C">
        <w:rPr>
          <w:sz w:val="22"/>
          <w:szCs w:val="22"/>
        </w:rPr>
        <w:t xml:space="preserve">. aasta </w:t>
      </w:r>
      <w:r>
        <w:rPr>
          <w:sz w:val="22"/>
          <w:szCs w:val="22"/>
        </w:rPr>
        <w:t>1. aprillil</w:t>
      </w:r>
      <w:r w:rsidRPr="00B6064C">
        <w:rPr>
          <w:sz w:val="22"/>
          <w:szCs w:val="22"/>
        </w:rPr>
        <w:t xml:space="preserve"> või hiljem. </w:t>
      </w:r>
      <w:proofErr w:type="spellStart"/>
      <w:r w:rsidRPr="00B6064C">
        <w:rPr>
          <w:sz w:val="22"/>
          <w:szCs w:val="22"/>
        </w:rPr>
        <w:t>KAVSi</w:t>
      </w:r>
      <w:proofErr w:type="spellEnd"/>
      <w:r w:rsidRPr="00B6064C">
        <w:rPr>
          <w:sz w:val="22"/>
          <w:szCs w:val="22"/>
        </w:rPr>
        <w:t xml:space="preserve"> kohaselt on selliseks lepinguks </w:t>
      </w:r>
      <w:r w:rsidRPr="00D71A5E">
        <w:rPr>
          <w:sz w:val="22"/>
          <w:szCs w:val="22"/>
        </w:rPr>
        <w:t>krediidileping, mis viitab võrdlusalusele Euroopa Parlamendi ja nõukogu määruse (EL) 2016/1011, mis käsitleb indekseid, mida kasutatakse võrdlusalustena finantsinstrumentide ja -lepingute puhul või investeerimisfondide tootluse mõõtmiseks, ning millega muudetakse direktiive 2008/48/EÜ ja 2014/17/EL ning määrust (EL) nr 596/2014 (ELT L 171, 29.06.2016, lk 1–65), artikli 3 lõike 1 punkti 3 tähenduses.</w:t>
      </w:r>
    </w:p>
    <w:p w14:paraId="378A93E7" w14:textId="77777777" w:rsidR="003057ED" w:rsidRPr="00D71A5E" w:rsidRDefault="003057ED" w:rsidP="003057ED">
      <w:pPr>
        <w:spacing w:before="0"/>
        <w:rPr>
          <w:sz w:val="22"/>
          <w:szCs w:val="22"/>
        </w:rPr>
      </w:pPr>
    </w:p>
    <w:p w14:paraId="5A58DE28" w14:textId="77777777" w:rsidR="003057ED" w:rsidRPr="005A55CA" w:rsidRDefault="003057ED" w:rsidP="003057ED">
      <w:pPr>
        <w:spacing w:before="0"/>
        <w:rPr>
          <w:bCs/>
          <w:sz w:val="22"/>
          <w:szCs w:val="22"/>
        </w:rPr>
      </w:pPr>
      <w:r w:rsidRPr="005A55CA">
        <w:rPr>
          <w:b/>
          <w:sz w:val="22"/>
          <w:szCs w:val="22"/>
        </w:rPr>
        <w:t>Paragrahv 1</w:t>
      </w:r>
      <w:r>
        <w:rPr>
          <w:b/>
          <w:sz w:val="22"/>
          <w:szCs w:val="22"/>
        </w:rPr>
        <w:t xml:space="preserve">21 </w:t>
      </w:r>
      <w:r w:rsidRPr="005A55CA">
        <w:rPr>
          <w:sz w:val="22"/>
          <w:szCs w:val="22"/>
        </w:rPr>
        <w:t xml:space="preserve">sätestab </w:t>
      </w:r>
      <w:r>
        <w:rPr>
          <w:sz w:val="22"/>
          <w:szCs w:val="22"/>
        </w:rPr>
        <w:t>F</w:t>
      </w:r>
      <w:r w:rsidRPr="005A55CA">
        <w:rPr>
          <w:sz w:val="22"/>
          <w:szCs w:val="22"/>
        </w:rPr>
        <w:t xml:space="preserve">inantsinspektsiooni seaduse muudatused. </w:t>
      </w:r>
    </w:p>
    <w:p w14:paraId="1E4F8B2F" w14:textId="77777777" w:rsidR="003057ED" w:rsidRDefault="003057ED" w:rsidP="003057ED">
      <w:pPr>
        <w:spacing w:before="0"/>
        <w:rPr>
          <w:b/>
          <w:sz w:val="22"/>
          <w:szCs w:val="22"/>
        </w:rPr>
      </w:pPr>
    </w:p>
    <w:p w14:paraId="6C9B5E11" w14:textId="77777777" w:rsidR="003057ED" w:rsidRPr="005A55CA" w:rsidRDefault="003057ED" w:rsidP="003057ED">
      <w:pPr>
        <w:spacing w:before="0"/>
        <w:rPr>
          <w:sz w:val="22"/>
          <w:szCs w:val="22"/>
        </w:rPr>
      </w:pPr>
      <w:r w:rsidRPr="005A55CA">
        <w:rPr>
          <w:b/>
          <w:sz w:val="22"/>
          <w:szCs w:val="22"/>
        </w:rPr>
        <w:t>P</w:t>
      </w:r>
      <w:r>
        <w:rPr>
          <w:b/>
          <w:sz w:val="22"/>
          <w:szCs w:val="22"/>
        </w:rPr>
        <w:t xml:space="preserve">unktiga 1 </w:t>
      </w:r>
      <w:r>
        <w:rPr>
          <w:sz w:val="22"/>
          <w:szCs w:val="22"/>
        </w:rPr>
        <w:t>muudetakse FIS</w:t>
      </w:r>
      <w:r w:rsidRPr="0007742C">
        <w:rPr>
          <w:sz w:val="22"/>
          <w:szCs w:val="22"/>
        </w:rPr>
        <w:t xml:space="preserve"> §</w:t>
      </w:r>
      <w:r>
        <w:rPr>
          <w:sz w:val="22"/>
          <w:szCs w:val="22"/>
        </w:rPr>
        <w:t xml:space="preserve"> </w:t>
      </w:r>
      <w:r w:rsidRPr="0007742C">
        <w:rPr>
          <w:sz w:val="22"/>
          <w:szCs w:val="22"/>
        </w:rPr>
        <w:t>2 lõi</w:t>
      </w:r>
      <w:r>
        <w:rPr>
          <w:sz w:val="22"/>
          <w:szCs w:val="22"/>
        </w:rPr>
        <w:t>get</w:t>
      </w:r>
      <w:r w:rsidRPr="0007742C">
        <w:rPr>
          <w:sz w:val="22"/>
          <w:szCs w:val="22"/>
        </w:rPr>
        <w:t xml:space="preserve"> 1</w:t>
      </w:r>
      <w:r>
        <w:rPr>
          <w:sz w:val="22"/>
          <w:szCs w:val="22"/>
        </w:rPr>
        <w:t xml:space="preserve"> selliselt, et samas sätestatud </w:t>
      </w:r>
      <w:r w:rsidRPr="005A55CA">
        <w:rPr>
          <w:sz w:val="22"/>
          <w:szCs w:val="22"/>
        </w:rPr>
        <w:t xml:space="preserve">seaduste loetletu täiendatakse </w:t>
      </w:r>
      <w:proofErr w:type="spellStart"/>
      <w:r>
        <w:rPr>
          <w:sz w:val="22"/>
          <w:szCs w:val="22"/>
        </w:rPr>
        <w:t>krüptovara</w:t>
      </w:r>
      <w:proofErr w:type="spellEnd"/>
      <w:r>
        <w:rPr>
          <w:sz w:val="22"/>
          <w:szCs w:val="22"/>
        </w:rPr>
        <w:t xml:space="preserve"> ja </w:t>
      </w:r>
      <w:proofErr w:type="spellStart"/>
      <w:r>
        <w:rPr>
          <w:sz w:val="22"/>
          <w:szCs w:val="22"/>
        </w:rPr>
        <w:t>ühisrahastuse</w:t>
      </w:r>
      <w:proofErr w:type="spellEnd"/>
      <w:r w:rsidRPr="005A55CA">
        <w:rPr>
          <w:sz w:val="22"/>
          <w:szCs w:val="22"/>
        </w:rPr>
        <w:t xml:space="preserve"> seadusega, mis annab Finantsinspektsioonile volitused järelevalve teostamiseks viimati nimetatud seaduse subjektide üle. </w:t>
      </w:r>
    </w:p>
    <w:p w14:paraId="1F74A3C5" w14:textId="77777777" w:rsidR="003057ED" w:rsidRPr="005A55CA" w:rsidRDefault="003057ED" w:rsidP="003057ED">
      <w:pPr>
        <w:spacing w:before="0"/>
        <w:rPr>
          <w:sz w:val="22"/>
          <w:szCs w:val="22"/>
        </w:rPr>
      </w:pPr>
    </w:p>
    <w:p w14:paraId="58BB7E21" w14:textId="77777777" w:rsidR="003057ED" w:rsidRDefault="003057ED" w:rsidP="003057ED">
      <w:pPr>
        <w:spacing w:before="0"/>
        <w:rPr>
          <w:sz w:val="22"/>
          <w:szCs w:val="22"/>
        </w:rPr>
      </w:pPr>
      <w:r>
        <w:rPr>
          <w:b/>
          <w:sz w:val="22"/>
          <w:szCs w:val="22"/>
        </w:rPr>
        <w:t xml:space="preserve">Punktiga 2 </w:t>
      </w:r>
      <w:r>
        <w:rPr>
          <w:sz w:val="22"/>
          <w:szCs w:val="22"/>
        </w:rPr>
        <w:t xml:space="preserve">muudetakse </w:t>
      </w:r>
      <w:r w:rsidRPr="0007742C">
        <w:rPr>
          <w:sz w:val="22"/>
          <w:szCs w:val="22"/>
        </w:rPr>
        <w:t xml:space="preserve">FIS § 38 lõiget 2. </w:t>
      </w:r>
      <w:r w:rsidRPr="005A55CA">
        <w:rPr>
          <w:sz w:val="22"/>
          <w:szCs w:val="22"/>
        </w:rPr>
        <w:t>Finantsinspektsiooni järelevalvesubjekti järelevalvetasu koosneb FIS-is sätestatud (i) fikseeritud kapitaliosast (mida tulude prognoosimise ja planeerimise protsessis ei saa muuta; so 1% kapitalist) ja (i) mahuosast, mis kehtestatakse kalendriaastaks protsendina seaduses etteantud (protsendi) vahemikest ning konkreetse subjekti liigi arvestusaluseks olevast näitajast (nt vara, preemiad, maksete mahud, krediidijääk jmt). Iga-aastase täpse kohaldamisele kuuluva mahuosa määra kehtestab rahandusminister oma määrusega 15 päeva jooksul pärast FI eelarve kinnitamist FI nõukogu poolt (FIS § 40 lg 1).</w:t>
      </w:r>
      <w:r>
        <w:rPr>
          <w:sz w:val="22"/>
          <w:szCs w:val="22"/>
        </w:rPr>
        <w:t xml:space="preserve"> </w:t>
      </w:r>
    </w:p>
    <w:p w14:paraId="2BE28F5B" w14:textId="77777777" w:rsidR="003057ED" w:rsidRPr="0088634D" w:rsidRDefault="003057ED" w:rsidP="003057ED">
      <w:pPr>
        <w:spacing w:before="0"/>
        <w:rPr>
          <w:sz w:val="22"/>
          <w:szCs w:val="22"/>
        </w:rPr>
      </w:pPr>
      <w:r w:rsidRPr="0088634D">
        <w:rPr>
          <w:sz w:val="22"/>
          <w:szCs w:val="22"/>
        </w:rPr>
        <w:lastRenderedPageBreak/>
        <w:t xml:space="preserve">Muudatusega tagatakse, et </w:t>
      </w:r>
      <w:proofErr w:type="spellStart"/>
      <w:r w:rsidRPr="0088634D">
        <w:rPr>
          <w:sz w:val="22"/>
          <w:szCs w:val="22"/>
        </w:rPr>
        <w:t>krüptovarateenuse</w:t>
      </w:r>
      <w:proofErr w:type="spellEnd"/>
      <w:r w:rsidRPr="0088634D">
        <w:rPr>
          <w:sz w:val="22"/>
          <w:szCs w:val="22"/>
        </w:rPr>
        <w:t xml:space="preserve"> os</w:t>
      </w:r>
      <w:r w:rsidRPr="006824FC">
        <w:rPr>
          <w:sz w:val="22"/>
          <w:szCs w:val="22"/>
        </w:rPr>
        <w:t xml:space="preserve">utajad ja </w:t>
      </w:r>
      <w:proofErr w:type="spellStart"/>
      <w:r w:rsidRPr="006824FC">
        <w:rPr>
          <w:sz w:val="22"/>
          <w:szCs w:val="22"/>
        </w:rPr>
        <w:t>ühisrahastusteen</w:t>
      </w:r>
      <w:r w:rsidRPr="00060131">
        <w:rPr>
          <w:sz w:val="22"/>
          <w:szCs w:val="22"/>
        </w:rPr>
        <w:t>use</w:t>
      </w:r>
      <w:proofErr w:type="spellEnd"/>
      <w:r w:rsidRPr="00060131">
        <w:rPr>
          <w:sz w:val="22"/>
          <w:szCs w:val="22"/>
        </w:rPr>
        <w:t xml:space="preserve"> osutajad mak</w:t>
      </w:r>
      <w:r w:rsidRPr="006D2D30">
        <w:rPr>
          <w:sz w:val="22"/>
          <w:szCs w:val="22"/>
        </w:rPr>
        <w:t xml:space="preserve">savad järelevalvetasu </w:t>
      </w:r>
      <w:r w:rsidRPr="0088634D">
        <w:rPr>
          <w:color w:val="202020"/>
          <w:sz w:val="22"/>
          <w:szCs w:val="22"/>
          <w:shd w:val="clear" w:color="auto" w:fill="FFFFFF"/>
        </w:rPr>
        <w:t>kapitali- ja mahuosa.</w:t>
      </w:r>
    </w:p>
    <w:p w14:paraId="2DA267F5" w14:textId="77777777" w:rsidR="003057ED" w:rsidRPr="005A55CA" w:rsidRDefault="003057ED" w:rsidP="003057ED">
      <w:pPr>
        <w:spacing w:before="0"/>
        <w:rPr>
          <w:b/>
          <w:sz w:val="22"/>
          <w:szCs w:val="22"/>
        </w:rPr>
      </w:pPr>
    </w:p>
    <w:p w14:paraId="4A7AE9EF" w14:textId="77777777" w:rsidR="003057ED" w:rsidRDefault="003057ED" w:rsidP="003057ED">
      <w:pPr>
        <w:spacing w:before="0"/>
        <w:rPr>
          <w:bCs/>
          <w:sz w:val="22"/>
          <w:szCs w:val="22"/>
        </w:rPr>
      </w:pPr>
      <w:r>
        <w:rPr>
          <w:b/>
          <w:sz w:val="22"/>
          <w:szCs w:val="22"/>
        </w:rPr>
        <w:t xml:space="preserve">Punkti 3 </w:t>
      </w:r>
      <w:r>
        <w:rPr>
          <w:bCs/>
          <w:sz w:val="22"/>
          <w:szCs w:val="22"/>
        </w:rPr>
        <w:t xml:space="preserve">muudatuse kohaselt peavad välisriigi äriühingu Eesti filiaalid, kes tegutsevad </w:t>
      </w:r>
      <w:proofErr w:type="spellStart"/>
      <w:r>
        <w:rPr>
          <w:bCs/>
          <w:sz w:val="22"/>
          <w:szCs w:val="22"/>
        </w:rPr>
        <w:t>krüptovarateenuse</w:t>
      </w:r>
      <w:proofErr w:type="spellEnd"/>
      <w:r>
        <w:rPr>
          <w:bCs/>
          <w:sz w:val="22"/>
          <w:szCs w:val="22"/>
        </w:rPr>
        <w:t xml:space="preserve"> või </w:t>
      </w:r>
      <w:proofErr w:type="spellStart"/>
      <w:r>
        <w:rPr>
          <w:bCs/>
          <w:sz w:val="22"/>
          <w:szCs w:val="22"/>
        </w:rPr>
        <w:t>ühisrahastusteenuse</w:t>
      </w:r>
      <w:proofErr w:type="spellEnd"/>
      <w:r>
        <w:rPr>
          <w:bCs/>
          <w:sz w:val="22"/>
          <w:szCs w:val="22"/>
        </w:rPr>
        <w:t xml:space="preserve"> tegevusalal maksma üksnes järelevalvetasu mahuosa. </w:t>
      </w:r>
    </w:p>
    <w:p w14:paraId="686D5E0C" w14:textId="77777777" w:rsidR="003057ED" w:rsidRDefault="003057ED" w:rsidP="003057ED">
      <w:pPr>
        <w:spacing w:before="0"/>
        <w:rPr>
          <w:bCs/>
          <w:sz w:val="22"/>
          <w:szCs w:val="22"/>
        </w:rPr>
      </w:pPr>
    </w:p>
    <w:p w14:paraId="46BDE599" w14:textId="77777777" w:rsidR="003057ED" w:rsidRPr="006824FC" w:rsidRDefault="003057ED" w:rsidP="003057ED">
      <w:pPr>
        <w:spacing w:before="0"/>
        <w:rPr>
          <w:bCs/>
          <w:sz w:val="22"/>
          <w:szCs w:val="22"/>
        </w:rPr>
      </w:pPr>
      <w:r w:rsidRPr="006824FC">
        <w:rPr>
          <w:b/>
          <w:sz w:val="22"/>
          <w:szCs w:val="22"/>
        </w:rPr>
        <w:t xml:space="preserve">Punkti 4 </w:t>
      </w:r>
      <w:r>
        <w:rPr>
          <w:bCs/>
          <w:sz w:val="22"/>
          <w:szCs w:val="22"/>
        </w:rPr>
        <w:t xml:space="preserve">kohaselt maksab </w:t>
      </w:r>
      <w:r w:rsidRPr="006824FC">
        <w:rPr>
          <w:bCs/>
          <w:sz w:val="22"/>
          <w:szCs w:val="22"/>
        </w:rPr>
        <w:t>järelevalvesubjekt järelevalvetasu selle järelevalvesubjektina või arvestusaluse alusel, millest tulenev järelevalvetasu on suurem.</w:t>
      </w:r>
      <w:r>
        <w:rPr>
          <w:bCs/>
          <w:sz w:val="22"/>
          <w:szCs w:val="22"/>
        </w:rPr>
        <w:t xml:space="preserve"> Seda juhul, kui seaduses ei ole sätestatud teisiti.  </w:t>
      </w:r>
    </w:p>
    <w:p w14:paraId="60E6C0DA" w14:textId="77777777" w:rsidR="003057ED" w:rsidRPr="005A55CA" w:rsidRDefault="003057ED" w:rsidP="003057ED">
      <w:pPr>
        <w:spacing w:before="0"/>
        <w:rPr>
          <w:sz w:val="22"/>
          <w:szCs w:val="22"/>
        </w:rPr>
      </w:pPr>
    </w:p>
    <w:p w14:paraId="0F814556" w14:textId="77777777" w:rsidR="003057ED" w:rsidRPr="005A55CA" w:rsidRDefault="003057ED" w:rsidP="003057ED">
      <w:pPr>
        <w:spacing w:before="0"/>
        <w:rPr>
          <w:sz w:val="22"/>
          <w:szCs w:val="22"/>
        </w:rPr>
      </w:pPr>
      <w:r w:rsidRPr="005A55CA">
        <w:rPr>
          <w:b/>
          <w:sz w:val="22"/>
          <w:szCs w:val="22"/>
        </w:rPr>
        <w:t>P</w:t>
      </w:r>
      <w:r>
        <w:rPr>
          <w:b/>
          <w:sz w:val="22"/>
          <w:szCs w:val="22"/>
        </w:rPr>
        <w:t xml:space="preserve">unktidega 5 ja 6 </w:t>
      </w:r>
      <w:r>
        <w:rPr>
          <w:sz w:val="22"/>
          <w:szCs w:val="22"/>
        </w:rPr>
        <w:t xml:space="preserve">muudetakse FIS §-i </w:t>
      </w:r>
      <w:r w:rsidRPr="00D03824">
        <w:rPr>
          <w:sz w:val="22"/>
          <w:szCs w:val="22"/>
        </w:rPr>
        <w:t xml:space="preserve">39. FIS </w:t>
      </w:r>
      <w:r>
        <w:rPr>
          <w:sz w:val="22"/>
          <w:szCs w:val="22"/>
        </w:rPr>
        <w:t xml:space="preserve">§ 39 lg 1 </w:t>
      </w:r>
      <w:r w:rsidRPr="005A55CA">
        <w:rPr>
          <w:sz w:val="22"/>
          <w:szCs w:val="22"/>
        </w:rPr>
        <w:t xml:space="preserve">reguleerib, kuidas määrata järelevalvetasu kapitaliosa. Punkti 4 muudatuse kohaselt on </w:t>
      </w:r>
      <w:proofErr w:type="spellStart"/>
      <w:r>
        <w:rPr>
          <w:sz w:val="22"/>
          <w:szCs w:val="22"/>
        </w:rPr>
        <w:t>krüptovarateenuse</w:t>
      </w:r>
      <w:proofErr w:type="spellEnd"/>
      <w:r>
        <w:rPr>
          <w:sz w:val="22"/>
          <w:szCs w:val="22"/>
        </w:rPr>
        <w:t xml:space="preserve"> osutaja</w:t>
      </w:r>
      <w:r w:rsidRPr="005A55CA">
        <w:rPr>
          <w:sz w:val="22"/>
          <w:szCs w:val="22"/>
        </w:rPr>
        <w:t xml:space="preserve"> ja </w:t>
      </w:r>
      <w:proofErr w:type="spellStart"/>
      <w:r>
        <w:rPr>
          <w:sz w:val="22"/>
          <w:szCs w:val="22"/>
        </w:rPr>
        <w:t>krüptovarateenuse</w:t>
      </w:r>
      <w:proofErr w:type="spellEnd"/>
      <w:r w:rsidRPr="005A55CA">
        <w:rPr>
          <w:sz w:val="22"/>
          <w:szCs w:val="22"/>
        </w:rPr>
        <w:t xml:space="preserve"> osutaja järelevalvetasu kapitaliosa summa, mis võrdub ühe protsendiga tegevusloas märgitud tegevusalaga tegelemiseks õigusakti kohaselt nõutavast kõrgeimast minimaalsest aktsia-, osa- või algkapitali summast.</w:t>
      </w:r>
      <w:r>
        <w:rPr>
          <w:sz w:val="22"/>
          <w:szCs w:val="22"/>
        </w:rPr>
        <w:t xml:space="preserve"> Punktis 6 täpsustatakse selguse huvides kehtivat sõnastust, et mõeldud on EL </w:t>
      </w:r>
      <w:proofErr w:type="spellStart"/>
      <w:r>
        <w:rPr>
          <w:sz w:val="22"/>
          <w:szCs w:val="22"/>
        </w:rPr>
        <w:t>ühisrahastusmääruse</w:t>
      </w:r>
      <w:proofErr w:type="spellEnd"/>
      <w:r>
        <w:rPr>
          <w:sz w:val="22"/>
          <w:szCs w:val="22"/>
        </w:rPr>
        <w:t xml:space="preserve"> kohaldamisalasse kuuluvaid </w:t>
      </w:r>
      <w:proofErr w:type="spellStart"/>
      <w:r>
        <w:rPr>
          <w:sz w:val="22"/>
          <w:szCs w:val="22"/>
        </w:rPr>
        <w:t>ühisrahastusteenuse</w:t>
      </w:r>
      <w:proofErr w:type="spellEnd"/>
      <w:r>
        <w:rPr>
          <w:sz w:val="22"/>
          <w:szCs w:val="22"/>
        </w:rPr>
        <w:t xml:space="preserve"> osutajaid, kelle puhul võetakse üks protsent määruse artikli 11 lõike 1 punktis a nimetatud summast.</w:t>
      </w:r>
    </w:p>
    <w:p w14:paraId="6D4DBB6C" w14:textId="77777777" w:rsidR="003057ED" w:rsidRPr="005A55CA" w:rsidRDefault="003057ED" w:rsidP="003057ED">
      <w:pPr>
        <w:spacing w:before="0"/>
        <w:rPr>
          <w:i/>
          <w:sz w:val="22"/>
          <w:szCs w:val="22"/>
          <w:u w:val="single"/>
          <w:shd w:val="clear" w:color="auto" w:fill="FFFFFF"/>
        </w:rPr>
      </w:pPr>
    </w:p>
    <w:p w14:paraId="5A1C0D80" w14:textId="77777777" w:rsidR="003057ED" w:rsidRPr="005A55CA" w:rsidRDefault="003057ED" w:rsidP="003057ED">
      <w:pPr>
        <w:spacing w:before="0"/>
        <w:rPr>
          <w:sz w:val="22"/>
          <w:szCs w:val="22"/>
        </w:rPr>
      </w:pPr>
      <w:r>
        <w:rPr>
          <w:b/>
          <w:sz w:val="22"/>
          <w:szCs w:val="22"/>
        </w:rPr>
        <w:t xml:space="preserve">Punktiga 7 </w:t>
      </w:r>
      <w:r>
        <w:rPr>
          <w:sz w:val="22"/>
          <w:szCs w:val="22"/>
        </w:rPr>
        <w:t xml:space="preserve">täiendatakse FIS § 39 lõiget 2, mis </w:t>
      </w:r>
      <w:r w:rsidRPr="005A55CA">
        <w:rPr>
          <w:sz w:val="22"/>
          <w:szCs w:val="22"/>
        </w:rPr>
        <w:t xml:space="preserve">näeb </w:t>
      </w:r>
      <w:r>
        <w:rPr>
          <w:sz w:val="22"/>
          <w:szCs w:val="22"/>
        </w:rPr>
        <w:t xml:space="preserve">ette </w:t>
      </w:r>
      <w:r w:rsidRPr="005A55CA">
        <w:rPr>
          <w:sz w:val="22"/>
          <w:szCs w:val="22"/>
        </w:rPr>
        <w:t xml:space="preserve">eeskirjad, kuidas arvutada </w:t>
      </w:r>
      <w:proofErr w:type="spellStart"/>
      <w:r>
        <w:rPr>
          <w:sz w:val="22"/>
          <w:szCs w:val="22"/>
        </w:rPr>
        <w:t>krüptovarateenuse</w:t>
      </w:r>
      <w:proofErr w:type="spellEnd"/>
      <w:r>
        <w:rPr>
          <w:sz w:val="22"/>
          <w:szCs w:val="22"/>
        </w:rPr>
        <w:t xml:space="preserve"> osutaja mahuosa </w:t>
      </w:r>
      <w:r w:rsidRPr="005A55CA">
        <w:rPr>
          <w:sz w:val="22"/>
          <w:szCs w:val="22"/>
        </w:rPr>
        <w:t xml:space="preserve">järelevalvetasu. Järelevalvetasu mahuosa määrade kehtestamisel erinevatele järelevalvesubjektide gruppidele tuleb arvestada nende tegevuse mahtusid ja kasumlikkust ja hinnata nende järelevalvele kuluvat ressurssi. Järelevalvetasu määramisel tuleb lähtuda eeldusest, et järelevalvetasu ei oleks subjekti jaoks ülemäära koormav. </w:t>
      </w:r>
      <w:r>
        <w:rPr>
          <w:sz w:val="22"/>
          <w:szCs w:val="22"/>
        </w:rPr>
        <w:t xml:space="preserve">Muudatustega on </w:t>
      </w:r>
      <w:r w:rsidRPr="005A55CA">
        <w:rPr>
          <w:sz w:val="22"/>
          <w:szCs w:val="22"/>
        </w:rPr>
        <w:t xml:space="preserve">ette nähtud protsendivahemikud erinevatele </w:t>
      </w:r>
      <w:proofErr w:type="spellStart"/>
      <w:r>
        <w:rPr>
          <w:sz w:val="22"/>
          <w:szCs w:val="22"/>
        </w:rPr>
        <w:t>krüptovarateenuse</w:t>
      </w:r>
      <w:proofErr w:type="spellEnd"/>
      <w:r w:rsidRPr="005A55CA">
        <w:rPr>
          <w:sz w:val="22"/>
          <w:szCs w:val="22"/>
        </w:rPr>
        <w:t xml:space="preserve"> osutajatele.</w:t>
      </w:r>
      <w:r>
        <w:rPr>
          <w:sz w:val="22"/>
          <w:szCs w:val="22"/>
        </w:rPr>
        <w:t xml:space="preserve"> Sõltuvalt teenuse liigist arvutatakse järelevalvetasu mahuosa kas vahendatud tehingute mahu summast, kliendi jaoks hoitavate vahendite summast või teenuseosutaja osutatava teenuse aastasest äritulust. </w:t>
      </w:r>
    </w:p>
    <w:p w14:paraId="013EDDAB" w14:textId="77777777" w:rsidR="003057ED" w:rsidRDefault="003057ED" w:rsidP="003057ED">
      <w:pPr>
        <w:spacing w:before="0"/>
        <w:rPr>
          <w:sz w:val="22"/>
          <w:szCs w:val="22"/>
        </w:rPr>
      </w:pPr>
    </w:p>
    <w:p w14:paraId="6BB8EFDA" w14:textId="77777777" w:rsidR="003057ED" w:rsidRPr="005A55CA" w:rsidRDefault="003057ED" w:rsidP="003057ED">
      <w:pPr>
        <w:spacing w:before="0"/>
        <w:rPr>
          <w:sz w:val="22"/>
          <w:szCs w:val="22"/>
        </w:rPr>
      </w:pPr>
      <w:r w:rsidRPr="005A55CA">
        <w:rPr>
          <w:b/>
          <w:sz w:val="22"/>
          <w:szCs w:val="22"/>
        </w:rPr>
        <w:t>P</w:t>
      </w:r>
      <w:r>
        <w:rPr>
          <w:b/>
          <w:sz w:val="22"/>
          <w:szCs w:val="22"/>
        </w:rPr>
        <w:t xml:space="preserve">unktiga 8 </w:t>
      </w:r>
      <w:r>
        <w:rPr>
          <w:sz w:val="22"/>
          <w:szCs w:val="22"/>
        </w:rPr>
        <w:t>täiendatakse FIS §-</w:t>
      </w:r>
      <w:r w:rsidRPr="00A36327">
        <w:rPr>
          <w:sz w:val="22"/>
          <w:szCs w:val="22"/>
        </w:rPr>
        <w:t>i 41</w:t>
      </w:r>
      <w:r>
        <w:rPr>
          <w:sz w:val="22"/>
          <w:szCs w:val="22"/>
        </w:rPr>
        <w:t xml:space="preserve"> lõigetega 5</w:t>
      </w:r>
      <w:r>
        <w:rPr>
          <w:sz w:val="22"/>
          <w:szCs w:val="22"/>
          <w:vertAlign w:val="superscript"/>
        </w:rPr>
        <w:t>4</w:t>
      </w:r>
      <w:r>
        <w:rPr>
          <w:sz w:val="22"/>
          <w:szCs w:val="22"/>
        </w:rPr>
        <w:t>-5</w:t>
      </w:r>
      <w:r>
        <w:rPr>
          <w:sz w:val="22"/>
          <w:szCs w:val="22"/>
          <w:vertAlign w:val="superscript"/>
        </w:rPr>
        <w:t>6</w:t>
      </w:r>
      <w:r w:rsidRPr="00A36327">
        <w:rPr>
          <w:sz w:val="22"/>
          <w:szCs w:val="22"/>
        </w:rPr>
        <w:t xml:space="preserve">. </w:t>
      </w:r>
      <w:r w:rsidRPr="005A55CA">
        <w:rPr>
          <w:sz w:val="22"/>
          <w:szCs w:val="22"/>
        </w:rPr>
        <w:t xml:space="preserve">Vastavalt FIS § 41 arvutatakse järelevalvetasu ettemakse järelevalve subjekti vara aritmeetilise keskmise alusel, mis valdavalt määratakse olulises osas subjektide puhul </w:t>
      </w:r>
      <w:proofErr w:type="spellStart"/>
      <w:r w:rsidRPr="005A55CA">
        <w:rPr>
          <w:sz w:val="22"/>
          <w:szCs w:val="22"/>
        </w:rPr>
        <w:t>FI-le</w:t>
      </w:r>
      <w:proofErr w:type="spellEnd"/>
      <w:r w:rsidRPr="005A55CA">
        <w:rPr>
          <w:sz w:val="22"/>
          <w:szCs w:val="22"/>
        </w:rPr>
        <w:t xml:space="preserve"> esitatud bilansi andmetel eelarve otsustamise aastale eelneva aasta) 31.12 ning jooksva aasta 31.03 ja 30.06 seisuga. Ettemakse tasutakse hiljemalt 31.12. </w:t>
      </w:r>
    </w:p>
    <w:p w14:paraId="30D67269" w14:textId="77777777" w:rsidR="003057ED" w:rsidRPr="005A55CA" w:rsidRDefault="003057ED" w:rsidP="003057ED">
      <w:pPr>
        <w:spacing w:before="0"/>
        <w:rPr>
          <w:b/>
          <w:sz w:val="22"/>
          <w:szCs w:val="22"/>
        </w:rPr>
      </w:pPr>
    </w:p>
    <w:p w14:paraId="2DEFF57F" w14:textId="77777777" w:rsidR="003057ED" w:rsidRPr="005A55CA" w:rsidRDefault="003057ED" w:rsidP="003057ED">
      <w:pPr>
        <w:spacing w:before="0"/>
        <w:rPr>
          <w:sz w:val="22"/>
          <w:szCs w:val="22"/>
        </w:rPr>
      </w:pPr>
      <w:r w:rsidRPr="00B65268">
        <w:rPr>
          <w:sz w:val="22"/>
          <w:szCs w:val="22"/>
        </w:rPr>
        <w:t>Eelnõuga lisatavate</w:t>
      </w:r>
      <w:r>
        <w:rPr>
          <w:b/>
          <w:sz w:val="22"/>
          <w:szCs w:val="22"/>
        </w:rPr>
        <w:t xml:space="preserve"> </w:t>
      </w:r>
      <w:r w:rsidRPr="00B65268">
        <w:rPr>
          <w:sz w:val="22"/>
          <w:szCs w:val="22"/>
        </w:rPr>
        <w:t>lõigetega 5</w:t>
      </w:r>
      <w:r>
        <w:rPr>
          <w:sz w:val="22"/>
          <w:szCs w:val="22"/>
          <w:vertAlign w:val="superscript"/>
        </w:rPr>
        <w:t>4</w:t>
      </w:r>
      <w:r w:rsidRPr="00B65268">
        <w:rPr>
          <w:sz w:val="22"/>
          <w:szCs w:val="22"/>
        </w:rPr>
        <w:t>- 5</w:t>
      </w:r>
      <w:r w:rsidRPr="00B65268">
        <w:rPr>
          <w:sz w:val="22"/>
          <w:szCs w:val="22"/>
          <w:vertAlign w:val="superscript"/>
        </w:rPr>
        <w:t>6</w:t>
      </w:r>
      <w:r w:rsidRPr="005A55CA">
        <w:rPr>
          <w:sz w:val="22"/>
          <w:szCs w:val="22"/>
        </w:rPr>
        <w:t xml:space="preserve"> nähakse ette, et </w:t>
      </w:r>
      <w:proofErr w:type="spellStart"/>
      <w:r>
        <w:rPr>
          <w:sz w:val="22"/>
          <w:szCs w:val="22"/>
        </w:rPr>
        <w:t>krüptovarateenuse</w:t>
      </w:r>
      <w:proofErr w:type="spellEnd"/>
      <w:r>
        <w:rPr>
          <w:sz w:val="22"/>
          <w:szCs w:val="22"/>
        </w:rPr>
        <w:t xml:space="preserve"> osutaja </w:t>
      </w:r>
      <w:r w:rsidRPr="005A55CA">
        <w:rPr>
          <w:sz w:val="22"/>
          <w:szCs w:val="22"/>
        </w:rPr>
        <w:t>mahuosa ettemakse arvutamisel võetakse aluseks</w:t>
      </w:r>
      <w:r>
        <w:rPr>
          <w:sz w:val="22"/>
          <w:szCs w:val="22"/>
        </w:rPr>
        <w:t xml:space="preserve"> vahendatud tehingute mahu summa, kliendi jaoks hoitavate vahendite summa või teenuseosutaja osutatava teenuse aastasest äritulu, mis on kajastatud Finantsinspektsioonile eelmise aasta kohta esitatud aruannetes.</w:t>
      </w:r>
    </w:p>
    <w:p w14:paraId="69A9CA52" w14:textId="77777777" w:rsidR="003057ED" w:rsidRPr="005A55CA" w:rsidRDefault="003057ED" w:rsidP="003057ED">
      <w:pPr>
        <w:spacing w:before="0"/>
        <w:rPr>
          <w:b/>
          <w:sz w:val="22"/>
          <w:szCs w:val="22"/>
        </w:rPr>
      </w:pPr>
    </w:p>
    <w:p w14:paraId="3AD23F23" w14:textId="77777777" w:rsidR="003057ED" w:rsidRPr="005A55CA" w:rsidRDefault="003057ED" w:rsidP="003057ED">
      <w:pPr>
        <w:spacing w:before="0"/>
        <w:rPr>
          <w:sz w:val="22"/>
          <w:szCs w:val="22"/>
        </w:rPr>
      </w:pPr>
      <w:r>
        <w:rPr>
          <w:b/>
          <w:sz w:val="22"/>
          <w:szCs w:val="22"/>
        </w:rPr>
        <w:t xml:space="preserve">Punktiga 9 </w:t>
      </w:r>
      <w:r>
        <w:rPr>
          <w:sz w:val="22"/>
          <w:szCs w:val="22"/>
        </w:rPr>
        <w:t>täiendatakse FIS §-i 42 lõigetega 5</w:t>
      </w:r>
      <w:r>
        <w:rPr>
          <w:sz w:val="22"/>
          <w:szCs w:val="22"/>
          <w:vertAlign w:val="superscript"/>
        </w:rPr>
        <w:t>4</w:t>
      </w:r>
      <w:r>
        <w:rPr>
          <w:sz w:val="22"/>
          <w:szCs w:val="22"/>
        </w:rPr>
        <w:t>-5</w:t>
      </w:r>
      <w:r>
        <w:rPr>
          <w:sz w:val="22"/>
          <w:szCs w:val="22"/>
          <w:vertAlign w:val="superscript"/>
        </w:rPr>
        <w:t>6</w:t>
      </w:r>
      <w:r>
        <w:rPr>
          <w:sz w:val="22"/>
          <w:szCs w:val="22"/>
        </w:rPr>
        <w:t xml:space="preserve">. </w:t>
      </w:r>
      <w:r w:rsidRPr="005A55CA">
        <w:rPr>
          <w:sz w:val="22"/>
          <w:szCs w:val="22"/>
        </w:rPr>
        <w:t xml:space="preserve">Lõppmakse arvutatakse FIS § 42 alusel järelevalve subjekti vara aritmeetilise keskmise alusel, mis on arvutatud tema poolt </w:t>
      </w:r>
      <w:proofErr w:type="spellStart"/>
      <w:r w:rsidRPr="005A55CA">
        <w:rPr>
          <w:sz w:val="22"/>
          <w:szCs w:val="22"/>
        </w:rPr>
        <w:t>FI-le</w:t>
      </w:r>
      <w:proofErr w:type="spellEnd"/>
      <w:r w:rsidRPr="005A55CA">
        <w:rPr>
          <w:sz w:val="22"/>
          <w:szCs w:val="22"/>
        </w:rPr>
        <w:t xml:space="preserve"> esitatud bilansi andmetele tuginedes eelarveaastale eelnenud aasta 31.03, 30.06, 30.09 ja 31.12 seisuga. </w:t>
      </w:r>
    </w:p>
    <w:p w14:paraId="2ECCE7C6" w14:textId="77777777" w:rsidR="003057ED" w:rsidRPr="005A55CA" w:rsidRDefault="003057ED" w:rsidP="003057ED">
      <w:pPr>
        <w:spacing w:before="0"/>
        <w:rPr>
          <w:b/>
          <w:sz w:val="22"/>
          <w:szCs w:val="22"/>
        </w:rPr>
      </w:pPr>
    </w:p>
    <w:p w14:paraId="05E46A67" w14:textId="77777777" w:rsidR="003057ED" w:rsidRPr="005A55CA" w:rsidRDefault="003057ED" w:rsidP="003057ED">
      <w:pPr>
        <w:spacing w:before="0"/>
        <w:rPr>
          <w:sz w:val="22"/>
          <w:szCs w:val="22"/>
        </w:rPr>
      </w:pPr>
      <w:r w:rsidRPr="00B65268">
        <w:rPr>
          <w:sz w:val="22"/>
          <w:szCs w:val="22"/>
        </w:rPr>
        <w:t>Lõigetega 5</w:t>
      </w:r>
      <w:r>
        <w:rPr>
          <w:sz w:val="22"/>
          <w:szCs w:val="22"/>
          <w:vertAlign w:val="superscript"/>
        </w:rPr>
        <w:t>4</w:t>
      </w:r>
      <w:r>
        <w:rPr>
          <w:sz w:val="22"/>
          <w:szCs w:val="22"/>
        </w:rPr>
        <w:t>–</w:t>
      </w:r>
      <w:r w:rsidRPr="00B65268">
        <w:rPr>
          <w:sz w:val="22"/>
          <w:szCs w:val="22"/>
        </w:rPr>
        <w:t>5</w:t>
      </w:r>
      <w:r w:rsidRPr="00B65268">
        <w:rPr>
          <w:sz w:val="22"/>
          <w:szCs w:val="22"/>
          <w:vertAlign w:val="superscript"/>
        </w:rPr>
        <w:t>6</w:t>
      </w:r>
      <w:r w:rsidRPr="00C86B20">
        <w:rPr>
          <w:sz w:val="22"/>
          <w:szCs w:val="22"/>
        </w:rPr>
        <w:t xml:space="preserve"> nähakse</w:t>
      </w:r>
      <w:r w:rsidRPr="005A55CA">
        <w:rPr>
          <w:sz w:val="22"/>
          <w:szCs w:val="22"/>
        </w:rPr>
        <w:t xml:space="preserve"> ette, et mahuosa lõppmakse arvutamisel võetakse aluseks</w:t>
      </w:r>
      <w:r>
        <w:rPr>
          <w:sz w:val="22"/>
          <w:szCs w:val="22"/>
        </w:rPr>
        <w:t xml:space="preserve"> vahendatud tehingute mahu summa, kliendi jaoks hoitavate vahendite summa või teenuseosutaja osutatava teenuse aastasest äritulu, mis on kajastatud Finantsinspektsioonile eelmise aasta kohta esitatud aruannetes.</w:t>
      </w:r>
    </w:p>
    <w:p w14:paraId="26D2B23C" w14:textId="77777777" w:rsidR="003057ED" w:rsidRDefault="003057ED" w:rsidP="003057ED">
      <w:pPr>
        <w:spacing w:before="0"/>
        <w:rPr>
          <w:b/>
          <w:sz w:val="22"/>
          <w:szCs w:val="22"/>
        </w:rPr>
      </w:pPr>
    </w:p>
    <w:p w14:paraId="1E87E037" w14:textId="77777777" w:rsidR="007079BF" w:rsidRDefault="003057ED" w:rsidP="007079BF">
      <w:pPr>
        <w:spacing w:before="0"/>
        <w:rPr>
          <w:sz w:val="22"/>
          <w:szCs w:val="22"/>
        </w:rPr>
      </w:pPr>
      <w:r w:rsidRPr="00D26207">
        <w:rPr>
          <w:b/>
          <w:sz w:val="22"/>
          <w:szCs w:val="22"/>
        </w:rPr>
        <w:t>Punktide 10 ja 11</w:t>
      </w:r>
      <w:r w:rsidRPr="00D26207">
        <w:rPr>
          <w:bCs/>
          <w:sz w:val="22"/>
          <w:szCs w:val="22"/>
        </w:rPr>
        <w:t xml:space="preserve"> muudatuste eesmärk on tagada, et välisriigi </w:t>
      </w:r>
      <w:proofErr w:type="spellStart"/>
      <w:r w:rsidRPr="00D26207">
        <w:rPr>
          <w:sz w:val="22"/>
          <w:szCs w:val="22"/>
        </w:rPr>
        <w:t>krüptovarateenuse</w:t>
      </w:r>
      <w:proofErr w:type="spellEnd"/>
      <w:r w:rsidRPr="00D26207">
        <w:rPr>
          <w:sz w:val="22"/>
          <w:szCs w:val="22"/>
        </w:rPr>
        <w:t xml:space="preserve"> osutaja või </w:t>
      </w:r>
      <w:proofErr w:type="spellStart"/>
      <w:r w:rsidRPr="00D26207">
        <w:rPr>
          <w:sz w:val="22"/>
          <w:szCs w:val="22"/>
        </w:rPr>
        <w:t>ühisrahastusteenuse</w:t>
      </w:r>
      <w:proofErr w:type="spellEnd"/>
      <w:r w:rsidRPr="00D26207">
        <w:rPr>
          <w:sz w:val="22"/>
          <w:szCs w:val="22"/>
        </w:rPr>
        <w:t xml:space="preserve"> osutaja filiaal tasuvad rahastamiskohustuse tekkimisel kalendriaasta esimesel poolaastal järelevalvetasu lõppmakse summas, mis vastab </w:t>
      </w:r>
      <w:proofErr w:type="spellStart"/>
      <w:r w:rsidRPr="00D26207">
        <w:rPr>
          <w:sz w:val="22"/>
          <w:szCs w:val="22"/>
        </w:rPr>
        <w:t>krüptovarateenuse</w:t>
      </w:r>
      <w:proofErr w:type="spellEnd"/>
      <w:r w:rsidRPr="00D26207">
        <w:rPr>
          <w:sz w:val="22"/>
          <w:szCs w:val="22"/>
        </w:rPr>
        <w:t xml:space="preserve"> osutaja või </w:t>
      </w:r>
      <w:proofErr w:type="spellStart"/>
      <w:r w:rsidRPr="00D26207">
        <w:rPr>
          <w:sz w:val="22"/>
          <w:szCs w:val="22"/>
        </w:rPr>
        <w:t>ühisrahastusteenuse</w:t>
      </w:r>
      <w:proofErr w:type="spellEnd"/>
      <w:r w:rsidRPr="00D26207">
        <w:rPr>
          <w:sz w:val="22"/>
          <w:szCs w:val="22"/>
        </w:rPr>
        <w:t xml:space="preserve"> osutaja poolt tasutava järelevalvetasu kapitaliosale pooles ulatuses ning rahastamiskohustuse tekkimisel kalendriaasta teisel poolaastal järelevalvetasu lõppmakse summas, mis vastab </w:t>
      </w:r>
      <w:proofErr w:type="spellStart"/>
      <w:r w:rsidRPr="00D26207">
        <w:rPr>
          <w:sz w:val="22"/>
          <w:szCs w:val="22"/>
        </w:rPr>
        <w:t>krüptovarateenuse</w:t>
      </w:r>
      <w:proofErr w:type="spellEnd"/>
      <w:r w:rsidRPr="00D26207">
        <w:rPr>
          <w:sz w:val="22"/>
          <w:szCs w:val="22"/>
        </w:rPr>
        <w:t xml:space="preserve"> osutaja või </w:t>
      </w:r>
      <w:proofErr w:type="spellStart"/>
      <w:r w:rsidRPr="00D26207">
        <w:rPr>
          <w:sz w:val="22"/>
          <w:szCs w:val="22"/>
        </w:rPr>
        <w:t>ühisrahastusteenuse</w:t>
      </w:r>
      <w:proofErr w:type="spellEnd"/>
      <w:r w:rsidRPr="00D26207">
        <w:rPr>
          <w:sz w:val="22"/>
          <w:szCs w:val="22"/>
        </w:rPr>
        <w:t xml:space="preserve"> osutaja poolt tasutava järelevalvetasu kapitaliosale veerandi ulatuses.</w:t>
      </w:r>
    </w:p>
    <w:p w14:paraId="7923F7D0" w14:textId="77777777" w:rsidR="007079BF" w:rsidRDefault="007079BF" w:rsidP="007079BF">
      <w:pPr>
        <w:spacing w:before="0"/>
        <w:rPr>
          <w:sz w:val="22"/>
          <w:szCs w:val="22"/>
        </w:rPr>
      </w:pPr>
    </w:p>
    <w:p w14:paraId="44BE67F7" w14:textId="1C88ACB9" w:rsidR="007079BF" w:rsidRDefault="003057ED" w:rsidP="007079BF">
      <w:pPr>
        <w:spacing w:before="0"/>
        <w:rPr>
          <w:sz w:val="22"/>
          <w:szCs w:val="22"/>
        </w:rPr>
      </w:pPr>
      <w:r w:rsidRPr="007079BF">
        <w:rPr>
          <w:b/>
          <w:bCs/>
          <w:sz w:val="22"/>
          <w:szCs w:val="22"/>
        </w:rPr>
        <w:t>Punktid 12–14</w:t>
      </w:r>
      <w:r w:rsidRPr="00DF16BC">
        <w:rPr>
          <w:sz w:val="22"/>
          <w:szCs w:val="22"/>
        </w:rPr>
        <w:t xml:space="preserve">. </w:t>
      </w:r>
      <w:r w:rsidRPr="00F63DF1">
        <w:rPr>
          <w:sz w:val="22"/>
          <w:szCs w:val="22"/>
        </w:rPr>
        <w:t xml:space="preserve">Menetlustasude kindlaks määramisel on lähtutakse põhimõttest, et nn esmased tegevusload seotakse kõrgema tasuga kui täiendavad tegevusload ja muud üksikute tegevuste loa- või registreerimismenetlused. Lisaks eesmärgile katta tasu arvelt vastava konkreetse toimingu ligikaudne kulu, on muu hulgas lähtutud ka nn ekvivalendiprintsiibist ehk on arvestatud toimingu eesmärki ja </w:t>
      </w:r>
      <w:r w:rsidRPr="00F63DF1">
        <w:rPr>
          <w:sz w:val="22"/>
          <w:szCs w:val="22"/>
        </w:rPr>
        <w:lastRenderedPageBreak/>
        <w:t xml:space="preserve">tähendust taotlejajaoks. Eelnõuga tõstetakse kõikide finantsjärelevalve subjektide esmase tegevusloa taotlemise ja täiendava tegevusloa taotlemise tasusid. Seda eelkõige põhjusel, et hetkel kehtivate tegevuslubade menetlustasude tasemed pärinevad aastast 2005. a. ja neid ei ole vahepealse aja jooksul </w:t>
      </w:r>
      <w:r w:rsidR="005D02CF">
        <w:rPr>
          <w:sz w:val="22"/>
          <w:szCs w:val="22"/>
        </w:rPr>
        <w:t>muudetud</w:t>
      </w:r>
      <w:r w:rsidRPr="00F63DF1">
        <w:rPr>
          <w:sz w:val="22"/>
          <w:szCs w:val="22"/>
        </w:rPr>
        <w:t xml:space="preserve">. </w:t>
      </w:r>
    </w:p>
    <w:p w14:paraId="45087832" w14:textId="77777777" w:rsidR="007079BF" w:rsidRDefault="007079BF" w:rsidP="007079BF">
      <w:pPr>
        <w:spacing w:before="0"/>
        <w:rPr>
          <w:sz w:val="22"/>
          <w:szCs w:val="22"/>
        </w:rPr>
      </w:pPr>
    </w:p>
    <w:p w14:paraId="359DB036" w14:textId="57A7377C" w:rsidR="003057ED" w:rsidRPr="005D02CF" w:rsidRDefault="003057ED" w:rsidP="007079BF">
      <w:pPr>
        <w:spacing w:before="0"/>
        <w:rPr>
          <w:b/>
          <w:bCs/>
          <w:sz w:val="22"/>
          <w:szCs w:val="22"/>
        </w:rPr>
      </w:pPr>
      <w:r w:rsidRPr="00F63DF1">
        <w:rPr>
          <w:sz w:val="22"/>
          <w:szCs w:val="22"/>
        </w:rPr>
        <w:t xml:space="preserve">Krediidiasutuse tegevusloa, samuti riigis, mis ei ole Euroopa Majanduspiirkonna lepinguriik (edaspidi kolmas riik), registreeritud krediidiasutuse filiaali asutamiseks Eestis loa taotlemisel tuleb edaspidi tasuda esmast menetlustasu 5000 eurot. Ülejäänud finantsjärelevalve subjektide puhul tõuseb menetlustasu 3000 eurole. Krediidiasutuse tegevusloa taotlemise menetlustasu on võrreldes teiste järelevalvesubjektidega ka täna kõrgem (hetkel on see 1500 eurot võrreldes teiste subjektidega, kelle tegevusloa menetlustasu on täna 1000 eurot). </w:t>
      </w:r>
      <w:r w:rsidRPr="005D02CF">
        <w:rPr>
          <w:sz w:val="22"/>
          <w:szCs w:val="22"/>
        </w:rPr>
        <w:t>Krediidiasutus on põhimõtteliselt kõige rangemalt reguleeritud ja samas ka finantsstabiilsuse seisukohalt kõige olulisem subjekt ning seepärast on põhjendatud, et sellise isiku puhul on tegevusloa taotlemise menetlustasu üksjagu kõrgem kui teistel.</w:t>
      </w:r>
    </w:p>
    <w:p w14:paraId="7D7DCF3F" w14:textId="77777777" w:rsidR="003057ED" w:rsidRPr="00F63DF1" w:rsidRDefault="003057ED" w:rsidP="007079BF">
      <w:pPr>
        <w:pStyle w:val="Heading3"/>
        <w:shd w:val="clear" w:color="auto" w:fill="FFFFFF"/>
        <w:spacing w:before="300"/>
        <w:jc w:val="both"/>
        <w:rPr>
          <w:b w:val="0"/>
          <w:bCs w:val="0"/>
          <w:sz w:val="22"/>
          <w:szCs w:val="22"/>
        </w:rPr>
      </w:pPr>
      <w:proofErr w:type="spellStart"/>
      <w:r w:rsidRPr="005D02CF">
        <w:rPr>
          <w:b w:val="0"/>
          <w:bCs w:val="0"/>
          <w:color w:val="auto"/>
          <w:sz w:val="22"/>
          <w:szCs w:val="22"/>
        </w:rPr>
        <w:t>Täiendava</w:t>
      </w:r>
      <w:proofErr w:type="spellEnd"/>
      <w:r w:rsidRPr="005D02CF">
        <w:rPr>
          <w:b w:val="0"/>
          <w:bCs w:val="0"/>
          <w:color w:val="auto"/>
          <w:sz w:val="22"/>
          <w:szCs w:val="22"/>
        </w:rPr>
        <w:t xml:space="preserve"> </w:t>
      </w:r>
      <w:proofErr w:type="spellStart"/>
      <w:r w:rsidRPr="005D02CF">
        <w:rPr>
          <w:b w:val="0"/>
          <w:bCs w:val="0"/>
          <w:color w:val="auto"/>
          <w:sz w:val="22"/>
          <w:szCs w:val="22"/>
        </w:rPr>
        <w:t>tegevusloa</w:t>
      </w:r>
      <w:proofErr w:type="spellEnd"/>
      <w:r w:rsidRPr="005D02CF">
        <w:rPr>
          <w:b w:val="0"/>
          <w:bCs w:val="0"/>
          <w:color w:val="auto"/>
          <w:sz w:val="22"/>
          <w:szCs w:val="22"/>
        </w:rPr>
        <w:t xml:space="preserve"> </w:t>
      </w:r>
      <w:proofErr w:type="spellStart"/>
      <w:r w:rsidRPr="005D02CF">
        <w:rPr>
          <w:b w:val="0"/>
          <w:bCs w:val="0"/>
          <w:color w:val="auto"/>
          <w:sz w:val="22"/>
          <w:szCs w:val="22"/>
        </w:rPr>
        <w:t>taotlemise</w:t>
      </w:r>
      <w:proofErr w:type="spellEnd"/>
      <w:r w:rsidRPr="005D02CF">
        <w:rPr>
          <w:b w:val="0"/>
          <w:bCs w:val="0"/>
          <w:color w:val="auto"/>
          <w:sz w:val="22"/>
          <w:szCs w:val="22"/>
        </w:rPr>
        <w:t xml:space="preserve">, </w:t>
      </w:r>
      <w:proofErr w:type="spellStart"/>
      <w:r w:rsidRPr="005D02CF">
        <w:rPr>
          <w:b w:val="0"/>
          <w:bCs w:val="0"/>
          <w:color w:val="auto"/>
          <w:sz w:val="22"/>
          <w:szCs w:val="22"/>
        </w:rPr>
        <w:t>olemasolevate</w:t>
      </w:r>
      <w:proofErr w:type="spellEnd"/>
      <w:r w:rsidRPr="005D02CF">
        <w:rPr>
          <w:b w:val="0"/>
          <w:bCs w:val="0"/>
          <w:color w:val="auto"/>
          <w:sz w:val="22"/>
          <w:szCs w:val="22"/>
        </w:rPr>
        <w:t xml:space="preserve"> </w:t>
      </w:r>
      <w:proofErr w:type="spellStart"/>
      <w:r w:rsidRPr="005D02CF">
        <w:rPr>
          <w:b w:val="0"/>
          <w:bCs w:val="0"/>
          <w:color w:val="auto"/>
          <w:sz w:val="22"/>
          <w:szCs w:val="22"/>
        </w:rPr>
        <w:t>teenuste</w:t>
      </w:r>
      <w:proofErr w:type="spellEnd"/>
      <w:r w:rsidRPr="005D02CF">
        <w:rPr>
          <w:b w:val="0"/>
          <w:bCs w:val="0"/>
          <w:color w:val="auto"/>
          <w:sz w:val="22"/>
          <w:szCs w:val="22"/>
        </w:rPr>
        <w:t xml:space="preserve"> </w:t>
      </w:r>
      <w:proofErr w:type="spellStart"/>
      <w:r w:rsidRPr="005D02CF">
        <w:rPr>
          <w:b w:val="0"/>
          <w:bCs w:val="0"/>
          <w:color w:val="auto"/>
          <w:sz w:val="22"/>
          <w:szCs w:val="22"/>
        </w:rPr>
        <w:t>ringi</w:t>
      </w:r>
      <w:proofErr w:type="spellEnd"/>
      <w:r w:rsidRPr="005D02CF">
        <w:rPr>
          <w:b w:val="0"/>
          <w:bCs w:val="0"/>
          <w:color w:val="auto"/>
          <w:sz w:val="22"/>
          <w:szCs w:val="22"/>
        </w:rPr>
        <w:t xml:space="preserve"> </w:t>
      </w:r>
      <w:proofErr w:type="spellStart"/>
      <w:r w:rsidRPr="005D02CF">
        <w:rPr>
          <w:b w:val="0"/>
          <w:bCs w:val="0"/>
          <w:color w:val="auto"/>
          <w:sz w:val="22"/>
          <w:szCs w:val="22"/>
        </w:rPr>
        <w:t>laiendamisel</w:t>
      </w:r>
      <w:proofErr w:type="spellEnd"/>
      <w:r w:rsidRPr="005D02CF">
        <w:rPr>
          <w:b w:val="0"/>
          <w:bCs w:val="0"/>
          <w:color w:val="auto"/>
          <w:sz w:val="22"/>
          <w:szCs w:val="22"/>
        </w:rPr>
        <w:t xml:space="preserve"> </w:t>
      </w:r>
      <w:proofErr w:type="spellStart"/>
      <w:r w:rsidRPr="005D02CF">
        <w:rPr>
          <w:b w:val="0"/>
          <w:bCs w:val="0"/>
          <w:color w:val="auto"/>
          <w:sz w:val="22"/>
          <w:szCs w:val="22"/>
        </w:rPr>
        <w:t>või</w:t>
      </w:r>
      <w:proofErr w:type="spellEnd"/>
      <w:r w:rsidRPr="005D02CF">
        <w:rPr>
          <w:b w:val="0"/>
          <w:bCs w:val="0"/>
          <w:color w:val="auto"/>
          <w:sz w:val="22"/>
          <w:szCs w:val="22"/>
        </w:rPr>
        <w:t xml:space="preserve"> </w:t>
      </w:r>
      <w:proofErr w:type="spellStart"/>
      <w:r w:rsidRPr="00F63DF1">
        <w:rPr>
          <w:b w:val="0"/>
          <w:bCs w:val="0"/>
          <w:color w:val="000000"/>
          <w:sz w:val="22"/>
          <w:szCs w:val="22"/>
        </w:rPr>
        <w:t>makseteenuste</w:t>
      </w:r>
      <w:proofErr w:type="spellEnd"/>
      <w:r w:rsidRPr="00F63DF1">
        <w:rPr>
          <w:b w:val="0"/>
          <w:bCs w:val="0"/>
          <w:color w:val="000000"/>
          <w:sz w:val="22"/>
          <w:szCs w:val="22"/>
        </w:rPr>
        <w:t xml:space="preserve"> </w:t>
      </w:r>
      <w:proofErr w:type="spellStart"/>
      <w:r w:rsidRPr="00F63DF1">
        <w:rPr>
          <w:b w:val="0"/>
          <w:bCs w:val="0"/>
          <w:color w:val="000000"/>
          <w:sz w:val="22"/>
          <w:szCs w:val="22"/>
        </w:rPr>
        <w:t>pakkujatele</w:t>
      </w:r>
      <w:proofErr w:type="spellEnd"/>
      <w:r w:rsidRPr="00F63DF1">
        <w:rPr>
          <w:b w:val="0"/>
          <w:bCs w:val="0"/>
          <w:color w:val="000000"/>
          <w:sz w:val="22"/>
          <w:szCs w:val="22"/>
        </w:rPr>
        <w:t xml:space="preserve"> </w:t>
      </w:r>
      <w:proofErr w:type="spellStart"/>
      <w:r w:rsidRPr="00F63DF1">
        <w:rPr>
          <w:b w:val="0"/>
          <w:bCs w:val="0"/>
          <w:color w:val="000000"/>
          <w:sz w:val="22"/>
          <w:szCs w:val="22"/>
        </w:rPr>
        <w:t>tehtava</w:t>
      </w:r>
      <w:proofErr w:type="spellEnd"/>
      <w:r w:rsidRPr="00F63DF1">
        <w:rPr>
          <w:b w:val="0"/>
          <w:bCs w:val="0"/>
          <w:color w:val="000000"/>
          <w:sz w:val="22"/>
          <w:szCs w:val="22"/>
        </w:rPr>
        <w:t xml:space="preserve"> </w:t>
      </w:r>
      <w:proofErr w:type="spellStart"/>
      <w:r w:rsidRPr="00F63DF1">
        <w:rPr>
          <w:b w:val="0"/>
          <w:bCs w:val="0"/>
          <w:color w:val="000000"/>
          <w:sz w:val="22"/>
          <w:szCs w:val="22"/>
        </w:rPr>
        <w:t>erandi</w:t>
      </w:r>
      <w:proofErr w:type="spellEnd"/>
      <w:r w:rsidRPr="00F63DF1">
        <w:rPr>
          <w:b w:val="0"/>
          <w:bCs w:val="0"/>
          <w:color w:val="000000"/>
          <w:sz w:val="22"/>
          <w:szCs w:val="22"/>
        </w:rPr>
        <w:t xml:space="preserve"> </w:t>
      </w:r>
      <w:proofErr w:type="spellStart"/>
      <w:r w:rsidRPr="00F63DF1">
        <w:rPr>
          <w:b w:val="0"/>
          <w:bCs w:val="0"/>
          <w:color w:val="000000"/>
          <w:sz w:val="22"/>
          <w:szCs w:val="22"/>
        </w:rPr>
        <w:t>kohaldamise</w:t>
      </w:r>
      <w:proofErr w:type="spellEnd"/>
      <w:r w:rsidRPr="00F63DF1">
        <w:rPr>
          <w:b w:val="0"/>
          <w:bCs w:val="0"/>
          <w:color w:val="000000"/>
          <w:sz w:val="22"/>
          <w:szCs w:val="22"/>
        </w:rPr>
        <w:t xml:space="preserve"> </w:t>
      </w:r>
      <w:proofErr w:type="spellStart"/>
      <w:r w:rsidRPr="00F63DF1">
        <w:rPr>
          <w:b w:val="0"/>
          <w:bCs w:val="0"/>
          <w:color w:val="000000"/>
          <w:sz w:val="22"/>
          <w:szCs w:val="22"/>
        </w:rPr>
        <w:t>lõpetamise</w:t>
      </w:r>
      <w:proofErr w:type="spellEnd"/>
      <w:r w:rsidRPr="00F63DF1">
        <w:rPr>
          <w:b w:val="0"/>
          <w:bCs w:val="0"/>
          <w:color w:val="000000"/>
          <w:sz w:val="22"/>
          <w:szCs w:val="22"/>
        </w:rPr>
        <w:t xml:space="preserve"> </w:t>
      </w:r>
      <w:proofErr w:type="spellStart"/>
      <w:r w:rsidRPr="00F63DF1">
        <w:rPr>
          <w:b w:val="0"/>
          <w:bCs w:val="0"/>
          <w:color w:val="000000"/>
          <w:sz w:val="22"/>
          <w:szCs w:val="22"/>
        </w:rPr>
        <w:t>korral</w:t>
      </w:r>
      <w:proofErr w:type="spellEnd"/>
      <w:r w:rsidRPr="00F63DF1">
        <w:rPr>
          <w:b w:val="0"/>
          <w:bCs w:val="0"/>
          <w:color w:val="000000"/>
          <w:sz w:val="22"/>
          <w:szCs w:val="22"/>
        </w:rPr>
        <w:t xml:space="preserve"> on </w:t>
      </w:r>
      <w:proofErr w:type="spellStart"/>
      <w:r w:rsidRPr="00F63DF1">
        <w:rPr>
          <w:b w:val="0"/>
          <w:bCs w:val="0"/>
          <w:color w:val="000000"/>
          <w:sz w:val="22"/>
          <w:szCs w:val="22"/>
        </w:rPr>
        <w:t>tasu</w:t>
      </w:r>
      <w:proofErr w:type="spellEnd"/>
      <w:r w:rsidRPr="00F63DF1">
        <w:rPr>
          <w:b w:val="0"/>
          <w:bCs w:val="0"/>
          <w:color w:val="000000"/>
          <w:sz w:val="22"/>
          <w:szCs w:val="22"/>
        </w:rPr>
        <w:t xml:space="preserve"> </w:t>
      </w:r>
      <w:proofErr w:type="spellStart"/>
      <w:r w:rsidRPr="00F63DF1">
        <w:rPr>
          <w:b w:val="0"/>
          <w:bCs w:val="0"/>
          <w:color w:val="000000"/>
          <w:sz w:val="22"/>
          <w:szCs w:val="22"/>
        </w:rPr>
        <w:t>senise</w:t>
      </w:r>
      <w:proofErr w:type="spellEnd"/>
      <w:r w:rsidRPr="00F63DF1">
        <w:rPr>
          <w:b w:val="0"/>
          <w:bCs w:val="0"/>
          <w:color w:val="000000"/>
          <w:sz w:val="22"/>
          <w:szCs w:val="22"/>
        </w:rPr>
        <w:t xml:space="preserve"> 500 euro </w:t>
      </w:r>
      <w:proofErr w:type="spellStart"/>
      <w:r w:rsidRPr="00F63DF1">
        <w:rPr>
          <w:b w:val="0"/>
          <w:bCs w:val="0"/>
          <w:color w:val="000000"/>
          <w:sz w:val="22"/>
          <w:szCs w:val="22"/>
        </w:rPr>
        <w:t>asemel</w:t>
      </w:r>
      <w:proofErr w:type="spellEnd"/>
      <w:r w:rsidRPr="00F63DF1">
        <w:rPr>
          <w:b w:val="0"/>
          <w:bCs w:val="0"/>
          <w:color w:val="000000"/>
          <w:sz w:val="22"/>
          <w:szCs w:val="22"/>
        </w:rPr>
        <w:t xml:space="preserve"> 1500 </w:t>
      </w:r>
      <w:proofErr w:type="spellStart"/>
      <w:r w:rsidRPr="00F63DF1">
        <w:rPr>
          <w:b w:val="0"/>
          <w:bCs w:val="0"/>
          <w:color w:val="000000"/>
          <w:sz w:val="22"/>
          <w:szCs w:val="22"/>
        </w:rPr>
        <w:t>eurot</w:t>
      </w:r>
      <w:proofErr w:type="spellEnd"/>
      <w:r w:rsidRPr="00F63DF1">
        <w:rPr>
          <w:b w:val="0"/>
          <w:bCs w:val="0"/>
          <w:color w:val="000000"/>
          <w:sz w:val="22"/>
          <w:szCs w:val="22"/>
        </w:rPr>
        <w:t>.</w:t>
      </w:r>
    </w:p>
    <w:p w14:paraId="5E84969A" w14:textId="77777777" w:rsidR="003057ED" w:rsidRDefault="003057ED" w:rsidP="003057ED">
      <w:pPr>
        <w:spacing w:before="0"/>
        <w:rPr>
          <w:b/>
          <w:sz w:val="22"/>
          <w:szCs w:val="22"/>
        </w:rPr>
      </w:pPr>
    </w:p>
    <w:p w14:paraId="39386842" w14:textId="66AE9172" w:rsidR="003057ED" w:rsidRDefault="003057ED" w:rsidP="003057ED">
      <w:pPr>
        <w:spacing w:before="0"/>
        <w:rPr>
          <w:sz w:val="22"/>
          <w:szCs w:val="22"/>
        </w:rPr>
      </w:pPr>
      <w:r w:rsidRPr="005A55CA">
        <w:rPr>
          <w:b/>
          <w:sz w:val="22"/>
          <w:szCs w:val="22"/>
        </w:rPr>
        <w:t>P</w:t>
      </w:r>
      <w:r>
        <w:rPr>
          <w:b/>
          <w:sz w:val="22"/>
          <w:szCs w:val="22"/>
        </w:rPr>
        <w:t xml:space="preserve">unktiga 15 </w:t>
      </w:r>
      <w:r>
        <w:rPr>
          <w:sz w:val="22"/>
          <w:szCs w:val="22"/>
        </w:rPr>
        <w:t xml:space="preserve">muudetakse </w:t>
      </w:r>
      <w:r w:rsidRPr="00E0341A">
        <w:rPr>
          <w:sz w:val="22"/>
          <w:szCs w:val="22"/>
        </w:rPr>
        <w:t xml:space="preserve">FIS §-i </w:t>
      </w:r>
      <w:r w:rsidRPr="00A80C67">
        <w:rPr>
          <w:sz w:val="22"/>
          <w:szCs w:val="22"/>
        </w:rPr>
        <w:t>45</w:t>
      </w:r>
      <w:r w:rsidRPr="00A80C67">
        <w:rPr>
          <w:sz w:val="22"/>
          <w:szCs w:val="22"/>
          <w:vertAlign w:val="superscript"/>
        </w:rPr>
        <w:t>5</w:t>
      </w:r>
      <w:r w:rsidRPr="00A80C67">
        <w:rPr>
          <w:sz w:val="22"/>
          <w:szCs w:val="22"/>
        </w:rPr>
        <w:t>.</w:t>
      </w:r>
      <w:r w:rsidR="00F63DF1">
        <w:rPr>
          <w:sz w:val="22"/>
          <w:szCs w:val="22"/>
        </w:rPr>
        <w:t xml:space="preserve"> </w:t>
      </w:r>
      <w:r w:rsidRPr="005A55CA">
        <w:rPr>
          <w:sz w:val="22"/>
          <w:szCs w:val="22"/>
        </w:rPr>
        <w:t xml:space="preserve">Uue lõikega nähakse ette </w:t>
      </w:r>
      <w:proofErr w:type="spellStart"/>
      <w:r>
        <w:rPr>
          <w:sz w:val="22"/>
          <w:szCs w:val="22"/>
        </w:rPr>
        <w:t>krüptovara</w:t>
      </w:r>
      <w:proofErr w:type="spellEnd"/>
      <w:r>
        <w:rPr>
          <w:sz w:val="22"/>
          <w:szCs w:val="22"/>
        </w:rPr>
        <w:t xml:space="preserve"> ja </w:t>
      </w:r>
      <w:proofErr w:type="spellStart"/>
      <w:r>
        <w:rPr>
          <w:sz w:val="22"/>
          <w:szCs w:val="22"/>
        </w:rPr>
        <w:t>ühisrahastuse</w:t>
      </w:r>
      <w:proofErr w:type="spellEnd"/>
      <w:r>
        <w:rPr>
          <w:sz w:val="22"/>
          <w:szCs w:val="22"/>
        </w:rPr>
        <w:t xml:space="preserve"> seaduses sätestatud</w:t>
      </w:r>
      <w:r w:rsidRPr="005A55CA">
        <w:rPr>
          <w:sz w:val="22"/>
          <w:szCs w:val="22"/>
        </w:rPr>
        <w:t xml:space="preserve"> põhiteabedokumendi registreerimise taotlemise menetlustasu, mis on </w:t>
      </w:r>
      <w:r>
        <w:rPr>
          <w:sz w:val="22"/>
          <w:szCs w:val="22"/>
        </w:rPr>
        <w:t>10</w:t>
      </w:r>
      <w:r w:rsidRPr="005A55CA">
        <w:rPr>
          <w:sz w:val="22"/>
          <w:szCs w:val="22"/>
        </w:rPr>
        <w:t xml:space="preserve">00 eurot. Tulenevalt uue tasu kehtestamisest on muudetud paragrahvi pealkirja. </w:t>
      </w:r>
      <w:r>
        <w:rPr>
          <w:sz w:val="22"/>
          <w:szCs w:val="22"/>
        </w:rPr>
        <w:t xml:space="preserve">Lisaks tõstetakse prospekti kinnitamise taotlemise tasu 600 eurolt 1000 eurole ning prospekti lisa kinnitamise taotlemise tasu 200 eurolt 500 eurole. </w:t>
      </w:r>
    </w:p>
    <w:p w14:paraId="44048E82" w14:textId="77777777" w:rsidR="003057ED" w:rsidRDefault="003057ED" w:rsidP="003057ED">
      <w:pPr>
        <w:spacing w:before="0"/>
        <w:rPr>
          <w:sz w:val="22"/>
          <w:szCs w:val="22"/>
        </w:rPr>
      </w:pPr>
    </w:p>
    <w:p w14:paraId="7DDBE598" w14:textId="77777777" w:rsidR="003057ED" w:rsidRPr="00E41BF6" w:rsidRDefault="003057ED" w:rsidP="003057ED">
      <w:pPr>
        <w:spacing w:before="0"/>
        <w:rPr>
          <w:b/>
          <w:bCs/>
          <w:color w:val="202020"/>
          <w:sz w:val="22"/>
          <w:szCs w:val="22"/>
          <w:shd w:val="clear" w:color="auto" w:fill="FFFFFF"/>
        </w:rPr>
      </w:pPr>
      <w:r w:rsidRPr="00E41BF6">
        <w:rPr>
          <w:b/>
          <w:bCs/>
          <w:sz w:val="22"/>
          <w:szCs w:val="22"/>
        </w:rPr>
        <w:t>Punkt 16</w:t>
      </w:r>
      <w:r>
        <w:rPr>
          <w:b/>
          <w:bCs/>
          <w:sz w:val="22"/>
          <w:szCs w:val="22"/>
        </w:rPr>
        <w:t xml:space="preserve">. </w:t>
      </w:r>
      <w:r w:rsidRPr="004D5460">
        <w:rPr>
          <w:sz w:val="22"/>
          <w:szCs w:val="22"/>
        </w:rPr>
        <w:t xml:space="preserve">Seadust täiendatakse sättega, mis võimaldab vajadusel esitada Finantsinspektsioonile esitatud andmeid Eesti Pangale, </w:t>
      </w:r>
      <w:proofErr w:type="spellStart"/>
      <w:r w:rsidRPr="004D5460">
        <w:rPr>
          <w:sz w:val="22"/>
          <w:szCs w:val="22"/>
        </w:rPr>
        <w:t>RAB-ile</w:t>
      </w:r>
      <w:proofErr w:type="spellEnd"/>
      <w:r w:rsidRPr="004D5460">
        <w:rPr>
          <w:sz w:val="22"/>
          <w:szCs w:val="22"/>
        </w:rPr>
        <w:t xml:space="preserve"> ja Rahandusministeeriumile</w:t>
      </w:r>
      <w:r>
        <w:rPr>
          <w:sz w:val="22"/>
          <w:szCs w:val="22"/>
        </w:rPr>
        <w:t>.</w:t>
      </w:r>
    </w:p>
    <w:p w14:paraId="7803E649" w14:textId="77777777" w:rsidR="003057ED" w:rsidRPr="005A55CA" w:rsidRDefault="003057ED" w:rsidP="003057ED">
      <w:pPr>
        <w:spacing w:before="0"/>
        <w:rPr>
          <w:color w:val="202020"/>
          <w:sz w:val="22"/>
          <w:szCs w:val="22"/>
          <w:shd w:val="clear" w:color="auto" w:fill="FFFFFF"/>
        </w:rPr>
      </w:pPr>
    </w:p>
    <w:p w14:paraId="48A67847" w14:textId="77777777" w:rsidR="003057ED" w:rsidRPr="005A55CA" w:rsidRDefault="003057ED" w:rsidP="003057ED">
      <w:pPr>
        <w:spacing w:before="0"/>
        <w:rPr>
          <w:bCs/>
          <w:sz w:val="22"/>
          <w:szCs w:val="22"/>
        </w:rPr>
      </w:pPr>
      <w:r w:rsidRPr="005A55CA">
        <w:rPr>
          <w:b/>
          <w:color w:val="202020"/>
          <w:sz w:val="22"/>
          <w:szCs w:val="22"/>
          <w:shd w:val="clear" w:color="auto" w:fill="FFFFFF"/>
        </w:rPr>
        <w:t>Paragrahviga 1</w:t>
      </w:r>
      <w:r>
        <w:rPr>
          <w:b/>
          <w:color w:val="202020"/>
          <w:sz w:val="22"/>
          <w:szCs w:val="22"/>
          <w:shd w:val="clear" w:color="auto" w:fill="FFFFFF"/>
        </w:rPr>
        <w:t>22</w:t>
      </w:r>
      <w:r w:rsidRPr="005A55CA">
        <w:rPr>
          <w:color w:val="202020"/>
          <w:sz w:val="22"/>
          <w:szCs w:val="22"/>
          <w:shd w:val="clear" w:color="auto" w:fill="FFFFFF"/>
        </w:rPr>
        <w:t xml:space="preserve"> sätestatakse kindlustustegevuse seaduse muudatused. Selle kohaselt muudetakse KTS-i § 109 lõiget 2.</w:t>
      </w:r>
      <w:r>
        <w:rPr>
          <w:b/>
          <w:bCs/>
          <w:sz w:val="22"/>
          <w:szCs w:val="22"/>
        </w:rPr>
        <w:t xml:space="preserve"> </w:t>
      </w:r>
      <w:r w:rsidRPr="005A55CA">
        <w:rPr>
          <w:bCs/>
          <w:sz w:val="22"/>
          <w:szCs w:val="22"/>
        </w:rPr>
        <w:t>Analoogselt teiste finan</w:t>
      </w:r>
      <w:r>
        <w:rPr>
          <w:bCs/>
          <w:sz w:val="22"/>
          <w:szCs w:val="22"/>
        </w:rPr>
        <w:t>t</w:t>
      </w:r>
      <w:r w:rsidRPr="005A55CA">
        <w:rPr>
          <w:bCs/>
          <w:sz w:val="22"/>
          <w:szCs w:val="22"/>
        </w:rPr>
        <w:t xml:space="preserve">steenuse osutajate juhatuse liikmete ja töötajatega ei või </w:t>
      </w:r>
      <w:proofErr w:type="spellStart"/>
      <w:r>
        <w:rPr>
          <w:bCs/>
          <w:sz w:val="22"/>
          <w:szCs w:val="22"/>
        </w:rPr>
        <w:t>krüptovara</w:t>
      </w:r>
      <w:r w:rsidRPr="005A55CA">
        <w:rPr>
          <w:bCs/>
          <w:sz w:val="22"/>
          <w:szCs w:val="22"/>
        </w:rPr>
        <w:t>teenuse</w:t>
      </w:r>
      <w:proofErr w:type="spellEnd"/>
      <w:r w:rsidRPr="005A55CA">
        <w:rPr>
          <w:bCs/>
          <w:sz w:val="22"/>
          <w:szCs w:val="22"/>
        </w:rPr>
        <w:t xml:space="preserve"> osutaja ja </w:t>
      </w:r>
      <w:proofErr w:type="spellStart"/>
      <w:r>
        <w:rPr>
          <w:bCs/>
          <w:sz w:val="22"/>
          <w:szCs w:val="22"/>
        </w:rPr>
        <w:t>ühisrahastusteenuse</w:t>
      </w:r>
      <w:proofErr w:type="spellEnd"/>
      <w:r w:rsidRPr="005A55CA">
        <w:rPr>
          <w:bCs/>
          <w:sz w:val="22"/>
          <w:szCs w:val="22"/>
        </w:rPr>
        <w:t xml:space="preserve"> osutaja olla kindlustusandja juhatuse liige, välja arvatud kindlustusandjaga samasse konsolideerimisgruppi kuuluva ettevõtja juhatuse liige või töötaja. </w:t>
      </w:r>
    </w:p>
    <w:p w14:paraId="35611C14" w14:textId="77777777" w:rsidR="003057ED" w:rsidRPr="005A55CA" w:rsidRDefault="003057ED" w:rsidP="003057ED">
      <w:pPr>
        <w:spacing w:before="0"/>
        <w:rPr>
          <w:color w:val="202020"/>
          <w:sz w:val="22"/>
          <w:szCs w:val="22"/>
          <w:shd w:val="clear" w:color="auto" w:fill="FFFFFF"/>
        </w:rPr>
      </w:pPr>
    </w:p>
    <w:p w14:paraId="697EEE66" w14:textId="77777777" w:rsidR="003057ED" w:rsidRPr="00EE575A" w:rsidRDefault="003057ED" w:rsidP="003057ED">
      <w:pPr>
        <w:spacing w:before="0"/>
        <w:rPr>
          <w:sz w:val="22"/>
          <w:szCs w:val="22"/>
        </w:rPr>
      </w:pPr>
      <w:r w:rsidRPr="005A55CA">
        <w:rPr>
          <w:b/>
          <w:color w:val="202020"/>
          <w:sz w:val="22"/>
          <w:szCs w:val="22"/>
          <w:shd w:val="clear" w:color="auto" w:fill="FFFFFF"/>
        </w:rPr>
        <w:t>Paragrahviga 1</w:t>
      </w:r>
      <w:r>
        <w:rPr>
          <w:b/>
          <w:color w:val="202020"/>
          <w:sz w:val="22"/>
          <w:szCs w:val="22"/>
          <w:shd w:val="clear" w:color="auto" w:fill="FFFFFF"/>
        </w:rPr>
        <w:t>23</w:t>
      </w:r>
      <w:r w:rsidRPr="005A55CA">
        <w:rPr>
          <w:color w:val="202020"/>
          <w:sz w:val="22"/>
          <w:szCs w:val="22"/>
          <w:shd w:val="clear" w:color="auto" w:fill="FFFFFF"/>
        </w:rPr>
        <w:t xml:space="preserve"> sätestatakse krediidiandjate ja –vahendajate seaduse (KAVS) muudatused. Selle kohaselt täiendatakse </w:t>
      </w:r>
      <w:proofErr w:type="spellStart"/>
      <w:r w:rsidRPr="005A55CA">
        <w:rPr>
          <w:color w:val="202020"/>
          <w:sz w:val="22"/>
          <w:szCs w:val="22"/>
          <w:shd w:val="clear" w:color="auto" w:fill="FFFFFF"/>
        </w:rPr>
        <w:t>KAVSi</w:t>
      </w:r>
      <w:proofErr w:type="spellEnd"/>
      <w:r w:rsidRPr="005A55CA">
        <w:rPr>
          <w:color w:val="202020"/>
          <w:sz w:val="22"/>
          <w:szCs w:val="22"/>
          <w:shd w:val="clear" w:color="auto" w:fill="FFFFFF"/>
        </w:rPr>
        <w:t xml:space="preserve"> § 2 lõikega 7</w:t>
      </w:r>
      <w:r w:rsidRPr="005A55CA">
        <w:rPr>
          <w:color w:val="202020"/>
          <w:sz w:val="22"/>
          <w:szCs w:val="22"/>
          <w:shd w:val="clear" w:color="auto" w:fill="FFFFFF"/>
          <w:vertAlign w:val="superscript"/>
        </w:rPr>
        <w:t>1</w:t>
      </w:r>
      <w:r w:rsidRPr="005A55CA">
        <w:rPr>
          <w:color w:val="202020"/>
          <w:sz w:val="22"/>
          <w:szCs w:val="22"/>
          <w:shd w:val="clear" w:color="auto" w:fill="FFFFFF"/>
        </w:rPr>
        <w:t>.</w:t>
      </w:r>
      <w:r>
        <w:rPr>
          <w:b/>
          <w:bCs/>
          <w:sz w:val="22"/>
          <w:szCs w:val="22"/>
        </w:rPr>
        <w:t xml:space="preserve"> </w:t>
      </w:r>
      <w:r w:rsidRPr="005A55CA">
        <w:rPr>
          <w:bCs/>
          <w:sz w:val="22"/>
          <w:szCs w:val="22"/>
        </w:rPr>
        <w:t xml:space="preserve">Lisatava lõike kohaselt ei kohaldata krediidiandjate ja –vahendajate seadust </w:t>
      </w:r>
      <w:proofErr w:type="spellStart"/>
      <w:r w:rsidRPr="005A55CA">
        <w:rPr>
          <w:bCs/>
          <w:sz w:val="22"/>
          <w:szCs w:val="22"/>
        </w:rPr>
        <w:t>ühisrahastusteenuse</w:t>
      </w:r>
      <w:proofErr w:type="spellEnd"/>
      <w:r w:rsidRPr="005A55CA">
        <w:rPr>
          <w:bCs/>
          <w:sz w:val="22"/>
          <w:szCs w:val="22"/>
        </w:rPr>
        <w:t xml:space="preserve"> osutajale, kui </w:t>
      </w:r>
      <w:proofErr w:type="spellStart"/>
      <w:r>
        <w:rPr>
          <w:bCs/>
          <w:sz w:val="22"/>
          <w:szCs w:val="22"/>
        </w:rPr>
        <w:t>krüptovara</w:t>
      </w:r>
      <w:proofErr w:type="spellEnd"/>
      <w:r>
        <w:rPr>
          <w:bCs/>
          <w:sz w:val="22"/>
          <w:szCs w:val="22"/>
        </w:rPr>
        <w:t xml:space="preserve"> ja </w:t>
      </w:r>
      <w:proofErr w:type="spellStart"/>
      <w:r>
        <w:rPr>
          <w:bCs/>
          <w:sz w:val="22"/>
          <w:szCs w:val="22"/>
        </w:rPr>
        <w:t>ühisrahastuse</w:t>
      </w:r>
      <w:proofErr w:type="spellEnd"/>
      <w:r w:rsidRPr="005A55CA">
        <w:rPr>
          <w:bCs/>
          <w:sz w:val="22"/>
          <w:szCs w:val="22"/>
        </w:rPr>
        <w:t xml:space="preserve"> seaduses ei ole sätestatud teisiti. Muudatuse vajalikkus tuleneb sellest, et </w:t>
      </w:r>
      <w:proofErr w:type="spellStart"/>
      <w:r w:rsidRPr="005A55CA">
        <w:rPr>
          <w:bCs/>
          <w:sz w:val="22"/>
          <w:szCs w:val="22"/>
        </w:rPr>
        <w:t>ühisrahastusteenuse</w:t>
      </w:r>
      <w:proofErr w:type="spellEnd"/>
      <w:r w:rsidRPr="005A55CA">
        <w:rPr>
          <w:bCs/>
          <w:sz w:val="22"/>
          <w:szCs w:val="22"/>
        </w:rPr>
        <w:t xml:space="preserve"> osutajatele on </w:t>
      </w:r>
      <w:proofErr w:type="spellStart"/>
      <w:r w:rsidRPr="005A55CA">
        <w:rPr>
          <w:bCs/>
          <w:sz w:val="22"/>
          <w:szCs w:val="22"/>
        </w:rPr>
        <w:t>viimativiidatud</w:t>
      </w:r>
      <w:proofErr w:type="spellEnd"/>
      <w:r w:rsidRPr="005A55CA">
        <w:rPr>
          <w:bCs/>
          <w:sz w:val="22"/>
          <w:szCs w:val="22"/>
        </w:rPr>
        <w:t xml:space="preserve"> eriseaduses loodud eraldi kohaldatav õiguslik raamistik, mistõttu lisatav lõige on pigem selgitava iseloomuga vältimaks kahe </w:t>
      </w:r>
      <w:r w:rsidRPr="00EE575A">
        <w:rPr>
          <w:bCs/>
          <w:sz w:val="22"/>
          <w:szCs w:val="22"/>
        </w:rPr>
        <w:t xml:space="preserve">seaduse samaaegset kohaldamist. Küll aga peab </w:t>
      </w:r>
      <w:proofErr w:type="spellStart"/>
      <w:r w:rsidRPr="00EE575A">
        <w:rPr>
          <w:bCs/>
          <w:sz w:val="22"/>
          <w:szCs w:val="22"/>
        </w:rPr>
        <w:t>ühisrahastusteenuse</w:t>
      </w:r>
      <w:proofErr w:type="spellEnd"/>
      <w:r w:rsidRPr="00EE575A">
        <w:rPr>
          <w:bCs/>
          <w:sz w:val="22"/>
          <w:szCs w:val="22"/>
        </w:rPr>
        <w:t xml:space="preserve"> osutaja, kui ta pakub või vahendab tarbijakrediiti, täitma asjaomaseid </w:t>
      </w:r>
      <w:proofErr w:type="spellStart"/>
      <w:r w:rsidRPr="00EE575A">
        <w:rPr>
          <w:bCs/>
          <w:sz w:val="22"/>
          <w:szCs w:val="22"/>
        </w:rPr>
        <w:t>KAVSi</w:t>
      </w:r>
      <w:proofErr w:type="spellEnd"/>
      <w:r w:rsidRPr="00EE575A">
        <w:rPr>
          <w:bCs/>
          <w:sz w:val="22"/>
          <w:szCs w:val="22"/>
        </w:rPr>
        <w:t xml:space="preserve"> nõudeid (eeskätt KAVS peatükid 6 ja 7).</w:t>
      </w:r>
    </w:p>
    <w:p w14:paraId="458CB5AB" w14:textId="77777777" w:rsidR="003057ED" w:rsidRPr="00EE575A" w:rsidRDefault="003057ED" w:rsidP="003057ED">
      <w:pPr>
        <w:pStyle w:val="Normal2"/>
        <w:rPr>
          <w:szCs w:val="22"/>
        </w:rPr>
      </w:pPr>
    </w:p>
    <w:p w14:paraId="42222934" w14:textId="77777777" w:rsidR="003057ED" w:rsidRPr="00EE575A" w:rsidRDefault="003057ED" w:rsidP="003057ED">
      <w:pPr>
        <w:pStyle w:val="Normal2"/>
        <w:rPr>
          <w:szCs w:val="22"/>
        </w:rPr>
      </w:pPr>
      <w:r w:rsidRPr="00EE575A">
        <w:rPr>
          <w:b/>
          <w:szCs w:val="22"/>
        </w:rPr>
        <w:t>Paragrahvis 12</w:t>
      </w:r>
      <w:r>
        <w:rPr>
          <w:b/>
          <w:szCs w:val="22"/>
        </w:rPr>
        <w:t>4</w:t>
      </w:r>
      <w:r w:rsidRPr="00EE575A">
        <w:rPr>
          <w:szCs w:val="22"/>
        </w:rPr>
        <w:t xml:space="preserve"> sätestatakse krediidiasutuse seaduse (KAS) muudatus. Selle kohaselt täiendatakse KAS §-i 2 lõikega 7 õigusselguse tagamise eesmärgil. Muudatusest tulenevalt kohaldatakse krediidiasutusele, kes pakub </w:t>
      </w:r>
      <w:proofErr w:type="spellStart"/>
      <w:r>
        <w:rPr>
          <w:szCs w:val="22"/>
        </w:rPr>
        <w:t>krüptovarateenust</w:t>
      </w:r>
      <w:proofErr w:type="spellEnd"/>
      <w:r>
        <w:rPr>
          <w:szCs w:val="22"/>
        </w:rPr>
        <w:t xml:space="preserve"> või </w:t>
      </w:r>
      <w:proofErr w:type="spellStart"/>
      <w:r>
        <w:rPr>
          <w:szCs w:val="22"/>
        </w:rPr>
        <w:t>ühisrahastus</w:t>
      </w:r>
      <w:r w:rsidRPr="00EE575A">
        <w:rPr>
          <w:szCs w:val="22"/>
        </w:rPr>
        <w:t>teenust</w:t>
      </w:r>
      <w:proofErr w:type="spellEnd"/>
      <w:r w:rsidRPr="00EE575A">
        <w:rPr>
          <w:szCs w:val="22"/>
        </w:rPr>
        <w:t xml:space="preserve">, </w:t>
      </w:r>
      <w:proofErr w:type="spellStart"/>
      <w:r>
        <w:rPr>
          <w:szCs w:val="22"/>
        </w:rPr>
        <w:t>krüptovara</w:t>
      </w:r>
      <w:proofErr w:type="spellEnd"/>
      <w:r>
        <w:rPr>
          <w:szCs w:val="22"/>
        </w:rPr>
        <w:t xml:space="preserve"> ja </w:t>
      </w:r>
      <w:proofErr w:type="spellStart"/>
      <w:r>
        <w:rPr>
          <w:szCs w:val="22"/>
        </w:rPr>
        <w:t>ühisrahastuse</w:t>
      </w:r>
      <w:proofErr w:type="spellEnd"/>
      <w:r w:rsidRPr="00EE575A">
        <w:rPr>
          <w:szCs w:val="22"/>
        </w:rPr>
        <w:t xml:space="preserve"> seaduse 3., 5. (välja arvatud §-s 38), 6., 7., 11., ja 12. peatükis sätestatut. </w:t>
      </w:r>
    </w:p>
    <w:p w14:paraId="33937FB1" w14:textId="77777777" w:rsidR="003057ED" w:rsidRPr="00EE575A" w:rsidRDefault="003057ED" w:rsidP="003057ED">
      <w:pPr>
        <w:spacing w:before="0"/>
        <w:rPr>
          <w:sz w:val="22"/>
          <w:szCs w:val="22"/>
          <w:lang w:eastAsia="en-US"/>
        </w:rPr>
      </w:pPr>
    </w:p>
    <w:p w14:paraId="3C966DF0" w14:textId="77777777" w:rsidR="003057ED" w:rsidRPr="00EE575A" w:rsidRDefault="003057ED" w:rsidP="003057ED">
      <w:pPr>
        <w:spacing w:before="0"/>
        <w:rPr>
          <w:color w:val="202020"/>
          <w:sz w:val="22"/>
          <w:szCs w:val="22"/>
          <w:shd w:val="clear" w:color="auto" w:fill="FFFFFF"/>
        </w:rPr>
      </w:pPr>
      <w:r w:rsidRPr="00EE575A">
        <w:rPr>
          <w:b/>
          <w:color w:val="202020"/>
          <w:sz w:val="22"/>
          <w:szCs w:val="22"/>
          <w:shd w:val="clear" w:color="auto" w:fill="FFFFFF"/>
        </w:rPr>
        <w:t>Paragrahviga 12</w:t>
      </w:r>
      <w:r>
        <w:rPr>
          <w:b/>
          <w:color w:val="202020"/>
          <w:sz w:val="22"/>
          <w:szCs w:val="22"/>
          <w:shd w:val="clear" w:color="auto" w:fill="FFFFFF"/>
        </w:rPr>
        <w:t>5</w:t>
      </w:r>
      <w:r w:rsidRPr="00EE575A">
        <w:rPr>
          <w:color w:val="202020"/>
          <w:sz w:val="22"/>
          <w:szCs w:val="22"/>
          <w:shd w:val="clear" w:color="auto" w:fill="FFFFFF"/>
        </w:rPr>
        <w:t xml:space="preserve"> sätestatakse majandustegevuse seadustiku üldosa seaduse muudatused.</w:t>
      </w:r>
    </w:p>
    <w:p w14:paraId="72045259" w14:textId="77777777" w:rsidR="003057ED" w:rsidRPr="00EE575A" w:rsidRDefault="003057ED" w:rsidP="003057ED">
      <w:pPr>
        <w:spacing w:before="0"/>
        <w:rPr>
          <w:b/>
          <w:bCs/>
          <w:color w:val="FF0000"/>
          <w:sz w:val="22"/>
          <w:szCs w:val="22"/>
        </w:rPr>
      </w:pPr>
    </w:p>
    <w:p w14:paraId="2AD80915" w14:textId="77777777" w:rsidR="003057ED" w:rsidRPr="00EE575A" w:rsidRDefault="003057ED" w:rsidP="003057ED">
      <w:pPr>
        <w:spacing w:before="0"/>
        <w:rPr>
          <w:sz w:val="22"/>
          <w:szCs w:val="22"/>
          <w:shd w:val="clear" w:color="auto" w:fill="FFFFFF"/>
        </w:rPr>
      </w:pPr>
      <w:r w:rsidRPr="00EE575A">
        <w:rPr>
          <w:sz w:val="22"/>
          <w:szCs w:val="22"/>
        </w:rPr>
        <w:t>Majandustegevuse seadustiku üldosa seadus</w:t>
      </w:r>
      <w:r w:rsidRPr="00EE575A">
        <w:rPr>
          <w:bCs/>
          <w:sz w:val="22"/>
          <w:szCs w:val="22"/>
        </w:rPr>
        <w:t>e § 2 lõiget 4 täiendatakse punktiga 6</w:t>
      </w:r>
      <w:r w:rsidRPr="00EE575A">
        <w:rPr>
          <w:bCs/>
          <w:sz w:val="22"/>
          <w:szCs w:val="22"/>
          <w:vertAlign w:val="superscript"/>
        </w:rPr>
        <w:t>1</w:t>
      </w:r>
      <w:r w:rsidRPr="00EE575A">
        <w:rPr>
          <w:bCs/>
          <w:sz w:val="22"/>
          <w:szCs w:val="22"/>
        </w:rPr>
        <w:t xml:space="preserve">, mille kohaselt ei kohaldata majandustegevuse seadustiku üldosa seadust </w:t>
      </w:r>
      <w:proofErr w:type="spellStart"/>
      <w:r>
        <w:rPr>
          <w:bCs/>
          <w:sz w:val="22"/>
          <w:szCs w:val="22"/>
        </w:rPr>
        <w:t>krüptovara</w:t>
      </w:r>
      <w:proofErr w:type="spellEnd"/>
      <w:r>
        <w:rPr>
          <w:bCs/>
          <w:sz w:val="22"/>
          <w:szCs w:val="22"/>
        </w:rPr>
        <w:t xml:space="preserve"> ja </w:t>
      </w:r>
      <w:proofErr w:type="spellStart"/>
      <w:r>
        <w:rPr>
          <w:bCs/>
          <w:sz w:val="22"/>
          <w:szCs w:val="22"/>
        </w:rPr>
        <w:t>ühisrahastuse</w:t>
      </w:r>
      <w:proofErr w:type="spellEnd"/>
      <w:r w:rsidRPr="00EE575A">
        <w:rPr>
          <w:b/>
          <w:bCs/>
          <w:sz w:val="22"/>
          <w:szCs w:val="22"/>
        </w:rPr>
        <w:t xml:space="preserve"> </w:t>
      </w:r>
      <w:r w:rsidRPr="00EE575A">
        <w:rPr>
          <w:sz w:val="22"/>
          <w:szCs w:val="22"/>
          <w:shd w:val="clear" w:color="auto" w:fill="FFFFFF"/>
        </w:rPr>
        <w:t xml:space="preserve">seaduse tähenduses </w:t>
      </w:r>
      <w:proofErr w:type="spellStart"/>
      <w:r>
        <w:rPr>
          <w:sz w:val="22"/>
          <w:szCs w:val="22"/>
          <w:shd w:val="clear" w:color="auto" w:fill="FFFFFF"/>
        </w:rPr>
        <w:t>krüptovarateenuse</w:t>
      </w:r>
      <w:proofErr w:type="spellEnd"/>
      <w:r>
        <w:rPr>
          <w:sz w:val="22"/>
          <w:szCs w:val="22"/>
          <w:shd w:val="clear" w:color="auto" w:fill="FFFFFF"/>
        </w:rPr>
        <w:t xml:space="preserve"> ja </w:t>
      </w:r>
      <w:proofErr w:type="spellStart"/>
      <w:r w:rsidRPr="00EE575A">
        <w:rPr>
          <w:bCs/>
          <w:sz w:val="22"/>
          <w:szCs w:val="22"/>
        </w:rPr>
        <w:t>ühisrahastus</w:t>
      </w:r>
      <w:proofErr w:type="spellEnd"/>
      <w:r w:rsidRPr="00EE575A">
        <w:rPr>
          <w:bCs/>
          <w:sz w:val="22"/>
          <w:szCs w:val="22"/>
        </w:rPr>
        <w:t xml:space="preserve"> teenuse</w:t>
      </w:r>
      <w:r w:rsidRPr="00EE575A">
        <w:rPr>
          <w:b/>
          <w:bCs/>
          <w:sz w:val="22"/>
          <w:szCs w:val="22"/>
        </w:rPr>
        <w:t xml:space="preserve"> </w:t>
      </w:r>
      <w:r w:rsidRPr="00EE575A">
        <w:rPr>
          <w:bCs/>
          <w:sz w:val="22"/>
          <w:szCs w:val="22"/>
        </w:rPr>
        <w:t xml:space="preserve">osutajana </w:t>
      </w:r>
      <w:r w:rsidRPr="00EE575A">
        <w:rPr>
          <w:sz w:val="22"/>
          <w:szCs w:val="22"/>
          <w:shd w:val="clear" w:color="auto" w:fill="FFFFFF"/>
        </w:rPr>
        <w:t>tegutsemi</w:t>
      </w:r>
      <w:r>
        <w:rPr>
          <w:sz w:val="22"/>
          <w:szCs w:val="22"/>
          <w:shd w:val="clear" w:color="auto" w:fill="FFFFFF"/>
        </w:rPr>
        <w:t>sele</w:t>
      </w:r>
      <w:r w:rsidRPr="00EE575A">
        <w:rPr>
          <w:sz w:val="22"/>
          <w:szCs w:val="22"/>
          <w:shd w:val="clear" w:color="auto" w:fill="FFFFFF"/>
        </w:rPr>
        <w:t xml:space="preserve">. Sarnaselt teistele finantsjärelevalvesubjektidele on tegemist eelnõu subjektide jaoks täpsustava sättega. </w:t>
      </w:r>
    </w:p>
    <w:p w14:paraId="3CE14212" w14:textId="77777777" w:rsidR="003057ED" w:rsidRPr="00EE575A" w:rsidRDefault="003057ED" w:rsidP="003057ED">
      <w:pPr>
        <w:spacing w:before="0"/>
        <w:rPr>
          <w:sz w:val="22"/>
          <w:szCs w:val="22"/>
          <w:shd w:val="clear" w:color="auto" w:fill="FFFFFF"/>
        </w:rPr>
      </w:pPr>
    </w:p>
    <w:p w14:paraId="28B08568" w14:textId="77777777" w:rsidR="003057ED" w:rsidRPr="007456F6" w:rsidRDefault="003057ED" w:rsidP="003057ED">
      <w:pPr>
        <w:spacing w:before="0"/>
        <w:rPr>
          <w:bCs/>
          <w:sz w:val="22"/>
          <w:szCs w:val="22"/>
          <w:shd w:val="clear" w:color="auto" w:fill="FFFFFF"/>
        </w:rPr>
      </w:pPr>
      <w:r w:rsidRPr="00EE575A">
        <w:rPr>
          <w:b/>
          <w:sz w:val="22"/>
          <w:szCs w:val="22"/>
          <w:shd w:val="clear" w:color="auto" w:fill="FFFFFF"/>
        </w:rPr>
        <w:t>Paragrahviga 12</w:t>
      </w:r>
      <w:r>
        <w:rPr>
          <w:b/>
          <w:sz w:val="22"/>
          <w:szCs w:val="22"/>
          <w:shd w:val="clear" w:color="auto" w:fill="FFFFFF"/>
        </w:rPr>
        <w:t>6</w:t>
      </w:r>
      <w:r w:rsidRPr="00EE575A">
        <w:rPr>
          <w:sz w:val="22"/>
          <w:szCs w:val="22"/>
          <w:shd w:val="clear" w:color="auto" w:fill="FFFFFF"/>
        </w:rPr>
        <w:t xml:space="preserve"> sätestatakse makseasutuste ja e-raha asutuste seaduse muutmine. </w:t>
      </w:r>
      <w:r w:rsidRPr="00EE575A">
        <w:rPr>
          <w:bCs/>
          <w:sz w:val="22"/>
          <w:szCs w:val="22"/>
          <w:shd w:val="clear" w:color="auto" w:fill="FFFFFF"/>
        </w:rPr>
        <w:t xml:space="preserve">Muudatuse kohaselt täiendatakse makseasutuste ja e-raha asutuste §-i 2 </w:t>
      </w:r>
      <w:r>
        <w:rPr>
          <w:bCs/>
          <w:sz w:val="22"/>
          <w:szCs w:val="22"/>
          <w:shd w:val="clear" w:color="auto" w:fill="FFFFFF"/>
        </w:rPr>
        <w:t xml:space="preserve">uue </w:t>
      </w:r>
      <w:r w:rsidRPr="00EE575A">
        <w:rPr>
          <w:bCs/>
          <w:sz w:val="22"/>
          <w:szCs w:val="22"/>
          <w:shd w:val="clear" w:color="auto" w:fill="FFFFFF"/>
        </w:rPr>
        <w:t>lõikega 3</w:t>
      </w:r>
      <w:r>
        <w:rPr>
          <w:bCs/>
          <w:sz w:val="22"/>
          <w:szCs w:val="22"/>
          <w:shd w:val="clear" w:color="auto" w:fill="FFFFFF"/>
        </w:rPr>
        <w:t xml:space="preserve"> nii, et makseasutusele või e-raha asutusele, kes osutab </w:t>
      </w:r>
      <w:proofErr w:type="spellStart"/>
      <w:r>
        <w:rPr>
          <w:bCs/>
          <w:sz w:val="22"/>
          <w:szCs w:val="22"/>
          <w:shd w:val="clear" w:color="auto" w:fill="FFFFFF"/>
        </w:rPr>
        <w:t>krüptovarateenust</w:t>
      </w:r>
      <w:proofErr w:type="spellEnd"/>
      <w:r>
        <w:rPr>
          <w:bCs/>
          <w:sz w:val="22"/>
          <w:szCs w:val="22"/>
          <w:shd w:val="clear" w:color="auto" w:fill="FFFFFF"/>
        </w:rPr>
        <w:t xml:space="preserve"> või </w:t>
      </w:r>
      <w:proofErr w:type="spellStart"/>
      <w:r>
        <w:rPr>
          <w:bCs/>
          <w:sz w:val="22"/>
          <w:szCs w:val="22"/>
          <w:shd w:val="clear" w:color="auto" w:fill="FFFFFF"/>
        </w:rPr>
        <w:t>ühisrahastusteenust</w:t>
      </w:r>
      <w:proofErr w:type="spellEnd"/>
      <w:r>
        <w:rPr>
          <w:bCs/>
          <w:sz w:val="22"/>
          <w:szCs w:val="22"/>
          <w:shd w:val="clear" w:color="auto" w:fill="FFFFFF"/>
        </w:rPr>
        <w:t xml:space="preserve">, kohaldatakse </w:t>
      </w:r>
      <w:proofErr w:type="spellStart"/>
      <w:r>
        <w:rPr>
          <w:bCs/>
          <w:sz w:val="22"/>
          <w:szCs w:val="22"/>
          <w:shd w:val="clear" w:color="auto" w:fill="FFFFFF"/>
        </w:rPr>
        <w:t>krüptovara</w:t>
      </w:r>
      <w:proofErr w:type="spellEnd"/>
      <w:r>
        <w:rPr>
          <w:bCs/>
          <w:sz w:val="22"/>
          <w:szCs w:val="22"/>
          <w:shd w:val="clear" w:color="auto" w:fill="FFFFFF"/>
        </w:rPr>
        <w:t xml:space="preserve"> ja </w:t>
      </w:r>
      <w:proofErr w:type="spellStart"/>
      <w:r>
        <w:rPr>
          <w:bCs/>
          <w:sz w:val="22"/>
          <w:szCs w:val="22"/>
          <w:shd w:val="clear" w:color="auto" w:fill="FFFFFF"/>
        </w:rPr>
        <w:t>ühisrahastuse</w:t>
      </w:r>
      <w:proofErr w:type="spellEnd"/>
      <w:r>
        <w:rPr>
          <w:bCs/>
          <w:sz w:val="22"/>
          <w:szCs w:val="22"/>
          <w:shd w:val="clear" w:color="auto" w:fill="FFFFFF"/>
        </w:rPr>
        <w:t xml:space="preserve"> </w:t>
      </w:r>
      <w:r w:rsidRPr="00EE575A">
        <w:rPr>
          <w:sz w:val="22"/>
          <w:szCs w:val="22"/>
          <w:shd w:val="clear" w:color="auto" w:fill="FFFFFF"/>
        </w:rPr>
        <w:t xml:space="preserve">seaduse </w:t>
      </w:r>
      <w:r w:rsidRPr="00EE575A">
        <w:rPr>
          <w:sz w:val="22"/>
          <w:szCs w:val="22"/>
        </w:rPr>
        <w:t xml:space="preserve">3., 5. (välja arvatud §-s 38), 6., 7., 11., ja 12. </w:t>
      </w:r>
      <w:r w:rsidRPr="00EE575A">
        <w:rPr>
          <w:sz w:val="22"/>
          <w:szCs w:val="22"/>
          <w:shd w:val="clear" w:color="auto" w:fill="FFFFFF"/>
        </w:rPr>
        <w:t>peatükis</w:t>
      </w:r>
      <w:r w:rsidRPr="007456F6">
        <w:rPr>
          <w:sz w:val="22"/>
          <w:szCs w:val="22"/>
          <w:shd w:val="clear" w:color="auto" w:fill="FFFFFF"/>
        </w:rPr>
        <w:t xml:space="preserve"> sätestatut</w:t>
      </w:r>
      <w:r>
        <w:rPr>
          <w:sz w:val="22"/>
          <w:szCs w:val="22"/>
          <w:shd w:val="clear" w:color="auto" w:fill="FFFFFF"/>
        </w:rPr>
        <w:t>.</w:t>
      </w:r>
    </w:p>
    <w:p w14:paraId="16FAAA98" w14:textId="77777777" w:rsidR="003057ED" w:rsidRDefault="003057ED" w:rsidP="003057ED">
      <w:pPr>
        <w:pStyle w:val="Normal2"/>
        <w:rPr>
          <w:b/>
          <w:szCs w:val="22"/>
        </w:rPr>
      </w:pPr>
    </w:p>
    <w:p w14:paraId="296F4B75" w14:textId="77777777" w:rsidR="003057ED" w:rsidRPr="005A55CA" w:rsidRDefault="003057ED" w:rsidP="003057ED">
      <w:pPr>
        <w:pStyle w:val="Normal2"/>
        <w:rPr>
          <w:szCs w:val="22"/>
        </w:rPr>
      </w:pPr>
      <w:r w:rsidRPr="000F3F80">
        <w:rPr>
          <w:b/>
          <w:szCs w:val="22"/>
        </w:rPr>
        <w:lastRenderedPageBreak/>
        <w:t>Paragrahviga 12</w:t>
      </w:r>
      <w:r>
        <w:rPr>
          <w:b/>
          <w:szCs w:val="22"/>
        </w:rPr>
        <w:t>7</w:t>
      </w:r>
      <w:r w:rsidRPr="000F3F80">
        <w:rPr>
          <w:szCs w:val="22"/>
        </w:rPr>
        <w:t xml:space="preserve"> sätestatakse rahapesu ja terrorismi rahastamise tõkestamise seaduse </w:t>
      </w:r>
      <w:r>
        <w:rPr>
          <w:szCs w:val="22"/>
        </w:rPr>
        <w:t>(</w:t>
      </w:r>
      <w:proofErr w:type="spellStart"/>
      <w:r>
        <w:rPr>
          <w:szCs w:val="22"/>
        </w:rPr>
        <w:t>RahaPTS</w:t>
      </w:r>
      <w:proofErr w:type="spellEnd"/>
      <w:r>
        <w:rPr>
          <w:szCs w:val="22"/>
        </w:rPr>
        <w:t xml:space="preserve">) </w:t>
      </w:r>
      <w:r w:rsidRPr="000F3F80">
        <w:rPr>
          <w:szCs w:val="22"/>
        </w:rPr>
        <w:t>muudatused.</w:t>
      </w:r>
    </w:p>
    <w:p w14:paraId="2DAE90DC" w14:textId="77777777" w:rsidR="003057ED" w:rsidRPr="005A55CA" w:rsidRDefault="003057ED" w:rsidP="003057ED">
      <w:pPr>
        <w:spacing w:before="0"/>
        <w:rPr>
          <w:b/>
          <w:bCs/>
          <w:sz w:val="22"/>
          <w:szCs w:val="22"/>
        </w:rPr>
      </w:pPr>
    </w:p>
    <w:p w14:paraId="1CF81B18" w14:textId="77777777" w:rsidR="003057ED" w:rsidRPr="005A55CA" w:rsidRDefault="003057ED" w:rsidP="003057ED">
      <w:pPr>
        <w:spacing w:before="0"/>
        <w:rPr>
          <w:bCs/>
          <w:sz w:val="22"/>
          <w:szCs w:val="22"/>
        </w:rPr>
      </w:pPr>
      <w:r>
        <w:rPr>
          <w:b/>
          <w:bCs/>
          <w:sz w:val="22"/>
          <w:szCs w:val="22"/>
        </w:rPr>
        <w:t>P</w:t>
      </w:r>
      <w:r w:rsidRPr="005A55CA">
        <w:rPr>
          <w:b/>
          <w:bCs/>
          <w:sz w:val="22"/>
          <w:szCs w:val="22"/>
        </w:rPr>
        <w:t>unkti</w:t>
      </w:r>
      <w:r>
        <w:rPr>
          <w:b/>
          <w:bCs/>
          <w:sz w:val="22"/>
          <w:szCs w:val="22"/>
        </w:rPr>
        <w:t>ga</w:t>
      </w:r>
      <w:r w:rsidRPr="005A55CA">
        <w:rPr>
          <w:b/>
          <w:bCs/>
          <w:sz w:val="22"/>
          <w:szCs w:val="22"/>
        </w:rPr>
        <w:t xml:space="preserve"> 1</w:t>
      </w:r>
      <w:r>
        <w:rPr>
          <w:b/>
          <w:bCs/>
          <w:sz w:val="22"/>
          <w:szCs w:val="22"/>
        </w:rPr>
        <w:t xml:space="preserve"> </w:t>
      </w:r>
      <w:r w:rsidRPr="009E36E6">
        <w:rPr>
          <w:sz w:val="22"/>
          <w:szCs w:val="22"/>
        </w:rPr>
        <w:t xml:space="preserve">asendatakse </w:t>
      </w:r>
      <w:proofErr w:type="spellStart"/>
      <w:r w:rsidRPr="009E36E6">
        <w:rPr>
          <w:sz w:val="22"/>
          <w:szCs w:val="22"/>
        </w:rPr>
        <w:t>RahapTS</w:t>
      </w:r>
      <w:proofErr w:type="spellEnd"/>
      <w:r w:rsidRPr="009E36E6">
        <w:rPr>
          <w:sz w:val="22"/>
          <w:szCs w:val="22"/>
        </w:rPr>
        <w:t xml:space="preserve"> § 2 lõike 1 punktis 10 sätestatud termin </w:t>
      </w:r>
      <w:r>
        <w:rPr>
          <w:sz w:val="22"/>
          <w:szCs w:val="22"/>
        </w:rPr>
        <w:t>„</w:t>
      </w:r>
      <w:r w:rsidRPr="009E36E6">
        <w:rPr>
          <w:color w:val="202020"/>
          <w:sz w:val="22"/>
          <w:szCs w:val="22"/>
          <w:shd w:val="clear" w:color="auto" w:fill="FFFFFF"/>
        </w:rPr>
        <w:t>virtuaalvääringu teenuse pakkujad</w:t>
      </w:r>
      <w:r>
        <w:rPr>
          <w:color w:val="202020"/>
          <w:sz w:val="22"/>
          <w:szCs w:val="22"/>
          <w:shd w:val="clear" w:color="auto" w:fill="FFFFFF"/>
        </w:rPr>
        <w:t>“</w:t>
      </w:r>
      <w:r w:rsidRPr="009E36E6">
        <w:rPr>
          <w:color w:val="202020"/>
          <w:sz w:val="22"/>
          <w:szCs w:val="22"/>
          <w:shd w:val="clear" w:color="auto" w:fill="FFFFFF"/>
        </w:rPr>
        <w:t xml:space="preserve"> </w:t>
      </w:r>
      <w:proofErr w:type="spellStart"/>
      <w:r w:rsidRPr="009E36E6">
        <w:rPr>
          <w:color w:val="202020"/>
          <w:sz w:val="22"/>
          <w:szCs w:val="22"/>
          <w:shd w:val="clear" w:color="auto" w:fill="FFFFFF"/>
        </w:rPr>
        <w:t>krüptovara</w:t>
      </w:r>
      <w:proofErr w:type="spellEnd"/>
      <w:r w:rsidRPr="009E36E6">
        <w:rPr>
          <w:color w:val="202020"/>
          <w:sz w:val="22"/>
          <w:szCs w:val="22"/>
          <w:shd w:val="clear" w:color="auto" w:fill="FFFFFF"/>
        </w:rPr>
        <w:t xml:space="preserve"> ja </w:t>
      </w:r>
      <w:proofErr w:type="spellStart"/>
      <w:r w:rsidRPr="009E36E6">
        <w:rPr>
          <w:color w:val="202020"/>
          <w:sz w:val="22"/>
          <w:szCs w:val="22"/>
          <w:shd w:val="clear" w:color="auto" w:fill="FFFFFF"/>
        </w:rPr>
        <w:t>ühisrahastuse</w:t>
      </w:r>
      <w:proofErr w:type="spellEnd"/>
      <w:r w:rsidRPr="009E36E6">
        <w:rPr>
          <w:color w:val="202020"/>
          <w:sz w:val="22"/>
          <w:szCs w:val="22"/>
          <w:shd w:val="clear" w:color="auto" w:fill="FFFFFF"/>
        </w:rPr>
        <w:t xml:space="preserve"> seadusega kooskõlas oleva uue terminiga </w:t>
      </w:r>
      <w:r>
        <w:rPr>
          <w:color w:val="202020"/>
          <w:sz w:val="22"/>
          <w:szCs w:val="22"/>
          <w:shd w:val="clear" w:color="auto" w:fill="FFFFFF"/>
        </w:rPr>
        <w:t>„</w:t>
      </w:r>
      <w:proofErr w:type="spellStart"/>
      <w:r w:rsidRPr="009E36E6">
        <w:rPr>
          <w:color w:val="202020"/>
          <w:sz w:val="22"/>
          <w:szCs w:val="22"/>
          <w:shd w:val="clear" w:color="auto" w:fill="FFFFFF"/>
        </w:rPr>
        <w:t>krüptovarateenuse</w:t>
      </w:r>
      <w:proofErr w:type="spellEnd"/>
      <w:r w:rsidRPr="009E36E6">
        <w:rPr>
          <w:color w:val="202020"/>
          <w:sz w:val="22"/>
          <w:szCs w:val="22"/>
          <w:shd w:val="clear" w:color="auto" w:fill="FFFFFF"/>
        </w:rPr>
        <w:t xml:space="preserve"> osutaja</w:t>
      </w:r>
      <w:r>
        <w:rPr>
          <w:color w:val="202020"/>
          <w:sz w:val="22"/>
          <w:szCs w:val="22"/>
          <w:shd w:val="clear" w:color="auto" w:fill="FFFFFF"/>
        </w:rPr>
        <w:t>d“</w:t>
      </w:r>
      <w:r w:rsidRPr="009E36E6">
        <w:rPr>
          <w:color w:val="202020"/>
          <w:sz w:val="22"/>
          <w:szCs w:val="22"/>
          <w:shd w:val="clear" w:color="auto" w:fill="FFFFFF"/>
        </w:rPr>
        <w:t xml:space="preserve">. </w:t>
      </w:r>
    </w:p>
    <w:p w14:paraId="75343305" w14:textId="77777777" w:rsidR="003057ED" w:rsidRPr="005A55CA" w:rsidRDefault="003057ED" w:rsidP="003057ED">
      <w:pPr>
        <w:spacing w:before="0"/>
        <w:rPr>
          <w:bCs/>
          <w:sz w:val="22"/>
          <w:szCs w:val="22"/>
        </w:rPr>
      </w:pPr>
    </w:p>
    <w:p w14:paraId="6E9635B5" w14:textId="425702D5" w:rsidR="003057ED" w:rsidRDefault="003057ED" w:rsidP="003057ED">
      <w:pPr>
        <w:spacing w:before="0"/>
        <w:rPr>
          <w:bCs/>
          <w:sz w:val="22"/>
          <w:szCs w:val="22"/>
        </w:rPr>
      </w:pPr>
      <w:r w:rsidRPr="005A55CA">
        <w:rPr>
          <w:b/>
          <w:bCs/>
          <w:sz w:val="22"/>
          <w:szCs w:val="22"/>
        </w:rPr>
        <w:t xml:space="preserve">Punktiga </w:t>
      </w:r>
      <w:r>
        <w:rPr>
          <w:b/>
          <w:bCs/>
          <w:sz w:val="22"/>
          <w:szCs w:val="22"/>
        </w:rPr>
        <w:t>2</w:t>
      </w:r>
      <w:r w:rsidRPr="005A55CA">
        <w:rPr>
          <w:b/>
          <w:bCs/>
          <w:sz w:val="22"/>
          <w:szCs w:val="22"/>
        </w:rPr>
        <w:t xml:space="preserve"> </w:t>
      </w:r>
      <w:r>
        <w:rPr>
          <w:bCs/>
          <w:sz w:val="22"/>
          <w:szCs w:val="22"/>
        </w:rPr>
        <w:t xml:space="preserve">muudetakse terminoloogiliselt, et </w:t>
      </w:r>
      <w:proofErr w:type="spellStart"/>
      <w:r>
        <w:rPr>
          <w:bCs/>
          <w:sz w:val="22"/>
          <w:szCs w:val="22"/>
        </w:rPr>
        <w:t>krüptovarateenuse</w:t>
      </w:r>
      <w:proofErr w:type="spellEnd"/>
      <w:r>
        <w:rPr>
          <w:bCs/>
          <w:sz w:val="22"/>
          <w:szCs w:val="22"/>
        </w:rPr>
        <w:t xml:space="preserve"> osutajatele kohaldatakse finantseerimisasutuste kohta </w:t>
      </w:r>
      <w:proofErr w:type="spellStart"/>
      <w:r>
        <w:rPr>
          <w:bCs/>
          <w:sz w:val="22"/>
          <w:szCs w:val="22"/>
        </w:rPr>
        <w:t>RahaPTS-is</w:t>
      </w:r>
      <w:proofErr w:type="spellEnd"/>
      <w:r>
        <w:rPr>
          <w:bCs/>
          <w:sz w:val="22"/>
          <w:szCs w:val="22"/>
        </w:rPr>
        <w:t xml:space="preserve"> sätestatut.</w:t>
      </w:r>
      <w:r w:rsidRPr="00B6064C">
        <w:rPr>
          <w:bCs/>
          <w:sz w:val="22"/>
          <w:szCs w:val="22"/>
        </w:rPr>
        <w:t>. Virtuaalvääringu teenuse osutajate jaoks jää</w:t>
      </w:r>
      <w:r>
        <w:rPr>
          <w:bCs/>
          <w:sz w:val="22"/>
          <w:szCs w:val="22"/>
        </w:rPr>
        <w:t>vad</w:t>
      </w:r>
      <w:r w:rsidRPr="00B6064C">
        <w:rPr>
          <w:bCs/>
          <w:sz w:val="22"/>
          <w:szCs w:val="22"/>
        </w:rPr>
        <w:t xml:space="preserve"> </w:t>
      </w:r>
      <w:proofErr w:type="spellStart"/>
      <w:r w:rsidRPr="00B6064C">
        <w:rPr>
          <w:bCs/>
          <w:sz w:val="22"/>
          <w:szCs w:val="22"/>
        </w:rPr>
        <w:t>RahaPTS</w:t>
      </w:r>
      <w:proofErr w:type="spellEnd"/>
      <w:r w:rsidRPr="00B6064C">
        <w:rPr>
          <w:bCs/>
          <w:sz w:val="22"/>
          <w:szCs w:val="22"/>
        </w:rPr>
        <w:t>-ist tulenevad kohustused sama</w:t>
      </w:r>
      <w:r>
        <w:rPr>
          <w:bCs/>
          <w:sz w:val="22"/>
          <w:szCs w:val="22"/>
        </w:rPr>
        <w:t>ks</w:t>
      </w:r>
      <w:r w:rsidR="005D02CF">
        <w:rPr>
          <w:bCs/>
          <w:sz w:val="22"/>
          <w:szCs w:val="22"/>
        </w:rPr>
        <w:t>.</w:t>
      </w:r>
      <w:r w:rsidRPr="00B6064C">
        <w:rPr>
          <w:bCs/>
          <w:sz w:val="22"/>
          <w:szCs w:val="22"/>
        </w:rPr>
        <w:t xml:space="preserve"> Nimetatud kohustused tulenevad sellest, et </w:t>
      </w:r>
      <w:r>
        <w:rPr>
          <w:bCs/>
          <w:sz w:val="22"/>
          <w:szCs w:val="22"/>
        </w:rPr>
        <w:t xml:space="preserve">vastavalt 2020-2021. aastatel koostatud rahapesu riikliku riskihinnangu tulemustele on </w:t>
      </w:r>
      <w:r w:rsidRPr="00B6064C">
        <w:rPr>
          <w:bCs/>
          <w:sz w:val="22"/>
          <w:szCs w:val="22"/>
        </w:rPr>
        <w:t>virtuaalvääringu teenuste sektoris oluline rahapesu ja terrorismi rahastamise toimepanemise risk.</w:t>
      </w:r>
      <w:r>
        <w:rPr>
          <w:bCs/>
          <w:sz w:val="22"/>
          <w:szCs w:val="22"/>
        </w:rPr>
        <w:t xml:space="preserve"> Lisaks, k</w:t>
      </w:r>
      <w:r w:rsidRPr="005A55CA">
        <w:rPr>
          <w:sz w:val="22"/>
          <w:szCs w:val="22"/>
        </w:rPr>
        <w:t xml:space="preserve">uivõrd </w:t>
      </w:r>
      <w:proofErr w:type="spellStart"/>
      <w:r>
        <w:rPr>
          <w:sz w:val="22"/>
          <w:szCs w:val="22"/>
        </w:rPr>
        <w:t>krüptovarateenuse</w:t>
      </w:r>
      <w:proofErr w:type="spellEnd"/>
      <w:r>
        <w:rPr>
          <w:sz w:val="22"/>
          <w:szCs w:val="22"/>
        </w:rPr>
        <w:t xml:space="preserve"> osutaja</w:t>
      </w:r>
      <w:r w:rsidRPr="005A55CA">
        <w:rPr>
          <w:sz w:val="22"/>
          <w:szCs w:val="22"/>
        </w:rPr>
        <w:t xml:space="preserve">l on lubatud korraldada </w:t>
      </w:r>
      <w:proofErr w:type="spellStart"/>
      <w:r>
        <w:rPr>
          <w:sz w:val="22"/>
          <w:szCs w:val="22"/>
        </w:rPr>
        <w:t>krüptovara</w:t>
      </w:r>
      <w:proofErr w:type="spellEnd"/>
      <w:r w:rsidRPr="005A55CA">
        <w:rPr>
          <w:sz w:val="22"/>
          <w:szCs w:val="22"/>
        </w:rPr>
        <w:t xml:space="preserve"> </w:t>
      </w:r>
      <w:r>
        <w:rPr>
          <w:sz w:val="22"/>
          <w:szCs w:val="22"/>
        </w:rPr>
        <w:t>(</w:t>
      </w:r>
      <w:r w:rsidRPr="005A55CA">
        <w:rPr>
          <w:sz w:val="22"/>
          <w:szCs w:val="22"/>
        </w:rPr>
        <w:t>esma</w:t>
      </w:r>
      <w:r>
        <w:rPr>
          <w:sz w:val="22"/>
          <w:szCs w:val="22"/>
        </w:rPr>
        <w:t>)</w:t>
      </w:r>
      <w:r w:rsidRPr="005A55CA">
        <w:rPr>
          <w:sz w:val="22"/>
          <w:szCs w:val="22"/>
        </w:rPr>
        <w:t>pakkumisi ja kauplemist järelturul, siis on oluline, et</w:t>
      </w:r>
      <w:r>
        <w:rPr>
          <w:sz w:val="22"/>
          <w:szCs w:val="22"/>
        </w:rPr>
        <w:t xml:space="preserve"> vastav teenuseosutaja</w:t>
      </w:r>
      <w:r w:rsidRPr="005A55CA">
        <w:rPr>
          <w:sz w:val="22"/>
          <w:szCs w:val="22"/>
        </w:rPr>
        <w:t xml:space="preserve"> oleks kohustatud isik </w:t>
      </w:r>
      <w:proofErr w:type="spellStart"/>
      <w:r w:rsidRPr="005A55CA">
        <w:rPr>
          <w:sz w:val="22"/>
          <w:szCs w:val="22"/>
        </w:rPr>
        <w:t>RahaPTS</w:t>
      </w:r>
      <w:proofErr w:type="spellEnd"/>
      <w:r w:rsidRPr="005A55CA">
        <w:rPr>
          <w:sz w:val="22"/>
          <w:szCs w:val="22"/>
        </w:rPr>
        <w:t xml:space="preserve">-i mõistes (vt ka </w:t>
      </w:r>
      <w:proofErr w:type="spellStart"/>
      <w:r w:rsidRPr="005A55CA">
        <w:rPr>
          <w:sz w:val="22"/>
          <w:szCs w:val="22"/>
        </w:rPr>
        <w:t>RahaPTS</w:t>
      </w:r>
      <w:proofErr w:type="spellEnd"/>
      <w:r w:rsidRPr="005A55CA">
        <w:rPr>
          <w:sz w:val="22"/>
          <w:szCs w:val="22"/>
        </w:rPr>
        <w:t xml:space="preserve"> § 2 lg 1 p 2 ja § 3 p 3) ning seeläbi kohald</w:t>
      </w:r>
      <w:r>
        <w:rPr>
          <w:sz w:val="22"/>
          <w:szCs w:val="22"/>
        </w:rPr>
        <w:t>u</w:t>
      </w:r>
      <w:r w:rsidRPr="005A55CA">
        <w:rPr>
          <w:sz w:val="22"/>
          <w:szCs w:val="22"/>
        </w:rPr>
        <w:t>ks samast seadusest tulenevad rahapesu ja terrorismi rahastamise tõkestamisele seatud hoolsusmeetmed.</w:t>
      </w:r>
    </w:p>
    <w:p w14:paraId="13975A5E" w14:textId="77777777" w:rsidR="003057ED" w:rsidRDefault="003057ED" w:rsidP="003057ED">
      <w:pPr>
        <w:spacing w:before="0"/>
        <w:rPr>
          <w:bCs/>
          <w:sz w:val="22"/>
          <w:szCs w:val="22"/>
        </w:rPr>
      </w:pPr>
    </w:p>
    <w:p w14:paraId="30727422" w14:textId="77777777" w:rsidR="003057ED" w:rsidRPr="00412A40" w:rsidRDefault="003057ED" w:rsidP="003057ED">
      <w:pPr>
        <w:spacing w:before="0"/>
        <w:rPr>
          <w:bCs/>
          <w:sz w:val="22"/>
          <w:szCs w:val="22"/>
        </w:rPr>
      </w:pPr>
      <w:r>
        <w:rPr>
          <w:b/>
          <w:bCs/>
          <w:sz w:val="22"/>
          <w:szCs w:val="22"/>
        </w:rPr>
        <w:t xml:space="preserve">Punktiga 3 </w:t>
      </w:r>
      <w:r>
        <w:rPr>
          <w:bCs/>
          <w:sz w:val="22"/>
          <w:szCs w:val="22"/>
        </w:rPr>
        <w:t xml:space="preserve">tunnistatakse kehtetuks viited virtuaalvääringu teenuse pakkumisele seaduses kasutatavate terminite (§ 3) ja tegevusloa taotlemise (§ 70 jj) paragrahvides, kuivõrd nimetatud teenusepakkujate kohta käivad sätted on koondatud eriseadusesse ehk käesolevasse eelnõu osaks olevasse </w:t>
      </w:r>
      <w:proofErr w:type="spellStart"/>
      <w:r>
        <w:rPr>
          <w:bCs/>
          <w:sz w:val="22"/>
          <w:szCs w:val="22"/>
        </w:rPr>
        <w:t>krüptovara</w:t>
      </w:r>
      <w:proofErr w:type="spellEnd"/>
      <w:r>
        <w:rPr>
          <w:bCs/>
          <w:sz w:val="22"/>
          <w:szCs w:val="22"/>
        </w:rPr>
        <w:t xml:space="preserve"> ja </w:t>
      </w:r>
      <w:proofErr w:type="spellStart"/>
      <w:r>
        <w:rPr>
          <w:bCs/>
          <w:sz w:val="22"/>
          <w:szCs w:val="22"/>
        </w:rPr>
        <w:t>ühisrahastuse</w:t>
      </w:r>
      <w:proofErr w:type="spellEnd"/>
      <w:r>
        <w:rPr>
          <w:bCs/>
          <w:sz w:val="22"/>
          <w:szCs w:val="22"/>
        </w:rPr>
        <w:t xml:space="preserve"> seadusesse. </w:t>
      </w:r>
    </w:p>
    <w:p w14:paraId="31DE07BB" w14:textId="77777777" w:rsidR="003057ED" w:rsidRPr="005A55CA" w:rsidRDefault="003057ED" w:rsidP="003057ED">
      <w:pPr>
        <w:spacing w:before="0"/>
        <w:rPr>
          <w:bCs/>
          <w:sz w:val="22"/>
          <w:szCs w:val="22"/>
        </w:rPr>
      </w:pPr>
    </w:p>
    <w:p w14:paraId="2DDB606F" w14:textId="77777777" w:rsidR="003057ED" w:rsidRPr="00A325CF" w:rsidRDefault="003057ED" w:rsidP="003057ED">
      <w:pPr>
        <w:pStyle w:val="Heading2"/>
        <w:spacing w:before="0"/>
        <w:jc w:val="both"/>
        <w:rPr>
          <w:b w:val="0"/>
          <w:color w:val="auto"/>
          <w:sz w:val="22"/>
          <w:szCs w:val="22"/>
        </w:rPr>
      </w:pPr>
      <w:r>
        <w:rPr>
          <w:color w:val="auto"/>
          <w:sz w:val="22"/>
          <w:szCs w:val="22"/>
        </w:rPr>
        <w:t xml:space="preserve">Punktiga 4 </w:t>
      </w:r>
      <w:r>
        <w:rPr>
          <w:b w:val="0"/>
          <w:color w:val="auto"/>
          <w:sz w:val="22"/>
          <w:szCs w:val="22"/>
        </w:rPr>
        <w:t>asendatakse paragrahvi 25 pealkirjas termin „virtuaalvääringu teenuse pakkuja“ terminiga „</w:t>
      </w:r>
      <w:proofErr w:type="spellStart"/>
      <w:r>
        <w:rPr>
          <w:b w:val="0"/>
          <w:color w:val="auto"/>
          <w:sz w:val="22"/>
          <w:szCs w:val="22"/>
        </w:rPr>
        <w:t>krüptovarateenuse</w:t>
      </w:r>
      <w:proofErr w:type="spellEnd"/>
      <w:r>
        <w:rPr>
          <w:b w:val="0"/>
          <w:color w:val="auto"/>
          <w:sz w:val="22"/>
          <w:szCs w:val="22"/>
        </w:rPr>
        <w:t xml:space="preserve"> osutaja“. Tegemist on tehnilist laadi muudatusega, millega ühildatakse käesolevas seaduses kasutatav termin </w:t>
      </w:r>
      <w:proofErr w:type="spellStart"/>
      <w:r>
        <w:rPr>
          <w:b w:val="0"/>
          <w:color w:val="auto"/>
          <w:sz w:val="22"/>
          <w:szCs w:val="22"/>
        </w:rPr>
        <w:t>RahaPTS</w:t>
      </w:r>
      <w:proofErr w:type="spellEnd"/>
      <w:r>
        <w:rPr>
          <w:b w:val="0"/>
          <w:color w:val="auto"/>
          <w:sz w:val="22"/>
          <w:szCs w:val="22"/>
        </w:rPr>
        <w:t>-iga.</w:t>
      </w:r>
      <w:r>
        <w:rPr>
          <w:b w:val="0"/>
          <w:color w:val="auto"/>
          <w:sz w:val="22"/>
          <w:szCs w:val="22"/>
        </w:rPr>
        <w:br/>
      </w:r>
      <w:r>
        <w:rPr>
          <w:b w:val="0"/>
          <w:color w:val="auto"/>
          <w:sz w:val="22"/>
          <w:szCs w:val="22"/>
        </w:rPr>
        <w:br/>
      </w:r>
      <w:r>
        <w:rPr>
          <w:color w:val="auto"/>
          <w:sz w:val="22"/>
          <w:szCs w:val="22"/>
        </w:rPr>
        <w:t xml:space="preserve">Punktiga 5 </w:t>
      </w:r>
      <w:r>
        <w:rPr>
          <w:b w:val="0"/>
          <w:color w:val="auto"/>
          <w:sz w:val="22"/>
          <w:szCs w:val="22"/>
        </w:rPr>
        <w:t xml:space="preserve">muudetakse § 70 lõike 4 sõnastust selliselt, et kustutatakse viide </w:t>
      </w:r>
      <w:proofErr w:type="spellStart"/>
      <w:r>
        <w:rPr>
          <w:b w:val="0"/>
          <w:color w:val="auto"/>
          <w:sz w:val="22"/>
          <w:szCs w:val="22"/>
        </w:rPr>
        <w:t>krüptovarateenuse</w:t>
      </w:r>
      <w:proofErr w:type="spellEnd"/>
      <w:r>
        <w:rPr>
          <w:b w:val="0"/>
          <w:color w:val="auto"/>
          <w:sz w:val="22"/>
          <w:szCs w:val="22"/>
        </w:rPr>
        <w:t xml:space="preserve"> osutajatele </w:t>
      </w:r>
      <w:proofErr w:type="spellStart"/>
      <w:r>
        <w:rPr>
          <w:b w:val="0"/>
          <w:color w:val="auto"/>
          <w:sz w:val="22"/>
          <w:szCs w:val="22"/>
        </w:rPr>
        <w:t>RahaPTS</w:t>
      </w:r>
      <w:proofErr w:type="spellEnd"/>
      <w:r>
        <w:rPr>
          <w:b w:val="0"/>
          <w:color w:val="auto"/>
          <w:sz w:val="22"/>
          <w:szCs w:val="22"/>
        </w:rPr>
        <w:t xml:space="preserve"> tegevusloa taotlemise kontekstis, kuivõrd </w:t>
      </w:r>
      <w:proofErr w:type="spellStart"/>
      <w:r>
        <w:rPr>
          <w:b w:val="0"/>
          <w:color w:val="auto"/>
          <w:sz w:val="22"/>
          <w:szCs w:val="22"/>
        </w:rPr>
        <w:t>krüptovarateenuse</w:t>
      </w:r>
      <w:proofErr w:type="spellEnd"/>
      <w:r>
        <w:rPr>
          <w:b w:val="0"/>
          <w:color w:val="auto"/>
          <w:sz w:val="22"/>
          <w:szCs w:val="22"/>
        </w:rPr>
        <w:t xml:space="preserve"> osutaja kohta käivad tegevusloa taotlemise sätted on viidud </w:t>
      </w:r>
      <w:proofErr w:type="spellStart"/>
      <w:r>
        <w:rPr>
          <w:b w:val="0"/>
          <w:color w:val="auto"/>
          <w:sz w:val="22"/>
          <w:szCs w:val="22"/>
        </w:rPr>
        <w:t>krüptovara</w:t>
      </w:r>
      <w:proofErr w:type="spellEnd"/>
      <w:r>
        <w:rPr>
          <w:b w:val="0"/>
          <w:color w:val="auto"/>
          <w:sz w:val="22"/>
          <w:szCs w:val="22"/>
        </w:rPr>
        <w:t xml:space="preserve"> ja </w:t>
      </w:r>
      <w:proofErr w:type="spellStart"/>
      <w:r>
        <w:rPr>
          <w:b w:val="0"/>
          <w:color w:val="auto"/>
          <w:sz w:val="22"/>
          <w:szCs w:val="22"/>
        </w:rPr>
        <w:t>ühisrahastuse</w:t>
      </w:r>
      <w:proofErr w:type="spellEnd"/>
      <w:r>
        <w:rPr>
          <w:b w:val="0"/>
          <w:color w:val="auto"/>
          <w:sz w:val="22"/>
          <w:szCs w:val="22"/>
        </w:rPr>
        <w:t xml:space="preserve"> seadusesse.</w:t>
      </w:r>
    </w:p>
    <w:p w14:paraId="540F5173" w14:textId="77777777" w:rsidR="003057ED" w:rsidRPr="00E94FEB" w:rsidRDefault="003057ED" w:rsidP="003057ED">
      <w:pPr>
        <w:spacing w:before="0"/>
        <w:rPr>
          <w:lang w:eastAsia="en-US"/>
        </w:rPr>
      </w:pPr>
    </w:p>
    <w:p w14:paraId="6AB47B6C" w14:textId="77777777" w:rsidR="003057ED" w:rsidRPr="00D624A0" w:rsidRDefault="003057ED" w:rsidP="003057ED">
      <w:pPr>
        <w:spacing w:before="0"/>
        <w:rPr>
          <w:rFonts w:eastAsiaTheme="minorHAnsi"/>
          <w:bCs/>
          <w:sz w:val="22"/>
          <w:szCs w:val="22"/>
          <w:lang w:eastAsia="en-US"/>
        </w:rPr>
      </w:pPr>
      <w:r>
        <w:rPr>
          <w:b/>
          <w:sz w:val="22"/>
          <w:szCs w:val="22"/>
        </w:rPr>
        <w:t>Punktiga 7</w:t>
      </w:r>
      <w:r w:rsidRPr="00B6064C">
        <w:rPr>
          <w:sz w:val="22"/>
          <w:szCs w:val="22"/>
        </w:rPr>
        <w:t xml:space="preserve"> </w:t>
      </w:r>
      <w:r>
        <w:rPr>
          <w:sz w:val="22"/>
          <w:szCs w:val="22"/>
        </w:rPr>
        <w:t xml:space="preserve">lisatakse seadusesse § </w:t>
      </w:r>
      <w:r w:rsidRPr="00E94FEB">
        <w:rPr>
          <w:sz w:val="22"/>
          <w:szCs w:val="22"/>
        </w:rPr>
        <w:t>118</w:t>
      </w:r>
      <w:r>
        <w:rPr>
          <w:sz w:val="22"/>
          <w:szCs w:val="22"/>
          <w:vertAlign w:val="superscript"/>
        </w:rPr>
        <w:t>4</w:t>
      </w:r>
      <w:r>
        <w:rPr>
          <w:sz w:val="22"/>
          <w:szCs w:val="22"/>
        </w:rPr>
        <w:t xml:space="preserve">, mille </w:t>
      </w:r>
      <w:r w:rsidRPr="00E94FEB">
        <w:rPr>
          <w:sz w:val="22"/>
          <w:szCs w:val="22"/>
        </w:rPr>
        <w:t>kohaselt</w:t>
      </w:r>
      <w:r>
        <w:rPr>
          <w:sz w:val="22"/>
          <w:szCs w:val="22"/>
        </w:rPr>
        <w:t xml:space="preserve"> </w:t>
      </w:r>
      <w:proofErr w:type="spellStart"/>
      <w:r>
        <w:rPr>
          <w:sz w:val="22"/>
          <w:szCs w:val="22"/>
        </w:rPr>
        <w:t>RahaPTS</w:t>
      </w:r>
      <w:proofErr w:type="spellEnd"/>
      <w:r>
        <w:rPr>
          <w:sz w:val="22"/>
          <w:szCs w:val="22"/>
        </w:rPr>
        <w:t xml:space="preserve">-i </w:t>
      </w:r>
      <w:r w:rsidRPr="00952E04">
        <w:rPr>
          <w:sz w:val="22"/>
          <w:szCs w:val="22"/>
        </w:rPr>
        <w:t xml:space="preserve">alusel antud virtuaalvääringu teenuse pakkuja tegevusluba muutub kehtetuks </w:t>
      </w:r>
      <w:r>
        <w:rPr>
          <w:sz w:val="22"/>
          <w:szCs w:val="22"/>
        </w:rPr>
        <w:t>eelnõu</w:t>
      </w:r>
      <w:r w:rsidRPr="00952E04">
        <w:rPr>
          <w:sz w:val="22"/>
          <w:szCs w:val="22"/>
        </w:rPr>
        <w:t xml:space="preserve"> </w:t>
      </w:r>
      <w:r>
        <w:rPr>
          <w:sz w:val="22"/>
          <w:szCs w:val="22"/>
        </w:rPr>
        <w:t>kohase</w:t>
      </w:r>
      <w:r w:rsidRPr="00952E04">
        <w:rPr>
          <w:sz w:val="22"/>
          <w:szCs w:val="22"/>
        </w:rPr>
        <w:t xml:space="preserve"> </w:t>
      </w:r>
      <w:proofErr w:type="spellStart"/>
      <w:r>
        <w:rPr>
          <w:sz w:val="22"/>
          <w:szCs w:val="22"/>
        </w:rPr>
        <w:t>krüptovara</w:t>
      </w:r>
      <w:r w:rsidRPr="00952E04">
        <w:rPr>
          <w:sz w:val="22"/>
          <w:szCs w:val="22"/>
        </w:rPr>
        <w:t>teenuse</w:t>
      </w:r>
      <w:proofErr w:type="spellEnd"/>
      <w:r w:rsidRPr="00952E04">
        <w:rPr>
          <w:sz w:val="22"/>
          <w:szCs w:val="22"/>
        </w:rPr>
        <w:t xml:space="preserve"> osutaja tegevusloa andmisega või andmisest keeldumisega või 202</w:t>
      </w:r>
      <w:r>
        <w:rPr>
          <w:sz w:val="22"/>
          <w:szCs w:val="22"/>
        </w:rPr>
        <w:t>4</w:t>
      </w:r>
      <w:r w:rsidRPr="00952E04">
        <w:rPr>
          <w:sz w:val="22"/>
          <w:szCs w:val="22"/>
        </w:rPr>
        <w:t xml:space="preserve">. aasta 1. </w:t>
      </w:r>
      <w:r>
        <w:rPr>
          <w:sz w:val="22"/>
          <w:szCs w:val="22"/>
        </w:rPr>
        <w:t>aprillil</w:t>
      </w:r>
      <w:r w:rsidRPr="00952E04">
        <w:rPr>
          <w:sz w:val="22"/>
          <w:szCs w:val="22"/>
        </w:rPr>
        <w:t>.</w:t>
      </w:r>
      <w:r>
        <w:rPr>
          <w:sz w:val="22"/>
          <w:szCs w:val="22"/>
        </w:rPr>
        <w:t xml:space="preserve"> </w:t>
      </w:r>
      <w:r>
        <w:rPr>
          <w:rFonts w:eastAsiaTheme="minorHAnsi"/>
          <w:bCs/>
          <w:sz w:val="22"/>
          <w:szCs w:val="22"/>
          <w:lang w:eastAsia="en-US"/>
        </w:rPr>
        <w:t xml:space="preserve">Erand on vajalik selleks, et anda teenuseosutajatele pikem üleminekuperiood tegevusloa taotlemiseks alates uue seaduse jõustumisest (01.07.2023) ning vajadusel lisaks üleminekuperiood oma tegevuse eelnõuga kooskõlla viimiseks hiljemalt siis, kui </w:t>
      </w:r>
      <w:proofErr w:type="spellStart"/>
      <w:r>
        <w:rPr>
          <w:rFonts w:eastAsiaTheme="minorHAnsi"/>
          <w:bCs/>
          <w:sz w:val="22"/>
          <w:szCs w:val="22"/>
          <w:lang w:eastAsia="en-US"/>
        </w:rPr>
        <w:t>RahaPTS</w:t>
      </w:r>
      <w:proofErr w:type="spellEnd"/>
      <w:r>
        <w:rPr>
          <w:rFonts w:eastAsiaTheme="minorHAnsi"/>
          <w:bCs/>
          <w:sz w:val="22"/>
          <w:szCs w:val="22"/>
          <w:lang w:eastAsia="en-US"/>
        </w:rPr>
        <w:t xml:space="preserve"> alusel väljastatud tegevusluba oma kehtivuse kaotab.</w:t>
      </w:r>
    </w:p>
    <w:p w14:paraId="28EFC57D" w14:textId="77777777" w:rsidR="003057ED" w:rsidRDefault="003057ED" w:rsidP="003057ED">
      <w:pPr>
        <w:spacing w:before="0"/>
        <w:rPr>
          <w:sz w:val="22"/>
          <w:szCs w:val="22"/>
        </w:rPr>
      </w:pPr>
    </w:p>
    <w:p w14:paraId="11780B6E" w14:textId="77777777" w:rsidR="003057ED" w:rsidRDefault="003057ED" w:rsidP="003057ED">
      <w:pPr>
        <w:spacing w:before="0"/>
        <w:rPr>
          <w:sz w:val="22"/>
          <w:szCs w:val="22"/>
        </w:rPr>
      </w:pPr>
      <w:r>
        <w:rPr>
          <w:b/>
          <w:sz w:val="22"/>
          <w:szCs w:val="22"/>
        </w:rPr>
        <w:t xml:space="preserve">Paragrahviga 128 </w:t>
      </w:r>
      <w:r>
        <w:rPr>
          <w:sz w:val="22"/>
          <w:szCs w:val="22"/>
        </w:rPr>
        <w:t xml:space="preserve">muudetakse rahvusvahelise sanktsiooni seadust, lisades selle kohaldumisalasse ka uued teenuseosutajad käesoleva seaduse tähenduses. Tegemist on tehnilist laadi muudatusega, millega tagatakse, et </w:t>
      </w:r>
      <w:proofErr w:type="spellStart"/>
      <w:r>
        <w:rPr>
          <w:sz w:val="22"/>
          <w:szCs w:val="22"/>
        </w:rPr>
        <w:t>krüptovarateenuse</w:t>
      </w:r>
      <w:proofErr w:type="spellEnd"/>
      <w:r>
        <w:rPr>
          <w:sz w:val="22"/>
          <w:szCs w:val="22"/>
        </w:rPr>
        <w:t xml:space="preserve"> osutajad oleksid jätkuvalt </w:t>
      </w:r>
      <w:proofErr w:type="spellStart"/>
      <w:r>
        <w:rPr>
          <w:sz w:val="22"/>
          <w:szCs w:val="22"/>
        </w:rPr>
        <w:t>RSanS</w:t>
      </w:r>
      <w:proofErr w:type="spellEnd"/>
      <w:r>
        <w:rPr>
          <w:sz w:val="22"/>
          <w:szCs w:val="22"/>
        </w:rPr>
        <w:t xml:space="preserve"> kohaldumisalas, ning </w:t>
      </w:r>
      <w:proofErr w:type="spellStart"/>
      <w:r>
        <w:rPr>
          <w:sz w:val="22"/>
          <w:szCs w:val="22"/>
        </w:rPr>
        <w:t>viimatimainitud</w:t>
      </w:r>
      <w:proofErr w:type="spellEnd"/>
      <w:r>
        <w:rPr>
          <w:sz w:val="22"/>
          <w:szCs w:val="22"/>
        </w:rPr>
        <w:t xml:space="preserve"> seaduse kohaldumisalasse lisatakse ka </w:t>
      </w:r>
      <w:proofErr w:type="spellStart"/>
      <w:r>
        <w:rPr>
          <w:sz w:val="22"/>
          <w:szCs w:val="22"/>
        </w:rPr>
        <w:t>ühisrahastusteenuse</w:t>
      </w:r>
      <w:proofErr w:type="spellEnd"/>
      <w:r>
        <w:rPr>
          <w:sz w:val="22"/>
          <w:szCs w:val="22"/>
        </w:rPr>
        <w:t xml:space="preserve"> osutajad.</w:t>
      </w:r>
    </w:p>
    <w:p w14:paraId="455B2538" w14:textId="77777777" w:rsidR="003057ED" w:rsidRDefault="003057ED" w:rsidP="003057ED">
      <w:pPr>
        <w:spacing w:before="0"/>
        <w:rPr>
          <w:sz w:val="22"/>
          <w:szCs w:val="22"/>
        </w:rPr>
      </w:pPr>
    </w:p>
    <w:p w14:paraId="54AFC044" w14:textId="640FF93C" w:rsidR="003057ED" w:rsidRPr="005D02CF" w:rsidRDefault="003057ED" w:rsidP="005D02CF">
      <w:pPr>
        <w:pStyle w:val="Heading3"/>
        <w:shd w:val="clear" w:color="auto" w:fill="FFFFFF"/>
        <w:spacing w:before="0"/>
        <w:jc w:val="both"/>
        <w:rPr>
          <w:b w:val="0"/>
          <w:bCs w:val="0"/>
          <w:color w:val="auto"/>
          <w:sz w:val="22"/>
          <w:szCs w:val="22"/>
        </w:rPr>
      </w:pPr>
      <w:proofErr w:type="spellStart"/>
      <w:r w:rsidRPr="005D02CF">
        <w:rPr>
          <w:color w:val="auto"/>
          <w:sz w:val="22"/>
          <w:szCs w:val="22"/>
        </w:rPr>
        <w:t>Paragrahviga</w:t>
      </w:r>
      <w:proofErr w:type="spellEnd"/>
      <w:r w:rsidRPr="005D02CF">
        <w:rPr>
          <w:color w:val="auto"/>
          <w:sz w:val="22"/>
          <w:szCs w:val="22"/>
        </w:rPr>
        <w:t xml:space="preserve"> 129</w:t>
      </w:r>
      <w:r w:rsidRPr="005D02CF">
        <w:rPr>
          <w:b w:val="0"/>
          <w:bCs w:val="0"/>
          <w:color w:val="auto"/>
          <w:sz w:val="22"/>
          <w:szCs w:val="22"/>
        </w:rPr>
        <w:t xml:space="preserve"> </w:t>
      </w:r>
      <w:proofErr w:type="spellStart"/>
      <w:r w:rsidRPr="005D02CF">
        <w:rPr>
          <w:b w:val="0"/>
          <w:bCs w:val="0"/>
          <w:color w:val="auto"/>
          <w:sz w:val="22"/>
          <w:szCs w:val="22"/>
        </w:rPr>
        <w:t>tunnistatakse</w:t>
      </w:r>
      <w:proofErr w:type="spellEnd"/>
      <w:r w:rsidRPr="005D02CF">
        <w:rPr>
          <w:b w:val="0"/>
          <w:bCs w:val="0"/>
          <w:color w:val="auto"/>
          <w:sz w:val="22"/>
          <w:szCs w:val="22"/>
        </w:rPr>
        <w:t xml:space="preserve"> </w:t>
      </w:r>
      <w:proofErr w:type="spellStart"/>
      <w:r w:rsidRPr="005D02CF">
        <w:rPr>
          <w:b w:val="0"/>
          <w:bCs w:val="0"/>
          <w:color w:val="auto"/>
          <w:sz w:val="22"/>
          <w:szCs w:val="22"/>
        </w:rPr>
        <w:t>riigilõivuseaduses</w:t>
      </w:r>
      <w:proofErr w:type="spellEnd"/>
      <w:r w:rsidRPr="005D02CF">
        <w:rPr>
          <w:b w:val="0"/>
          <w:bCs w:val="0"/>
          <w:color w:val="auto"/>
          <w:sz w:val="22"/>
          <w:szCs w:val="22"/>
        </w:rPr>
        <w:t xml:space="preserve"> </w:t>
      </w:r>
      <w:proofErr w:type="spellStart"/>
      <w:r w:rsidRPr="005D02CF">
        <w:rPr>
          <w:b w:val="0"/>
          <w:bCs w:val="0"/>
          <w:color w:val="auto"/>
          <w:sz w:val="22"/>
          <w:szCs w:val="22"/>
        </w:rPr>
        <w:t>kehtetuks</w:t>
      </w:r>
      <w:proofErr w:type="spellEnd"/>
      <w:r w:rsidRPr="005D02CF">
        <w:rPr>
          <w:b w:val="0"/>
          <w:bCs w:val="0"/>
          <w:color w:val="auto"/>
          <w:sz w:val="22"/>
          <w:szCs w:val="22"/>
        </w:rPr>
        <w:t xml:space="preserve"> </w:t>
      </w:r>
      <w:proofErr w:type="spellStart"/>
      <w:r w:rsidRPr="005D02CF">
        <w:rPr>
          <w:b w:val="0"/>
          <w:bCs w:val="0"/>
          <w:color w:val="auto"/>
          <w:sz w:val="22"/>
          <w:szCs w:val="22"/>
        </w:rPr>
        <w:t>sätted</w:t>
      </w:r>
      <w:proofErr w:type="spellEnd"/>
      <w:r w:rsidRPr="005D02CF">
        <w:rPr>
          <w:b w:val="0"/>
          <w:bCs w:val="0"/>
          <w:color w:val="auto"/>
          <w:sz w:val="22"/>
          <w:szCs w:val="22"/>
        </w:rPr>
        <w:t xml:space="preserve">, mis </w:t>
      </w:r>
      <w:proofErr w:type="spellStart"/>
      <w:r w:rsidRPr="005D02CF">
        <w:rPr>
          <w:b w:val="0"/>
          <w:bCs w:val="0"/>
          <w:color w:val="auto"/>
          <w:sz w:val="22"/>
          <w:szCs w:val="22"/>
        </w:rPr>
        <w:t>reguleerivad</w:t>
      </w:r>
      <w:proofErr w:type="spellEnd"/>
      <w:r w:rsidRPr="005D02CF">
        <w:rPr>
          <w:b w:val="0"/>
          <w:bCs w:val="0"/>
          <w:color w:val="auto"/>
          <w:sz w:val="22"/>
          <w:szCs w:val="22"/>
        </w:rPr>
        <w:t xml:space="preserve"> </w:t>
      </w:r>
      <w:proofErr w:type="spellStart"/>
      <w:r w:rsidRPr="005D02CF">
        <w:rPr>
          <w:b w:val="0"/>
          <w:bCs w:val="0"/>
          <w:color w:val="auto"/>
          <w:sz w:val="22"/>
          <w:szCs w:val="22"/>
          <w:bdr w:val="none" w:sz="0" w:space="0" w:color="auto" w:frame="1"/>
        </w:rPr>
        <w:t>v</w:t>
      </w:r>
      <w:r w:rsidRPr="005D02CF">
        <w:rPr>
          <w:b w:val="0"/>
          <w:bCs w:val="0"/>
          <w:color w:val="auto"/>
          <w:sz w:val="22"/>
          <w:szCs w:val="22"/>
        </w:rPr>
        <w:t>irtuaalvääringu</w:t>
      </w:r>
      <w:proofErr w:type="spellEnd"/>
      <w:r w:rsidRPr="005D02CF">
        <w:rPr>
          <w:b w:val="0"/>
          <w:bCs w:val="0"/>
          <w:color w:val="auto"/>
          <w:sz w:val="22"/>
          <w:szCs w:val="22"/>
        </w:rPr>
        <w:t xml:space="preserve"> </w:t>
      </w:r>
      <w:proofErr w:type="spellStart"/>
      <w:r w:rsidRPr="005D02CF">
        <w:rPr>
          <w:b w:val="0"/>
          <w:bCs w:val="0"/>
          <w:color w:val="auto"/>
          <w:sz w:val="22"/>
          <w:szCs w:val="22"/>
        </w:rPr>
        <w:t>teenuse</w:t>
      </w:r>
      <w:proofErr w:type="spellEnd"/>
      <w:r w:rsidRPr="005D02CF">
        <w:rPr>
          <w:b w:val="0"/>
          <w:bCs w:val="0"/>
          <w:color w:val="auto"/>
          <w:sz w:val="22"/>
          <w:szCs w:val="22"/>
        </w:rPr>
        <w:t xml:space="preserve"> </w:t>
      </w:r>
      <w:proofErr w:type="spellStart"/>
      <w:r w:rsidRPr="005D02CF">
        <w:rPr>
          <w:b w:val="0"/>
          <w:bCs w:val="0"/>
          <w:color w:val="auto"/>
          <w:sz w:val="22"/>
          <w:szCs w:val="22"/>
        </w:rPr>
        <w:t>pakkumise</w:t>
      </w:r>
      <w:proofErr w:type="spellEnd"/>
      <w:r w:rsidRPr="005D02CF">
        <w:rPr>
          <w:b w:val="0"/>
          <w:bCs w:val="0"/>
          <w:color w:val="auto"/>
          <w:sz w:val="22"/>
          <w:szCs w:val="22"/>
        </w:rPr>
        <w:t xml:space="preserve"> </w:t>
      </w:r>
      <w:proofErr w:type="spellStart"/>
      <w:r w:rsidRPr="005D02CF">
        <w:rPr>
          <w:b w:val="0"/>
          <w:bCs w:val="0"/>
          <w:color w:val="auto"/>
          <w:sz w:val="22"/>
          <w:szCs w:val="22"/>
        </w:rPr>
        <w:t>tegevusloa</w:t>
      </w:r>
      <w:proofErr w:type="spellEnd"/>
      <w:r w:rsidRPr="005D02CF">
        <w:rPr>
          <w:b w:val="0"/>
          <w:bCs w:val="0"/>
          <w:color w:val="auto"/>
          <w:sz w:val="22"/>
          <w:szCs w:val="22"/>
        </w:rPr>
        <w:t xml:space="preserve"> </w:t>
      </w:r>
      <w:proofErr w:type="spellStart"/>
      <w:r w:rsidRPr="005D02CF">
        <w:rPr>
          <w:b w:val="0"/>
          <w:bCs w:val="0"/>
          <w:color w:val="auto"/>
          <w:sz w:val="22"/>
          <w:szCs w:val="22"/>
        </w:rPr>
        <w:t>taotlemise</w:t>
      </w:r>
      <w:proofErr w:type="spellEnd"/>
      <w:r w:rsidRPr="005D02CF">
        <w:rPr>
          <w:b w:val="0"/>
          <w:bCs w:val="0"/>
          <w:color w:val="auto"/>
          <w:sz w:val="22"/>
          <w:szCs w:val="22"/>
        </w:rPr>
        <w:t xml:space="preserve"> </w:t>
      </w:r>
      <w:proofErr w:type="spellStart"/>
      <w:r w:rsidRPr="005D02CF">
        <w:rPr>
          <w:b w:val="0"/>
          <w:bCs w:val="0"/>
          <w:color w:val="auto"/>
          <w:sz w:val="22"/>
          <w:szCs w:val="22"/>
        </w:rPr>
        <w:t>korral</w:t>
      </w:r>
      <w:proofErr w:type="spellEnd"/>
      <w:r w:rsidRPr="005D02CF">
        <w:rPr>
          <w:b w:val="0"/>
          <w:bCs w:val="0"/>
          <w:color w:val="auto"/>
          <w:sz w:val="22"/>
          <w:szCs w:val="22"/>
        </w:rPr>
        <w:t xml:space="preserve"> </w:t>
      </w:r>
      <w:proofErr w:type="spellStart"/>
      <w:r w:rsidRPr="005D02CF">
        <w:rPr>
          <w:b w:val="0"/>
          <w:bCs w:val="0"/>
          <w:color w:val="auto"/>
          <w:sz w:val="22"/>
          <w:szCs w:val="22"/>
        </w:rPr>
        <w:t>riigilõivu</w:t>
      </w:r>
      <w:proofErr w:type="spellEnd"/>
      <w:r w:rsidRPr="005D02CF">
        <w:rPr>
          <w:b w:val="0"/>
          <w:bCs w:val="0"/>
          <w:color w:val="auto"/>
          <w:sz w:val="22"/>
          <w:szCs w:val="22"/>
        </w:rPr>
        <w:t xml:space="preserve"> </w:t>
      </w:r>
      <w:proofErr w:type="spellStart"/>
      <w:r w:rsidRPr="005D02CF">
        <w:rPr>
          <w:b w:val="0"/>
          <w:bCs w:val="0"/>
          <w:color w:val="auto"/>
          <w:sz w:val="22"/>
          <w:szCs w:val="22"/>
        </w:rPr>
        <w:t>tasumist</w:t>
      </w:r>
      <w:proofErr w:type="spellEnd"/>
      <w:r w:rsidRPr="005D02CF">
        <w:rPr>
          <w:b w:val="0"/>
          <w:bCs w:val="0"/>
          <w:color w:val="auto"/>
          <w:sz w:val="22"/>
          <w:szCs w:val="22"/>
        </w:rPr>
        <w:t xml:space="preserve"> (</w:t>
      </w:r>
      <w:proofErr w:type="spellStart"/>
      <w:r w:rsidRPr="005D02CF">
        <w:rPr>
          <w:b w:val="0"/>
          <w:bCs w:val="0"/>
          <w:color w:val="auto"/>
          <w:sz w:val="22"/>
          <w:szCs w:val="22"/>
        </w:rPr>
        <w:t>esmane</w:t>
      </w:r>
      <w:proofErr w:type="spellEnd"/>
      <w:r w:rsidRPr="005D02CF">
        <w:rPr>
          <w:b w:val="0"/>
          <w:bCs w:val="0"/>
          <w:color w:val="auto"/>
          <w:sz w:val="22"/>
          <w:szCs w:val="22"/>
        </w:rPr>
        <w:t xml:space="preserve"> </w:t>
      </w:r>
      <w:proofErr w:type="spellStart"/>
      <w:r w:rsidRPr="005D02CF">
        <w:rPr>
          <w:b w:val="0"/>
          <w:bCs w:val="0"/>
          <w:color w:val="auto"/>
          <w:sz w:val="22"/>
          <w:szCs w:val="22"/>
        </w:rPr>
        <w:t>läbivaatamine</w:t>
      </w:r>
      <w:proofErr w:type="spellEnd"/>
      <w:r w:rsidRPr="005D02CF">
        <w:rPr>
          <w:b w:val="0"/>
          <w:bCs w:val="0"/>
          <w:color w:val="auto"/>
          <w:sz w:val="22"/>
          <w:szCs w:val="22"/>
        </w:rPr>
        <w:t xml:space="preserve"> 10 000 </w:t>
      </w:r>
      <w:proofErr w:type="spellStart"/>
      <w:r w:rsidRPr="005D02CF">
        <w:rPr>
          <w:b w:val="0"/>
          <w:bCs w:val="0"/>
          <w:color w:val="auto"/>
          <w:sz w:val="22"/>
          <w:szCs w:val="22"/>
        </w:rPr>
        <w:t>eurot</w:t>
      </w:r>
      <w:proofErr w:type="spellEnd"/>
      <w:r w:rsidRPr="005D02CF">
        <w:rPr>
          <w:b w:val="0"/>
          <w:bCs w:val="0"/>
          <w:color w:val="auto"/>
          <w:sz w:val="22"/>
          <w:szCs w:val="22"/>
        </w:rPr>
        <w:t xml:space="preserve"> </w:t>
      </w:r>
      <w:proofErr w:type="spellStart"/>
      <w:r w:rsidRPr="005D02CF">
        <w:rPr>
          <w:b w:val="0"/>
          <w:bCs w:val="0"/>
          <w:color w:val="auto"/>
          <w:sz w:val="22"/>
          <w:szCs w:val="22"/>
        </w:rPr>
        <w:t>ja</w:t>
      </w:r>
      <w:proofErr w:type="spellEnd"/>
      <w:r w:rsidRPr="005D02CF">
        <w:rPr>
          <w:b w:val="0"/>
          <w:bCs w:val="0"/>
          <w:color w:val="auto"/>
          <w:sz w:val="22"/>
          <w:szCs w:val="22"/>
        </w:rPr>
        <w:t xml:space="preserve"> </w:t>
      </w:r>
      <w:proofErr w:type="spellStart"/>
      <w:r w:rsidRPr="005D02CF">
        <w:rPr>
          <w:b w:val="0"/>
          <w:bCs w:val="0"/>
          <w:color w:val="auto"/>
          <w:sz w:val="22"/>
          <w:szCs w:val="22"/>
        </w:rPr>
        <w:t>muutmine</w:t>
      </w:r>
      <w:proofErr w:type="spellEnd"/>
      <w:r w:rsidRPr="005D02CF">
        <w:rPr>
          <w:b w:val="0"/>
          <w:bCs w:val="0"/>
          <w:color w:val="auto"/>
          <w:sz w:val="22"/>
          <w:szCs w:val="22"/>
        </w:rPr>
        <w:t xml:space="preserve"> 4000 </w:t>
      </w:r>
      <w:proofErr w:type="spellStart"/>
      <w:r w:rsidRPr="005D02CF">
        <w:rPr>
          <w:b w:val="0"/>
          <w:bCs w:val="0"/>
          <w:color w:val="auto"/>
          <w:sz w:val="22"/>
          <w:szCs w:val="22"/>
        </w:rPr>
        <w:t>eurot</w:t>
      </w:r>
      <w:proofErr w:type="spellEnd"/>
      <w:r w:rsidRPr="005D02CF">
        <w:rPr>
          <w:b w:val="0"/>
          <w:bCs w:val="0"/>
          <w:color w:val="auto"/>
          <w:sz w:val="22"/>
          <w:szCs w:val="22"/>
        </w:rPr>
        <w:t xml:space="preserve">) </w:t>
      </w:r>
      <w:proofErr w:type="spellStart"/>
      <w:r w:rsidRPr="005D02CF">
        <w:rPr>
          <w:b w:val="0"/>
          <w:bCs w:val="0"/>
          <w:color w:val="auto"/>
          <w:sz w:val="22"/>
          <w:szCs w:val="22"/>
        </w:rPr>
        <w:t>ning</w:t>
      </w:r>
      <w:proofErr w:type="spellEnd"/>
      <w:r w:rsidRPr="005D02CF">
        <w:rPr>
          <w:b w:val="0"/>
          <w:bCs w:val="0"/>
          <w:color w:val="auto"/>
          <w:sz w:val="22"/>
          <w:szCs w:val="22"/>
        </w:rPr>
        <w:t xml:space="preserve"> </w:t>
      </w:r>
      <w:proofErr w:type="spellStart"/>
      <w:r w:rsidRPr="005D02CF">
        <w:rPr>
          <w:b w:val="0"/>
          <w:bCs w:val="0"/>
          <w:color w:val="auto"/>
          <w:sz w:val="22"/>
          <w:szCs w:val="22"/>
        </w:rPr>
        <w:t>muutmise</w:t>
      </w:r>
      <w:proofErr w:type="spellEnd"/>
      <w:r w:rsidRPr="005D02CF">
        <w:rPr>
          <w:b w:val="0"/>
          <w:bCs w:val="0"/>
          <w:color w:val="auto"/>
          <w:sz w:val="22"/>
          <w:szCs w:val="22"/>
        </w:rPr>
        <w:t xml:space="preserve"> </w:t>
      </w:r>
      <w:proofErr w:type="spellStart"/>
      <w:r w:rsidRPr="005D02CF">
        <w:rPr>
          <w:b w:val="0"/>
          <w:bCs w:val="0"/>
          <w:color w:val="auto"/>
          <w:sz w:val="22"/>
          <w:szCs w:val="22"/>
        </w:rPr>
        <w:t>taotluse</w:t>
      </w:r>
      <w:proofErr w:type="spellEnd"/>
      <w:r w:rsidRPr="005D02CF">
        <w:rPr>
          <w:b w:val="0"/>
          <w:bCs w:val="0"/>
          <w:color w:val="auto"/>
          <w:sz w:val="22"/>
          <w:szCs w:val="22"/>
        </w:rPr>
        <w:t xml:space="preserve"> </w:t>
      </w:r>
      <w:proofErr w:type="spellStart"/>
      <w:r w:rsidRPr="005D02CF">
        <w:rPr>
          <w:b w:val="0"/>
          <w:bCs w:val="0"/>
          <w:color w:val="auto"/>
          <w:sz w:val="22"/>
          <w:szCs w:val="22"/>
        </w:rPr>
        <w:t>läbivaatamise</w:t>
      </w:r>
      <w:proofErr w:type="spellEnd"/>
      <w:r w:rsidRPr="005D02CF">
        <w:rPr>
          <w:b w:val="0"/>
          <w:bCs w:val="0"/>
          <w:color w:val="auto"/>
          <w:sz w:val="22"/>
          <w:szCs w:val="22"/>
        </w:rPr>
        <w:t xml:space="preserve"> </w:t>
      </w:r>
      <w:proofErr w:type="spellStart"/>
      <w:r w:rsidRPr="005D02CF">
        <w:rPr>
          <w:b w:val="0"/>
          <w:bCs w:val="0"/>
          <w:color w:val="auto"/>
          <w:sz w:val="22"/>
          <w:szCs w:val="22"/>
        </w:rPr>
        <w:t>korral</w:t>
      </w:r>
      <w:proofErr w:type="spellEnd"/>
      <w:r w:rsidRPr="005D02CF">
        <w:rPr>
          <w:b w:val="0"/>
          <w:bCs w:val="0"/>
          <w:color w:val="auto"/>
          <w:sz w:val="22"/>
          <w:szCs w:val="22"/>
        </w:rPr>
        <w:t xml:space="preserve"> </w:t>
      </w:r>
      <w:proofErr w:type="spellStart"/>
      <w:r w:rsidRPr="005D02CF">
        <w:rPr>
          <w:b w:val="0"/>
          <w:bCs w:val="0"/>
          <w:color w:val="auto"/>
          <w:sz w:val="22"/>
          <w:szCs w:val="22"/>
        </w:rPr>
        <w:t>riigilõivu</w:t>
      </w:r>
      <w:proofErr w:type="spellEnd"/>
      <w:r w:rsidRPr="005D02CF">
        <w:rPr>
          <w:b w:val="0"/>
          <w:bCs w:val="0"/>
          <w:color w:val="auto"/>
          <w:sz w:val="22"/>
          <w:szCs w:val="22"/>
        </w:rPr>
        <w:t xml:space="preserve"> </w:t>
      </w:r>
      <w:proofErr w:type="spellStart"/>
      <w:r w:rsidRPr="005D02CF">
        <w:rPr>
          <w:b w:val="0"/>
          <w:bCs w:val="0"/>
          <w:color w:val="auto"/>
          <w:sz w:val="22"/>
          <w:szCs w:val="22"/>
        </w:rPr>
        <w:t>tasumisest</w:t>
      </w:r>
      <w:proofErr w:type="spellEnd"/>
      <w:r w:rsidRPr="005D02CF">
        <w:rPr>
          <w:b w:val="0"/>
          <w:bCs w:val="0"/>
          <w:color w:val="auto"/>
          <w:sz w:val="22"/>
          <w:szCs w:val="22"/>
        </w:rPr>
        <w:t xml:space="preserve"> </w:t>
      </w:r>
      <w:proofErr w:type="spellStart"/>
      <w:r w:rsidRPr="005D02CF">
        <w:rPr>
          <w:b w:val="0"/>
          <w:bCs w:val="0"/>
          <w:color w:val="auto"/>
          <w:sz w:val="22"/>
          <w:szCs w:val="22"/>
        </w:rPr>
        <w:t>vabastamist</w:t>
      </w:r>
      <w:proofErr w:type="spellEnd"/>
      <w:r w:rsidRPr="005D02CF">
        <w:rPr>
          <w:b w:val="0"/>
          <w:bCs w:val="0"/>
          <w:color w:val="auto"/>
          <w:sz w:val="22"/>
          <w:szCs w:val="22"/>
        </w:rPr>
        <w:t xml:space="preserve">. </w:t>
      </w:r>
    </w:p>
    <w:p w14:paraId="756FD242" w14:textId="77777777" w:rsidR="003057ED" w:rsidRPr="00952E04" w:rsidRDefault="003057ED" w:rsidP="003057ED">
      <w:pPr>
        <w:spacing w:before="0"/>
        <w:rPr>
          <w:sz w:val="22"/>
          <w:szCs w:val="22"/>
        </w:rPr>
      </w:pPr>
    </w:p>
    <w:p w14:paraId="5DE21AD9" w14:textId="77777777" w:rsidR="003057ED" w:rsidRPr="005A55CA" w:rsidRDefault="003057ED" w:rsidP="003057ED">
      <w:pPr>
        <w:spacing w:before="0"/>
        <w:rPr>
          <w:bCs/>
          <w:sz w:val="22"/>
          <w:szCs w:val="22"/>
        </w:rPr>
      </w:pPr>
      <w:r w:rsidRPr="005A55CA">
        <w:rPr>
          <w:b/>
          <w:color w:val="202020"/>
          <w:sz w:val="22"/>
          <w:szCs w:val="22"/>
          <w:shd w:val="clear" w:color="auto" w:fill="FFFFFF"/>
        </w:rPr>
        <w:t>Paragrahviga 1</w:t>
      </w:r>
      <w:r>
        <w:rPr>
          <w:b/>
          <w:color w:val="202020"/>
          <w:sz w:val="22"/>
          <w:szCs w:val="22"/>
          <w:shd w:val="clear" w:color="auto" w:fill="FFFFFF"/>
        </w:rPr>
        <w:t>30</w:t>
      </w:r>
      <w:r w:rsidRPr="005A55CA">
        <w:rPr>
          <w:color w:val="202020"/>
          <w:sz w:val="22"/>
          <w:szCs w:val="22"/>
          <w:shd w:val="clear" w:color="auto" w:fill="FFFFFF"/>
        </w:rPr>
        <w:t xml:space="preserve"> sätestatakse </w:t>
      </w:r>
      <w:r w:rsidRPr="005A55CA">
        <w:rPr>
          <w:bCs/>
          <w:color w:val="202020"/>
          <w:sz w:val="22"/>
          <w:szCs w:val="22"/>
          <w:shd w:val="clear" w:color="auto" w:fill="FFFFFF"/>
        </w:rPr>
        <w:t>väärtpaberite registri pidamise seaduse</w:t>
      </w:r>
      <w:r w:rsidRPr="005A55CA">
        <w:rPr>
          <w:color w:val="202020"/>
          <w:sz w:val="22"/>
          <w:szCs w:val="22"/>
          <w:shd w:val="clear" w:color="auto" w:fill="FFFFFF"/>
        </w:rPr>
        <w:t xml:space="preserve"> muudatused.</w:t>
      </w:r>
    </w:p>
    <w:p w14:paraId="462CCDD3" w14:textId="77777777" w:rsidR="003057ED" w:rsidRPr="005A55CA" w:rsidRDefault="003057ED" w:rsidP="003057ED">
      <w:pPr>
        <w:spacing w:before="0"/>
        <w:rPr>
          <w:b/>
          <w:bCs/>
          <w:sz w:val="22"/>
          <w:szCs w:val="22"/>
        </w:rPr>
      </w:pPr>
    </w:p>
    <w:p w14:paraId="3FE0ED12" w14:textId="77777777" w:rsidR="003057ED" w:rsidRPr="005A55CA" w:rsidRDefault="003057ED" w:rsidP="003057ED">
      <w:pPr>
        <w:spacing w:before="0"/>
        <w:rPr>
          <w:bCs/>
          <w:sz w:val="22"/>
          <w:szCs w:val="22"/>
        </w:rPr>
      </w:pPr>
      <w:r>
        <w:rPr>
          <w:b/>
          <w:bCs/>
          <w:sz w:val="22"/>
          <w:szCs w:val="22"/>
        </w:rPr>
        <w:t xml:space="preserve">Punktiga 1 </w:t>
      </w:r>
      <w:r>
        <w:rPr>
          <w:bCs/>
          <w:sz w:val="22"/>
          <w:szCs w:val="22"/>
        </w:rPr>
        <w:t xml:space="preserve">muudetakse </w:t>
      </w:r>
      <w:r w:rsidRPr="008C230F">
        <w:rPr>
          <w:bCs/>
          <w:sz w:val="22"/>
          <w:szCs w:val="22"/>
        </w:rPr>
        <w:t>v</w:t>
      </w:r>
      <w:r w:rsidRPr="000D7321">
        <w:rPr>
          <w:bCs/>
          <w:sz w:val="22"/>
          <w:szCs w:val="22"/>
        </w:rPr>
        <w:t>äärtpaberite registri pidamise seadus</w:t>
      </w:r>
      <w:r w:rsidRPr="008C230F">
        <w:rPr>
          <w:bCs/>
          <w:sz w:val="22"/>
          <w:szCs w:val="22"/>
        </w:rPr>
        <w:t xml:space="preserve">e </w:t>
      </w:r>
      <w:r w:rsidRPr="000D7321">
        <w:rPr>
          <w:bCs/>
          <w:sz w:val="22"/>
          <w:szCs w:val="22"/>
        </w:rPr>
        <w:t>§ 2 l</w:t>
      </w:r>
      <w:r>
        <w:rPr>
          <w:bCs/>
          <w:sz w:val="22"/>
          <w:szCs w:val="22"/>
        </w:rPr>
        <w:t>õiget</w:t>
      </w:r>
      <w:r w:rsidRPr="000D7321">
        <w:rPr>
          <w:bCs/>
          <w:sz w:val="22"/>
          <w:szCs w:val="22"/>
        </w:rPr>
        <w:t xml:space="preserve"> 2</w:t>
      </w:r>
      <w:r>
        <w:rPr>
          <w:bCs/>
          <w:sz w:val="22"/>
          <w:szCs w:val="22"/>
        </w:rPr>
        <w:t>, millega</w:t>
      </w:r>
      <w:r w:rsidRPr="005A55CA">
        <w:rPr>
          <w:bCs/>
          <w:sz w:val="22"/>
          <w:szCs w:val="22"/>
        </w:rPr>
        <w:t xml:space="preserve"> luuakse võimalus (mitte kohustus) kanda investeerimis</w:t>
      </w:r>
      <w:r>
        <w:rPr>
          <w:bCs/>
          <w:sz w:val="22"/>
          <w:szCs w:val="22"/>
        </w:rPr>
        <w:t>projekt</w:t>
      </w:r>
      <w:r w:rsidRPr="005A55CA">
        <w:rPr>
          <w:bCs/>
          <w:sz w:val="22"/>
          <w:szCs w:val="22"/>
        </w:rPr>
        <w:t xml:space="preserve"> Eesti väärtpaberite registrisse. </w:t>
      </w:r>
    </w:p>
    <w:p w14:paraId="32F3A814" w14:textId="77777777" w:rsidR="003057ED" w:rsidRPr="005A55CA" w:rsidRDefault="003057ED" w:rsidP="003057ED">
      <w:pPr>
        <w:spacing w:before="0"/>
        <w:rPr>
          <w:bCs/>
          <w:sz w:val="22"/>
          <w:szCs w:val="22"/>
        </w:rPr>
      </w:pPr>
    </w:p>
    <w:p w14:paraId="4883C741" w14:textId="77777777" w:rsidR="003057ED" w:rsidRPr="00B6064C" w:rsidRDefault="003057ED" w:rsidP="003057ED">
      <w:pPr>
        <w:spacing w:before="0"/>
        <w:rPr>
          <w:b/>
          <w:bCs/>
          <w:sz w:val="22"/>
          <w:szCs w:val="22"/>
        </w:rPr>
      </w:pPr>
      <w:r>
        <w:rPr>
          <w:b/>
          <w:bCs/>
          <w:sz w:val="22"/>
          <w:szCs w:val="22"/>
        </w:rPr>
        <w:t xml:space="preserve">Punktiga 2 </w:t>
      </w:r>
      <w:r>
        <w:rPr>
          <w:bCs/>
          <w:sz w:val="22"/>
          <w:szCs w:val="22"/>
        </w:rPr>
        <w:t xml:space="preserve">täiendatakse seaduse §-i </w:t>
      </w:r>
      <w:r w:rsidRPr="004D4264">
        <w:rPr>
          <w:bCs/>
          <w:sz w:val="22"/>
          <w:szCs w:val="22"/>
        </w:rPr>
        <w:t xml:space="preserve">2 </w:t>
      </w:r>
      <w:r w:rsidRPr="000D7321">
        <w:rPr>
          <w:bCs/>
          <w:sz w:val="22"/>
          <w:szCs w:val="22"/>
        </w:rPr>
        <w:t>lõigetega</w:t>
      </w:r>
      <w:r w:rsidRPr="00B65268">
        <w:rPr>
          <w:bCs/>
          <w:sz w:val="22"/>
          <w:szCs w:val="22"/>
        </w:rPr>
        <w:t xml:space="preserve"> 4</w:t>
      </w:r>
      <w:r w:rsidRPr="00B65268">
        <w:rPr>
          <w:bCs/>
          <w:sz w:val="22"/>
          <w:szCs w:val="22"/>
          <w:vertAlign w:val="superscript"/>
        </w:rPr>
        <w:t>1</w:t>
      </w:r>
      <w:r w:rsidRPr="00B65268">
        <w:rPr>
          <w:bCs/>
          <w:sz w:val="22"/>
          <w:szCs w:val="22"/>
        </w:rPr>
        <w:t xml:space="preserve"> ja 4</w:t>
      </w:r>
      <w:r w:rsidRPr="00B65268">
        <w:rPr>
          <w:bCs/>
          <w:sz w:val="22"/>
          <w:szCs w:val="22"/>
          <w:vertAlign w:val="superscript"/>
        </w:rPr>
        <w:t>2</w:t>
      </w:r>
      <w:r w:rsidRPr="00660621">
        <w:rPr>
          <w:bCs/>
          <w:sz w:val="22"/>
          <w:szCs w:val="22"/>
        </w:rPr>
        <w:t>.</w:t>
      </w:r>
      <w:r w:rsidRPr="005A55CA">
        <w:rPr>
          <w:bCs/>
          <w:sz w:val="22"/>
          <w:szCs w:val="22"/>
        </w:rPr>
        <w:t xml:space="preserve"> Nimetatud täienduste näol on tegemist selgitava iseloomuga lisandustega, mille järgi ei kohaldata </w:t>
      </w:r>
      <w:r>
        <w:rPr>
          <w:bCs/>
          <w:sz w:val="22"/>
          <w:szCs w:val="22"/>
        </w:rPr>
        <w:t>eelnõus</w:t>
      </w:r>
      <w:r w:rsidRPr="005A55CA">
        <w:rPr>
          <w:bCs/>
          <w:sz w:val="22"/>
          <w:szCs w:val="22"/>
        </w:rPr>
        <w:t xml:space="preserve"> </w:t>
      </w:r>
      <w:r>
        <w:rPr>
          <w:bCs/>
          <w:sz w:val="22"/>
          <w:szCs w:val="22"/>
        </w:rPr>
        <w:t xml:space="preserve">väärtpaberikonto ja kontohaldurite </w:t>
      </w:r>
      <w:r w:rsidRPr="005A55CA">
        <w:rPr>
          <w:bCs/>
          <w:sz w:val="22"/>
          <w:szCs w:val="22"/>
        </w:rPr>
        <w:t xml:space="preserve">kohta sätestatut, kui </w:t>
      </w:r>
      <w:proofErr w:type="spellStart"/>
      <w:r>
        <w:rPr>
          <w:bCs/>
          <w:sz w:val="22"/>
          <w:szCs w:val="22"/>
        </w:rPr>
        <w:t>krüptovara</w:t>
      </w:r>
      <w:proofErr w:type="spellEnd"/>
      <w:r>
        <w:rPr>
          <w:bCs/>
          <w:sz w:val="22"/>
          <w:szCs w:val="22"/>
        </w:rPr>
        <w:t xml:space="preserve"> ja </w:t>
      </w:r>
      <w:proofErr w:type="spellStart"/>
      <w:r>
        <w:rPr>
          <w:bCs/>
          <w:sz w:val="22"/>
          <w:szCs w:val="22"/>
        </w:rPr>
        <w:t>ühisrahastuse</w:t>
      </w:r>
      <w:proofErr w:type="spellEnd"/>
      <w:r>
        <w:rPr>
          <w:bCs/>
          <w:sz w:val="22"/>
          <w:szCs w:val="22"/>
        </w:rPr>
        <w:t xml:space="preserve"> seaduses sätestatud vara </w:t>
      </w:r>
      <w:r w:rsidRPr="005A55CA">
        <w:rPr>
          <w:bCs/>
          <w:sz w:val="22"/>
          <w:szCs w:val="22"/>
        </w:rPr>
        <w:t xml:space="preserve">on registreeritud </w:t>
      </w:r>
      <w:proofErr w:type="spellStart"/>
      <w:r w:rsidRPr="005A55CA">
        <w:rPr>
          <w:bCs/>
          <w:sz w:val="22"/>
          <w:szCs w:val="22"/>
        </w:rPr>
        <w:t>keskdepositooriumis</w:t>
      </w:r>
      <w:proofErr w:type="spellEnd"/>
      <w:r w:rsidRPr="005A55CA">
        <w:rPr>
          <w:bCs/>
          <w:sz w:val="22"/>
          <w:szCs w:val="22"/>
        </w:rPr>
        <w:t>. Sama paragrahvi lõike 4</w:t>
      </w:r>
      <w:r w:rsidRPr="005A55CA">
        <w:rPr>
          <w:bCs/>
          <w:sz w:val="22"/>
          <w:szCs w:val="22"/>
          <w:vertAlign w:val="superscript"/>
        </w:rPr>
        <w:t>2</w:t>
      </w:r>
      <w:r w:rsidRPr="005A55CA">
        <w:rPr>
          <w:bCs/>
          <w:sz w:val="22"/>
          <w:szCs w:val="22"/>
        </w:rPr>
        <w:t xml:space="preserve"> alusel </w:t>
      </w:r>
      <w:r>
        <w:rPr>
          <w:bCs/>
          <w:sz w:val="22"/>
          <w:szCs w:val="22"/>
        </w:rPr>
        <w:t xml:space="preserve">võib </w:t>
      </w:r>
      <w:r w:rsidRPr="005A55CA">
        <w:rPr>
          <w:bCs/>
          <w:sz w:val="22"/>
          <w:szCs w:val="22"/>
        </w:rPr>
        <w:t xml:space="preserve">valdkonna eest vastutav minister </w:t>
      </w:r>
      <w:r>
        <w:rPr>
          <w:bCs/>
          <w:sz w:val="22"/>
          <w:szCs w:val="22"/>
        </w:rPr>
        <w:t xml:space="preserve">kehtestada </w:t>
      </w:r>
      <w:r w:rsidRPr="005A55CA">
        <w:rPr>
          <w:bCs/>
          <w:sz w:val="22"/>
          <w:szCs w:val="22"/>
        </w:rPr>
        <w:t xml:space="preserve">täpsemad nõuded </w:t>
      </w:r>
      <w:proofErr w:type="spellStart"/>
      <w:r w:rsidRPr="005A55CA">
        <w:rPr>
          <w:bCs/>
          <w:sz w:val="22"/>
          <w:szCs w:val="22"/>
        </w:rPr>
        <w:t>keskdepositooriumis</w:t>
      </w:r>
      <w:proofErr w:type="spellEnd"/>
      <w:r w:rsidRPr="005A55CA">
        <w:rPr>
          <w:bCs/>
          <w:sz w:val="22"/>
          <w:szCs w:val="22"/>
        </w:rPr>
        <w:t xml:space="preserve"> </w:t>
      </w:r>
      <w:r>
        <w:rPr>
          <w:bCs/>
          <w:sz w:val="22"/>
          <w:szCs w:val="22"/>
        </w:rPr>
        <w:t>viidatud vara</w:t>
      </w:r>
      <w:r w:rsidRPr="00B6064C">
        <w:rPr>
          <w:bCs/>
          <w:sz w:val="22"/>
          <w:szCs w:val="22"/>
        </w:rPr>
        <w:t xml:space="preserve"> registreerimisele ja tehingute tegemisele. </w:t>
      </w:r>
    </w:p>
    <w:p w14:paraId="027FE71A" w14:textId="77777777" w:rsidR="003057ED" w:rsidRPr="00B6064C" w:rsidRDefault="003057ED" w:rsidP="003057ED">
      <w:pPr>
        <w:spacing w:before="0"/>
        <w:rPr>
          <w:b/>
          <w:bCs/>
          <w:sz w:val="22"/>
          <w:szCs w:val="22"/>
        </w:rPr>
      </w:pPr>
    </w:p>
    <w:p w14:paraId="7FD185CA" w14:textId="77777777" w:rsidR="003057ED" w:rsidRDefault="003057ED" w:rsidP="003057ED">
      <w:pPr>
        <w:spacing w:before="0"/>
        <w:rPr>
          <w:rFonts w:eastAsiaTheme="majorEastAsia"/>
          <w:sz w:val="22"/>
          <w:szCs w:val="22"/>
          <w:lang w:eastAsia="en-US"/>
        </w:rPr>
      </w:pPr>
      <w:r w:rsidRPr="00B6064C">
        <w:rPr>
          <w:rFonts w:eastAsiaTheme="majorEastAsia"/>
          <w:b/>
          <w:sz w:val="22"/>
          <w:szCs w:val="22"/>
          <w:lang w:eastAsia="en-US"/>
        </w:rPr>
        <w:lastRenderedPageBreak/>
        <w:t>Paragrahviga 1</w:t>
      </w:r>
      <w:r>
        <w:rPr>
          <w:rFonts w:eastAsiaTheme="majorEastAsia"/>
          <w:b/>
          <w:sz w:val="22"/>
          <w:szCs w:val="22"/>
          <w:lang w:eastAsia="en-US"/>
        </w:rPr>
        <w:t>31</w:t>
      </w:r>
      <w:r w:rsidRPr="00B6064C">
        <w:rPr>
          <w:rFonts w:eastAsiaTheme="majorEastAsia"/>
          <w:b/>
          <w:sz w:val="22"/>
          <w:szCs w:val="22"/>
          <w:lang w:eastAsia="en-US"/>
        </w:rPr>
        <w:t xml:space="preserve"> </w:t>
      </w:r>
      <w:r w:rsidRPr="00B6064C">
        <w:rPr>
          <w:rFonts w:eastAsiaTheme="majorEastAsia"/>
          <w:sz w:val="22"/>
          <w:szCs w:val="22"/>
          <w:lang w:eastAsia="en-US"/>
        </w:rPr>
        <w:t xml:space="preserve">sätestatakse </w:t>
      </w:r>
      <w:r>
        <w:rPr>
          <w:rFonts w:eastAsiaTheme="majorEastAsia"/>
          <w:sz w:val="22"/>
          <w:szCs w:val="22"/>
          <w:lang w:eastAsia="en-US"/>
        </w:rPr>
        <w:t>väärtpaberituru seaduse muudatused.</w:t>
      </w:r>
    </w:p>
    <w:p w14:paraId="2406A32D" w14:textId="77777777" w:rsidR="003057ED" w:rsidRDefault="003057ED" w:rsidP="003057ED">
      <w:pPr>
        <w:spacing w:before="0"/>
        <w:rPr>
          <w:rFonts w:eastAsiaTheme="majorEastAsia"/>
          <w:sz w:val="22"/>
          <w:szCs w:val="22"/>
          <w:lang w:eastAsia="en-US"/>
        </w:rPr>
      </w:pPr>
    </w:p>
    <w:p w14:paraId="2DAECB71" w14:textId="77777777" w:rsidR="003057ED" w:rsidRDefault="003057ED" w:rsidP="003057ED">
      <w:pPr>
        <w:spacing w:before="0"/>
        <w:rPr>
          <w:rFonts w:eastAsiaTheme="majorEastAsia"/>
          <w:bCs/>
          <w:sz w:val="22"/>
          <w:szCs w:val="22"/>
          <w:lang w:eastAsia="en-US"/>
        </w:rPr>
      </w:pPr>
      <w:r>
        <w:rPr>
          <w:rFonts w:eastAsiaTheme="majorEastAsia"/>
          <w:b/>
          <w:sz w:val="22"/>
          <w:szCs w:val="22"/>
          <w:lang w:eastAsia="en-US"/>
        </w:rPr>
        <w:t xml:space="preserve">Punktiga 1 </w:t>
      </w:r>
      <w:r>
        <w:rPr>
          <w:rFonts w:eastAsiaTheme="majorEastAsia"/>
          <w:bCs/>
          <w:sz w:val="22"/>
          <w:szCs w:val="22"/>
          <w:lang w:eastAsia="en-US"/>
        </w:rPr>
        <w:t xml:space="preserve">tunnistatakse kehtetuks seaduse sätted, mis reguleerivad EL </w:t>
      </w:r>
      <w:proofErr w:type="spellStart"/>
      <w:r>
        <w:rPr>
          <w:rFonts w:eastAsiaTheme="majorEastAsia"/>
          <w:bCs/>
          <w:sz w:val="22"/>
          <w:szCs w:val="22"/>
          <w:lang w:eastAsia="en-US"/>
        </w:rPr>
        <w:t>ühisrahastusmääruse</w:t>
      </w:r>
      <w:proofErr w:type="spellEnd"/>
      <w:r>
        <w:rPr>
          <w:rFonts w:eastAsiaTheme="majorEastAsia"/>
          <w:bCs/>
          <w:sz w:val="22"/>
          <w:szCs w:val="22"/>
          <w:lang w:eastAsia="en-US"/>
        </w:rPr>
        <w:t xml:space="preserve"> kohaldamist hüvitamiskohustust </w:t>
      </w:r>
      <w:proofErr w:type="spellStart"/>
      <w:r>
        <w:rPr>
          <w:rFonts w:eastAsiaTheme="majorEastAsia"/>
          <w:bCs/>
          <w:sz w:val="22"/>
          <w:szCs w:val="22"/>
          <w:lang w:eastAsia="en-US"/>
        </w:rPr>
        <w:t>ühisrahastuspakkumise</w:t>
      </w:r>
      <w:proofErr w:type="spellEnd"/>
      <w:r>
        <w:rPr>
          <w:rFonts w:eastAsiaTheme="majorEastAsia"/>
          <w:bCs/>
          <w:sz w:val="22"/>
          <w:szCs w:val="22"/>
          <w:lang w:eastAsia="en-US"/>
        </w:rPr>
        <w:t xml:space="preserve"> korral. </w:t>
      </w:r>
      <w:r>
        <w:rPr>
          <w:sz w:val="22"/>
          <w:szCs w:val="22"/>
        </w:rPr>
        <w:t xml:space="preserve">Kuivõrd samasisulised sätted lisatakse käesolevasse seadusesse, ei ole vajadust jätta kehtivaks sama sätet väärtpaberituru seaduses. </w:t>
      </w:r>
      <w:r>
        <w:rPr>
          <w:rFonts w:eastAsiaTheme="majorEastAsia"/>
          <w:bCs/>
          <w:sz w:val="22"/>
          <w:szCs w:val="22"/>
          <w:lang w:eastAsia="en-US"/>
        </w:rPr>
        <w:t xml:space="preserve"> </w:t>
      </w:r>
    </w:p>
    <w:p w14:paraId="25BF7C94" w14:textId="77777777" w:rsidR="003057ED" w:rsidRPr="0055152F" w:rsidRDefault="003057ED" w:rsidP="003057ED">
      <w:pPr>
        <w:spacing w:before="0"/>
        <w:rPr>
          <w:rFonts w:eastAsiaTheme="majorEastAsia"/>
          <w:bCs/>
          <w:sz w:val="22"/>
          <w:szCs w:val="22"/>
          <w:lang w:eastAsia="en-US"/>
        </w:rPr>
      </w:pPr>
    </w:p>
    <w:p w14:paraId="3E1AFB07" w14:textId="77777777" w:rsidR="003057ED" w:rsidRDefault="003057ED" w:rsidP="003057ED">
      <w:pPr>
        <w:spacing w:before="0"/>
        <w:rPr>
          <w:rFonts w:eastAsiaTheme="majorEastAsia"/>
          <w:sz w:val="22"/>
          <w:szCs w:val="22"/>
          <w:lang w:eastAsia="en-US"/>
        </w:rPr>
      </w:pPr>
      <w:r>
        <w:rPr>
          <w:rFonts w:eastAsiaTheme="majorEastAsia"/>
          <w:b/>
          <w:sz w:val="22"/>
          <w:szCs w:val="22"/>
          <w:lang w:eastAsia="en-US"/>
        </w:rPr>
        <w:t xml:space="preserve">Punktis 2 </w:t>
      </w:r>
      <w:r w:rsidRPr="005F1065">
        <w:rPr>
          <w:rFonts w:eastAsiaTheme="majorEastAsia"/>
          <w:sz w:val="22"/>
          <w:szCs w:val="22"/>
          <w:lang w:eastAsia="en-US"/>
        </w:rPr>
        <w:t>on sätestatud</w:t>
      </w:r>
      <w:r>
        <w:rPr>
          <w:rFonts w:eastAsiaTheme="majorEastAsia"/>
          <w:b/>
          <w:sz w:val="22"/>
          <w:szCs w:val="22"/>
          <w:lang w:eastAsia="en-US"/>
        </w:rPr>
        <w:t xml:space="preserve"> </w:t>
      </w:r>
      <w:r>
        <w:rPr>
          <w:rFonts w:eastAsiaTheme="majorEastAsia"/>
          <w:sz w:val="22"/>
          <w:szCs w:val="22"/>
          <w:lang w:eastAsia="en-US"/>
        </w:rPr>
        <w:t>VPTS</w:t>
      </w:r>
      <w:r w:rsidRPr="00B6064C">
        <w:rPr>
          <w:rFonts w:eastAsiaTheme="majorEastAsia"/>
          <w:sz w:val="22"/>
          <w:szCs w:val="22"/>
          <w:lang w:eastAsia="en-US"/>
        </w:rPr>
        <w:t xml:space="preserve"> </w:t>
      </w:r>
      <w:r>
        <w:rPr>
          <w:rFonts w:eastAsiaTheme="majorEastAsia"/>
          <w:sz w:val="22"/>
          <w:szCs w:val="22"/>
          <w:lang w:eastAsia="en-US"/>
        </w:rPr>
        <w:t>§-i 40 muutmine. Nimelt täiendatakse VPTS</w:t>
      </w:r>
      <w:r w:rsidRPr="00B6064C">
        <w:rPr>
          <w:rFonts w:eastAsiaTheme="majorEastAsia"/>
          <w:sz w:val="22"/>
          <w:szCs w:val="22"/>
          <w:lang w:eastAsia="en-US"/>
        </w:rPr>
        <w:t xml:space="preserve"> §</w:t>
      </w:r>
      <w:r>
        <w:rPr>
          <w:rFonts w:eastAsiaTheme="majorEastAsia"/>
          <w:sz w:val="22"/>
          <w:szCs w:val="22"/>
          <w:lang w:eastAsia="en-US"/>
        </w:rPr>
        <w:t>-i</w:t>
      </w:r>
      <w:r w:rsidRPr="00B6064C">
        <w:rPr>
          <w:rFonts w:eastAsiaTheme="majorEastAsia"/>
          <w:sz w:val="22"/>
          <w:szCs w:val="22"/>
          <w:lang w:eastAsia="en-US"/>
        </w:rPr>
        <w:t xml:space="preserve"> 40 lõikega 2</w:t>
      </w:r>
      <w:r w:rsidRPr="00B6064C">
        <w:rPr>
          <w:rFonts w:eastAsiaTheme="majorEastAsia"/>
          <w:sz w:val="22"/>
          <w:szCs w:val="22"/>
          <w:vertAlign w:val="superscript"/>
          <w:lang w:eastAsia="en-US"/>
        </w:rPr>
        <w:t>1</w:t>
      </w:r>
      <w:r w:rsidRPr="00B6064C">
        <w:rPr>
          <w:rFonts w:eastAsiaTheme="majorEastAsia"/>
          <w:sz w:val="22"/>
          <w:szCs w:val="22"/>
          <w:lang w:eastAsia="en-US"/>
        </w:rPr>
        <w:t xml:space="preserve">, et tagada õigusselgus. Investeerimisühing, kes </w:t>
      </w:r>
      <w:r>
        <w:rPr>
          <w:rFonts w:eastAsiaTheme="majorEastAsia"/>
          <w:sz w:val="22"/>
          <w:szCs w:val="22"/>
          <w:lang w:eastAsia="en-US"/>
        </w:rPr>
        <w:t>osutab</w:t>
      </w:r>
      <w:r w:rsidRPr="00B6064C">
        <w:rPr>
          <w:rFonts w:eastAsiaTheme="majorEastAsia"/>
          <w:sz w:val="22"/>
          <w:szCs w:val="22"/>
          <w:lang w:eastAsia="en-US"/>
        </w:rPr>
        <w:t xml:space="preserve"> </w:t>
      </w:r>
      <w:proofErr w:type="spellStart"/>
      <w:r>
        <w:rPr>
          <w:rFonts w:eastAsiaTheme="majorEastAsia"/>
          <w:sz w:val="22"/>
          <w:szCs w:val="22"/>
          <w:lang w:eastAsia="en-US"/>
        </w:rPr>
        <w:t>krüptovara</w:t>
      </w:r>
      <w:r w:rsidRPr="00B6064C">
        <w:rPr>
          <w:rFonts w:eastAsiaTheme="majorEastAsia"/>
          <w:sz w:val="22"/>
          <w:szCs w:val="22"/>
          <w:lang w:eastAsia="en-US"/>
        </w:rPr>
        <w:t>teenust</w:t>
      </w:r>
      <w:proofErr w:type="spellEnd"/>
      <w:r>
        <w:rPr>
          <w:rFonts w:eastAsiaTheme="majorEastAsia"/>
          <w:sz w:val="22"/>
          <w:szCs w:val="22"/>
          <w:lang w:eastAsia="en-US"/>
        </w:rPr>
        <w:t xml:space="preserve"> või </w:t>
      </w:r>
      <w:proofErr w:type="spellStart"/>
      <w:r>
        <w:rPr>
          <w:rFonts w:eastAsiaTheme="majorEastAsia"/>
          <w:sz w:val="22"/>
          <w:szCs w:val="22"/>
          <w:lang w:eastAsia="en-US"/>
        </w:rPr>
        <w:t>ühisrahastusteenust</w:t>
      </w:r>
      <w:proofErr w:type="spellEnd"/>
      <w:r w:rsidRPr="00B6064C">
        <w:rPr>
          <w:rFonts w:eastAsiaTheme="majorEastAsia"/>
          <w:sz w:val="22"/>
          <w:szCs w:val="22"/>
          <w:lang w:eastAsia="en-US"/>
        </w:rPr>
        <w:t>, ei pea selleks taotlema eraldi tegevusluba</w:t>
      </w:r>
      <w:r>
        <w:rPr>
          <w:rFonts w:eastAsiaTheme="majorEastAsia"/>
          <w:sz w:val="22"/>
          <w:szCs w:val="22"/>
          <w:lang w:eastAsia="en-US"/>
        </w:rPr>
        <w:t>,</w:t>
      </w:r>
      <w:r w:rsidRPr="00B6064C">
        <w:rPr>
          <w:rFonts w:eastAsiaTheme="majorEastAsia"/>
          <w:sz w:val="22"/>
          <w:szCs w:val="22"/>
          <w:lang w:eastAsia="en-US"/>
        </w:rPr>
        <w:t xml:space="preserve"> vaid ta saab neid teenuseid pakkuda olemasoleva investeerimisühingu tegevusloa raames juhul, kui ta täidab käesoleva seaduse </w:t>
      </w:r>
      <w:r w:rsidRPr="00D12EEC">
        <w:rPr>
          <w:rFonts w:eastAsiaTheme="majorEastAsia"/>
          <w:sz w:val="22"/>
          <w:szCs w:val="22"/>
          <w:lang w:eastAsia="en-US"/>
        </w:rPr>
        <w:t xml:space="preserve">peatükkides </w:t>
      </w:r>
      <w:r w:rsidRPr="00D12EEC">
        <w:rPr>
          <w:sz w:val="22"/>
          <w:szCs w:val="22"/>
        </w:rPr>
        <w:t>3., 5. (välja arvatud §-s 38), 6., 7., 11., ja 12.</w:t>
      </w:r>
      <w:r w:rsidRPr="00D12EEC">
        <w:rPr>
          <w:rFonts w:eastAsiaTheme="majorEastAsia"/>
          <w:sz w:val="22"/>
          <w:szCs w:val="22"/>
          <w:lang w:eastAsia="en-US"/>
        </w:rPr>
        <w:t xml:space="preserve"> sätestatud nõudeid. Sarnane lähenemine on ka kredii</w:t>
      </w:r>
      <w:r w:rsidRPr="00B6064C">
        <w:rPr>
          <w:rFonts w:eastAsiaTheme="majorEastAsia"/>
          <w:sz w:val="22"/>
          <w:szCs w:val="22"/>
          <w:lang w:eastAsia="en-US"/>
        </w:rPr>
        <w:t xml:space="preserve">diasutuste </w:t>
      </w:r>
      <w:r>
        <w:rPr>
          <w:rFonts w:eastAsiaTheme="majorEastAsia"/>
          <w:sz w:val="22"/>
          <w:szCs w:val="22"/>
          <w:lang w:eastAsia="en-US"/>
        </w:rPr>
        <w:t xml:space="preserve">ja makseasutuste ning e-raha asutuste </w:t>
      </w:r>
      <w:r w:rsidRPr="00B6064C">
        <w:rPr>
          <w:rFonts w:eastAsiaTheme="majorEastAsia"/>
          <w:sz w:val="22"/>
          <w:szCs w:val="22"/>
          <w:lang w:eastAsia="en-US"/>
        </w:rPr>
        <w:t>puhul (vt § 1</w:t>
      </w:r>
      <w:r>
        <w:rPr>
          <w:rFonts w:eastAsiaTheme="majorEastAsia"/>
          <w:sz w:val="22"/>
          <w:szCs w:val="22"/>
          <w:lang w:eastAsia="en-US"/>
        </w:rPr>
        <w:t>2</w:t>
      </w:r>
      <w:r w:rsidRPr="00B6064C">
        <w:rPr>
          <w:rFonts w:eastAsiaTheme="majorEastAsia"/>
          <w:sz w:val="22"/>
          <w:szCs w:val="22"/>
          <w:lang w:eastAsia="en-US"/>
        </w:rPr>
        <w:t>4</w:t>
      </w:r>
      <w:r>
        <w:rPr>
          <w:rFonts w:eastAsiaTheme="majorEastAsia"/>
          <w:sz w:val="22"/>
          <w:szCs w:val="22"/>
          <w:lang w:eastAsia="en-US"/>
        </w:rPr>
        <w:t xml:space="preserve"> </w:t>
      </w:r>
      <w:r w:rsidRPr="00660621">
        <w:rPr>
          <w:rFonts w:eastAsiaTheme="majorEastAsia"/>
          <w:sz w:val="22"/>
          <w:szCs w:val="22"/>
          <w:lang w:eastAsia="en-US"/>
        </w:rPr>
        <w:t>ja § 1</w:t>
      </w:r>
      <w:r>
        <w:rPr>
          <w:rFonts w:eastAsiaTheme="majorEastAsia"/>
          <w:sz w:val="22"/>
          <w:szCs w:val="22"/>
          <w:lang w:eastAsia="en-US"/>
        </w:rPr>
        <w:t>26</w:t>
      </w:r>
      <w:r w:rsidRPr="00660621">
        <w:rPr>
          <w:rFonts w:eastAsiaTheme="majorEastAsia"/>
          <w:sz w:val="22"/>
          <w:szCs w:val="22"/>
          <w:lang w:eastAsia="en-US"/>
        </w:rPr>
        <w:t xml:space="preserve"> ülal).</w:t>
      </w:r>
    </w:p>
    <w:p w14:paraId="2C1D1D67" w14:textId="77777777" w:rsidR="003057ED" w:rsidRDefault="003057ED" w:rsidP="003057ED">
      <w:pPr>
        <w:spacing w:before="0"/>
        <w:rPr>
          <w:rFonts w:eastAsiaTheme="majorEastAsia"/>
          <w:sz w:val="22"/>
          <w:szCs w:val="22"/>
          <w:lang w:eastAsia="en-US"/>
        </w:rPr>
      </w:pPr>
    </w:p>
    <w:p w14:paraId="73FDB46F" w14:textId="77777777" w:rsidR="003057ED" w:rsidRPr="0036780E" w:rsidRDefault="003057ED" w:rsidP="003057ED">
      <w:pPr>
        <w:spacing w:before="0"/>
        <w:rPr>
          <w:rFonts w:eastAsiaTheme="minorHAnsi"/>
          <w:sz w:val="22"/>
          <w:szCs w:val="22"/>
          <w:lang w:eastAsia="en-US"/>
        </w:rPr>
      </w:pPr>
      <w:r w:rsidRPr="003329CD">
        <w:rPr>
          <w:rFonts w:eastAsiaTheme="minorHAnsi"/>
          <w:b/>
          <w:bCs/>
          <w:sz w:val="22"/>
          <w:szCs w:val="22"/>
          <w:lang w:eastAsia="en-US"/>
        </w:rPr>
        <w:t xml:space="preserve">Punkti 3 </w:t>
      </w:r>
      <w:r w:rsidRPr="003329CD">
        <w:rPr>
          <w:rFonts w:eastAsiaTheme="minorHAnsi"/>
          <w:sz w:val="22"/>
          <w:szCs w:val="22"/>
          <w:lang w:eastAsia="en-US"/>
        </w:rPr>
        <w:t>muudatuse</w:t>
      </w:r>
      <w:r w:rsidRPr="003329CD">
        <w:rPr>
          <w:rFonts w:eastAsiaTheme="minorHAnsi"/>
          <w:b/>
          <w:bCs/>
          <w:sz w:val="22"/>
          <w:szCs w:val="22"/>
          <w:lang w:eastAsia="en-US"/>
        </w:rPr>
        <w:t xml:space="preserve"> </w:t>
      </w:r>
      <w:r w:rsidRPr="003329CD">
        <w:rPr>
          <w:rFonts w:eastAsiaTheme="minorHAnsi"/>
          <w:sz w:val="22"/>
          <w:szCs w:val="22"/>
          <w:lang w:eastAsia="en-US"/>
        </w:rPr>
        <w:t xml:space="preserve">eesmärk on </w:t>
      </w:r>
      <w:r>
        <w:rPr>
          <w:rFonts w:eastAsiaTheme="minorHAnsi"/>
          <w:sz w:val="22"/>
          <w:szCs w:val="22"/>
          <w:lang w:eastAsia="en-US"/>
        </w:rPr>
        <w:t>tagada</w:t>
      </w:r>
      <w:r w:rsidRPr="003329CD">
        <w:rPr>
          <w:rFonts w:eastAsiaTheme="minorHAnsi"/>
          <w:sz w:val="22"/>
          <w:szCs w:val="22"/>
          <w:lang w:eastAsia="en-US"/>
        </w:rPr>
        <w:t xml:space="preserve">, et </w:t>
      </w:r>
      <w:proofErr w:type="spellStart"/>
      <w:r w:rsidRPr="003329CD">
        <w:rPr>
          <w:rFonts w:eastAsiaTheme="minorHAnsi"/>
          <w:sz w:val="22"/>
          <w:szCs w:val="22"/>
          <w:lang w:eastAsia="en-US"/>
        </w:rPr>
        <w:t>VpTS</w:t>
      </w:r>
      <w:proofErr w:type="spellEnd"/>
      <w:r w:rsidRPr="003329CD">
        <w:rPr>
          <w:rFonts w:eastAsiaTheme="minorHAnsi"/>
          <w:sz w:val="22"/>
          <w:szCs w:val="22"/>
          <w:lang w:eastAsia="en-US"/>
        </w:rPr>
        <w:t xml:space="preserve"> </w:t>
      </w:r>
      <w:r w:rsidRPr="003329CD">
        <w:rPr>
          <w:color w:val="202020"/>
          <w:sz w:val="22"/>
          <w:szCs w:val="22"/>
          <w:shd w:val="clear" w:color="auto" w:fill="FFFFFF"/>
        </w:rPr>
        <w:t xml:space="preserve">III osa (investeerimisühing) ei kohaldata EL </w:t>
      </w:r>
      <w:proofErr w:type="spellStart"/>
      <w:r w:rsidRPr="003329CD">
        <w:rPr>
          <w:color w:val="202020"/>
          <w:sz w:val="22"/>
          <w:szCs w:val="22"/>
          <w:shd w:val="clear" w:color="auto" w:fill="FFFFFF"/>
        </w:rPr>
        <w:t>ühisrahastusmääruse</w:t>
      </w:r>
      <w:proofErr w:type="spellEnd"/>
      <w:r w:rsidRPr="003329CD">
        <w:rPr>
          <w:color w:val="202020"/>
          <w:sz w:val="22"/>
          <w:szCs w:val="22"/>
          <w:shd w:val="clear" w:color="auto" w:fill="FFFFFF"/>
        </w:rPr>
        <w:t xml:space="preserve"> artikli 2 lõike 1 punktis e nimetatud </w:t>
      </w:r>
      <w:proofErr w:type="spellStart"/>
      <w:r w:rsidRPr="003329CD">
        <w:rPr>
          <w:color w:val="202020"/>
          <w:sz w:val="22"/>
          <w:szCs w:val="22"/>
          <w:shd w:val="clear" w:color="auto" w:fill="FFFFFF"/>
        </w:rPr>
        <w:t>ühisrahastusteenuse</w:t>
      </w:r>
      <w:proofErr w:type="spellEnd"/>
      <w:r w:rsidRPr="003329CD">
        <w:rPr>
          <w:color w:val="202020"/>
          <w:sz w:val="22"/>
          <w:szCs w:val="22"/>
          <w:shd w:val="clear" w:color="auto" w:fill="FFFFFF"/>
        </w:rPr>
        <w:t xml:space="preserve"> osutajate suhtes</w:t>
      </w:r>
      <w:r>
        <w:rPr>
          <w:rFonts w:ascii="Arial" w:hAnsi="Arial" w:cs="Arial"/>
          <w:color w:val="202020"/>
          <w:sz w:val="21"/>
          <w:szCs w:val="21"/>
          <w:shd w:val="clear" w:color="auto" w:fill="FFFFFF"/>
        </w:rPr>
        <w:t>.</w:t>
      </w:r>
    </w:p>
    <w:p w14:paraId="66FFF31E" w14:textId="77777777" w:rsidR="003057ED" w:rsidRPr="00B6064C" w:rsidRDefault="003057ED" w:rsidP="003057ED">
      <w:pPr>
        <w:spacing w:before="0"/>
        <w:rPr>
          <w:rFonts w:eastAsiaTheme="minorHAnsi"/>
          <w:sz w:val="22"/>
          <w:szCs w:val="22"/>
          <w:lang w:eastAsia="en-US"/>
        </w:rPr>
      </w:pPr>
    </w:p>
    <w:p w14:paraId="041EBC37" w14:textId="371EE25B" w:rsidR="003057ED" w:rsidRDefault="003057ED" w:rsidP="003057ED">
      <w:pPr>
        <w:spacing w:before="0"/>
        <w:rPr>
          <w:sz w:val="22"/>
          <w:szCs w:val="22"/>
        </w:rPr>
      </w:pPr>
      <w:r w:rsidRPr="00B6064C">
        <w:rPr>
          <w:rFonts w:eastAsiaTheme="minorHAnsi"/>
          <w:b/>
          <w:bCs/>
          <w:sz w:val="22"/>
          <w:szCs w:val="22"/>
          <w:lang w:eastAsia="en-US"/>
        </w:rPr>
        <w:t>Paragrahvis 1</w:t>
      </w:r>
      <w:r>
        <w:rPr>
          <w:rFonts w:eastAsiaTheme="minorHAnsi"/>
          <w:b/>
          <w:bCs/>
          <w:sz w:val="22"/>
          <w:szCs w:val="22"/>
          <w:lang w:eastAsia="en-US"/>
        </w:rPr>
        <w:t>32</w:t>
      </w:r>
      <w:r w:rsidRPr="00B6064C">
        <w:rPr>
          <w:rFonts w:eastAsiaTheme="minorHAnsi"/>
          <w:b/>
          <w:bCs/>
          <w:sz w:val="22"/>
          <w:szCs w:val="22"/>
          <w:lang w:eastAsia="en-US"/>
        </w:rPr>
        <w:t xml:space="preserve"> </w:t>
      </w:r>
      <w:r w:rsidRPr="00B6064C">
        <w:rPr>
          <w:rFonts w:eastAsiaTheme="minorHAnsi"/>
          <w:bCs/>
          <w:sz w:val="22"/>
          <w:szCs w:val="22"/>
          <w:lang w:eastAsia="en-US"/>
        </w:rPr>
        <w:t>on sätestatud seaduse jõustumise a</w:t>
      </w:r>
      <w:r>
        <w:rPr>
          <w:rFonts w:eastAsiaTheme="minorHAnsi"/>
          <w:bCs/>
          <w:sz w:val="22"/>
          <w:szCs w:val="22"/>
          <w:lang w:eastAsia="en-US"/>
        </w:rPr>
        <w:t>jaks 2023. aasta 1. juuli</w:t>
      </w:r>
      <w:r w:rsidRPr="00B6064C">
        <w:rPr>
          <w:rFonts w:eastAsiaTheme="minorHAnsi"/>
          <w:bCs/>
          <w:sz w:val="22"/>
          <w:szCs w:val="22"/>
          <w:lang w:eastAsia="en-US"/>
        </w:rPr>
        <w:t xml:space="preserve">. </w:t>
      </w:r>
      <w:r>
        <w:rPr>
          <w:rFonts w:eastAsiaTheme="minorHAnsi"/>
          <w:bCs/>
          <w:sz w:val="22"/>
          <w:szCs w:val="22"/>
          <w:lang w:eastAsia="en-US"/>
        </w:rPr>
        <w:t>Eelnõu koostajate hinnangul on vajalik seada täiendav üleminekuperiood nii</w:t>
      </w:r>
      <w:r>
        <w:rPr>
          <w:sz w:val="22"/>
          <w:szCs w:val="22"/>
        </w:rPr>
        <w:t xml:space="preserve"> Finantsinspektsiooni jaoks, et </w:t>
      </w:r>
      <w:r w:rsidRPr="00D55A5B">
        <w:rPr>
          <w:sz w:val="22"/>
          <w:szCs w:val="22"/>
        </w:rPr>
        <w:t>Finantsinspektsioonil oleks aega end ette valmistada täiendavate tegevuslubade taotlemiseks</w:t>
      </w:r>
      <w:r>
        <w:rPr>
          <w:sz w:val="22"/>
          <w:szCs w:val="22"/>
        </w:rPr>
        <w:t xml:space="preserve"> (vt ka § 120 lg 2) ning vajadusel kaasata täiendavaid ressursse, sh personali tegevusloa taotluste menetlemiseks, kui ka turuosaliste jaoks, kellel on vaja täiendavat aega enda tegevuse viimiseks kooskõlla seaduse nõuetega, sh taotleda asjaomast tegevusluba Finantsinspektsioonilt.</w:t>
      </w:r>
    </w:p>
    <w:p w14:paraId="36DE98D9" w14:textId="77777777" w:rsidR="00D041BD" w:rsidRDefault="00D041BD" w:rsidP="003057ED">
      <w:pPr>
        <w:spacing w:before="0"/>
        <w:rPr>
          <w:rFonts w:eastAsiaTheme="minorHAnsi"/>
          <w:bCs/>
          <w:sz w:val="22"/>
          <w:szCs w:val="22"/>
          <w:lang w:eastAsia="en-US"/>
        </w:rPr>
      </w:pPr>
    </w:p>
    <w:p w14:paraId="6ECE2A98" w14:textId="7C033618" w:rsidR="008C3E70" w:rsidRPr="005D02CF" w:rsidRDefault="00B9578A" w:rsidP="005D02CF">
      <w:pPr>
        <w:pStyle w:val="Heading1"/>
        <w:numPr>
          <w:ilvl w:val="0"/>
          <w:numId w:val="9"/>
        </w:numPr>
        <w:rPr>
          <w:sz w:val="22"/>
          <w:szCs w:val="22"/>
          <w:lang w:val="et-EE"/>
        </w:rPr>
      </w:pPr>
      <w:bookmarkStart w:id="11" w:name="_Toc44492949"/>
      <w:bookmarkStart w:id="12" w:name="_Toc44492950"/>
      <w:bookmarkStart w:id="13" w:name="_Toc44492952"/>
      <w:bookmarkStart w:id="14" w:name="_Toc44492953"/>
      <w:bookmarkStart w:id="15" w:name="_Toc44492957"/>
      <w:bookmarkStart w:id="16" w:name="_Toc44492959"/>
      <w:bookmarkStart w:id="17" w:name="_Toc44492964"/>
      <w:bookmarkStart w:id="18" w:name="_Toc44492965"/>
      <w:bookmarkStart w:id="19" w:name="_Toc44492967"/>
      <w:bookmarkStart w:id="20" w:name="_Toc44493012"/>
      <w:bookmarkStart w:id="21" w:name="_Toc44493013"/>
      <w:bookmarkStart w:id="22" w:name="_Toc44493014"/>
      <w:bookmarkStart w:id="23" w:name="_Toc44493026"/>
      <w:bookmarkStart w:id="24" w:name="_Toc44493027"/>
      <w:bookmarkStart w:id="25" w:name="_Toc44493028"/>
      <w:bookmarkStart w:id="26" w:name="_Toc44493029"/>
      <w:bookmarkStart w:id="27" w:name="_Toc44493030"/>
      <w:bookmarkStart w:id="28" w:name="_Toc44493031"/>
      <w:bookmarkStart w:id="29" w:name="_Toc44493032"/>
      <w:bookmarkStart w:id="30" w:name="_Toc44493039"/>
      <w:bookmarkStart w:id="31" w:name="_Toc44493040"/>
      <w:bookmarkStart w:id="32" w:name="_Toc44493041"/>
      <w:bookmarkStart w:id="33" w:name="_Toc44493043"/>
      <w:bookmarkStart w:id="34" w:name="_Toc44493044"/>
      <w:bookmarkStart w:id="35" w:name="_Toc44493045"/>
      <w:bookmarkStart w:id="36" w:name="_Toc44493048"/>
      <w:bookmarkStart w:id="37" w:name="_Toc44493049"/>
      <w:bookmarkStart w:id="38" w:name="_Toc44493050"/>
      <w:bookmarkStart w:id="39" w:name="_Toc44493051"/>
      <w:bookmarkStart w:id="40" w:name="_Toc44493052"/>
      <w:bookmarkStart w:id="41" w:name="_Toc5557774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D02CF">
        <w:rPr>
          <w:sz w:val="22"/>
          <w:szCs w:val="22"/>
          <w:lang w:val="et-EE"/>
        </w:rPr>
        <w:t>Eelnõu terminoloogia</w:t>
      </w:r>
      <w:bookmarkEnd w:id="41"/>
    </w:p>
    <w:p w14:paraId="764508AB" w14:textId="77777777" w:rsidR="008C3E70" w:rsidRPr="005D02CF" w:rsidRDefault="008C3E70" w:rsidP="005D02CF">
      <w:pPr>
        <w:pStyle w:val="Heading1"/>
        <w:numPr>
          <w:ilvl w:val="0"/>
          <w:numId w:val="0"/>
        </w:numPr>
        <w:ind w:left="420"/>
        <w:rPr>
          <w:sz w:val="22"/>
          <w:szCs w:val="22"/>
          <w:lang w:val="et-EE"/>
        </w:rPr>
      </w:pPr>
    </w:p>
    <w:p w14:paraId="0C5463E4" w14:textId="7D46D618" w:rsidR="002F2604" w:rsidRPr="005D02CF" w:rsidRDefault="002F2604" w:rsidP="005D02CF">
      <w:pPr>
        <w:pStyle w:val="Heading1"/>
        <w:numPr>
          <w:ilvl w:val="0"/>
          <w:numId w:val="0"/>
        </w:numPr>
        <w:ind w:left="420" w:hanging="420"/>
        <w:rPr>
          <w:sz w:val="22"/>
          <w:szCs w:val="22"/>
          <w:lang w:val="et-EE"/>
        </w:rPr>
      </w:pPr>
      <w:r w:rsidRPr="005D02CF">
        <w:rPr>
          <w:sz w:val="22"/>
          <w:szCs w:val="22"/>
          <w:lang w:val="et-EE"/>
        </w:rPr>
        <w:t>Eelnõus kasutavad peamised uued terminid</w:t>
      </w:r>
    </w:p>
    <w:p w14:paraId="1C88E9FD" w14:textId="77777777" w:rsidR="002F2604" w:rsidRDefault="002F2604" w:rsidP="00D375E5">
      <w:pPr>
        <w:spacing w:before="0"/>
        <w:rPr>
          <w:rFonts w:eastAsiaTheme="majorEastAsia"/>
          <w:b/>
          <w:bCs/>
          <w:color w:val="002060"/>
          <w:sz w:val="22"/>
          <w:szCs w:val="22"/>
        </w:rPr>
      </w:pPr>
    </w:p>
    <w:tbl>
      <w:tblPr>
        <w:tblStyle w:val="PlainTable1"/>
        <w:tblW w:w="9067" w:type="dxa"/>
        <w:tblLook w:val="04A0" w:firstRow="1" w:lastRow="0" w:firstColumn="1" w:lastColumn="0" w:noHBand="0" w:noVBand="1"/>
      </w:tblPr>
      <w:tblGrid>
        <w:gridCol w:w="3114"/>
        <w:gridCol w:w="5953"/>
      </w:tblGrid>
      <w:tr w:rsidR="002F2604" w:rsidRPr="00BD377C" w14:paraId="510ECE16" w14:textId="77777777" w:rsidTr="009954F7">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114" w:type="dxa"/>
          </w:tcPr>
          <w:p w14:paraId="4B853F50" w14:textId="77777777" w:rsidR="002F2604" w:rsidRPr="00BD377C" w:rsidRDefault="002F2604" w:rsidP="00D375E5">
            <w:pPr>
              <w:spacing w:before="0"/>
              <w:jc w:val="center"/>
              <w:rPr>
                <w:rFonts w:eastAsiaTheme="minorHAnsi"/>
                <w:sz w:val="18"/>
                <w:szCs w:val="18"/>
                <w:lang w:eastAsia="en-US"/>
              </w:rPr>
            </w:pPr>
            <w:r w:rsidRPr="00BD377C">
              <w:rPr>
                <w:rFonts w:eastAsiaTheme="minorHAnsi"/>
                <w:sz w:val="18"/>
                <w:szCs w:val="18"/>
                <w:lang w:eastAsia="en-US"/>
              </w:rPr>
              <w:t>Termin</w:t>
            </w:r>
          </w:p>
        </w:tc>
        <w:tc>
          <w:tcPr>
            <w:tcW w:w="5953" w:type="dxa"/>
          </w:tcPr>
          <w:p w14:paraId="51DAC6F0" w14:textId="77777777" w:rsidR="002F2604" w:rsidRPr="00BD377C" w:rsidRDefault="002F2604" w:rsidP="00D375E5">
            <w:pPr>
              <w:spacing w:before="0"/>
              <w:jc w:val="center"/>
              <w:cnfStyle w:val="100000000000" w:firstRow="1" w:lastRow="0" w:firstColumn="0" w:lastColumn="0" w:oddVBand="0" w:evenVBand="0" w:oddHBand="0" w:evenHBand="0" w:firstRowFirstColumn="0" w:firstRowLastColumn="0" w:lastRowFirstColumn="0" w:lastRowLastColumn="0"/>
              <w:rPr>
                <w:rFonts w:eastAsiaTheme="minorHAnsi"/>
                <w:sz w:val="18"/>
                <w:szCs w:val="18"/>
                <w:lang w:eastAsia="en-US"/>
              </w:rPr>
            </w:pPr>
            <w:r w:rsidRPr="00BD377C">
              <w:rPr>
                <w:rFonts w:eastAsiaTheme="minorHAnsi"/>
                <w:sz w:val="18"/>
                <w:szCs w:val="18"/>
                <w:lang w:eastAsia="en-US"/>
              </w:rPr>
              <w:t>Sisu</w:t>
            </w:r>
            <w:r>
              <w:rPr>
                <w:rFonts w:eastAsiaTheme="minorHAnsi"/>
                <w:sz w:val="18"/>
                <w:szCs w:val="18"/>
                <w:lang w:eastAsia="en-US"/>
              </w:rPr>
              <w:t xml:space="preserve"> (lihtsustatult)</w:t>
            </w:r>
          </w:p>
        </w:tc>
      </w:tr>
      <w:tr w:rsidR="002F2604" w:rsidRPr="00BD377C" w14:paraId="4E64677E" w14:textId="77777777" w:rsidTr="009954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14" w:type="dxa"/>
          </w:tcPr>
          <w:p w14:paraId="40050738" w14:textId="17812D63" w:rsidR="002F2604" w:rsidRPr="002F2604" w:rsidRDefault="002F2604" w:rsidP="00D375E5">
            <w:pPr>
              <w:spacing w:before="0"/>
              <w:rPr>
                <w:rFonts w:eastAsiaTheme="minorHAnsi"/>
                <w:sz w:val="18"/>
                <w:szCs w:val="18"/>
                <w:lang w:eastAsia="en-US"/>
              </w:rPr>
            </w:pPr>
            <w:r w:rsidRPr="002F2604">
              <w:rPr>
                <w:rFonts w:eastAsiaTheme="minorHAnsi"/>
                <w:sz w:val="18"/>
                <w:szCs w:val="18"/>
                <w:lang w:eastAsia="en-US"/>
              </w:rPr>
              <w:t>Investeerimis</w:t>
            </w:r>
            <w:r w:rsidR="00961C5B">
              <w:rPr>
                <w:rFonts w:eastAsiaTheme="minorHAnsi"/>
                <w:sz w:val="18"/>
                <w:szCs w:val="18"/>
                <w:lang w:eastAsia="en-US"/>
              </w:rPr>
              <w:t>projekt</w:t>
            </w:r>
          </w:p>
        </w:tc>
        <w:tc>
          <w:tcPr>
            <w:tcW w:w="5953" w:type="dxa"/>
          </w:tcPr>
          <w:p w14:paraId="1BF2D865" w14:textId="51B6F21A" w:rsidR="002F2604" w:rsidRPr="00BD377C" w:rsidRDefault="002F2604" w:rsidP="00D375E5">
            <w:pPr>
              <w:spacing w:before="0"/>
              <w:cnfStyle w:val="000000100000" w:firstRow="0" w:lastRow="0" w:firstColumn="0" w:lastColumn="0" w:oddVBand="0" w:evenVBand="0" w:oddHBand="1" w:evenHBand="0" w:firstRowFirstColumn="0" w:firstRowLastColumn="0" w:lastRowFirstColumn="0" w:lastRowLastColumn="0"/>
              <w:rPr>
                <w:rFonts w:eastAsiaTheme="minorHAnsi"/>
                <w:sz w:val="18"/>
                <w:szCs w:val="18"/>
                <w:lang w:eastAsia="en-US"/>
              </w:rPr>
            </w:pPr>
            <w:r>
              <w:rPr>
                <w:rFonts w:eastAsiaTheme="minorHAnsi"/>
                <w:sz w:val="18"/>
                <w:szCs w:val="18"/>
                <w:lang w:eastAsia="en-US"/>
              </w:rPr>
              <w:t xml:space="preserve">Investeerimisriski sisaldav </w:t>
            </w:r>
            <w:r w:rsidR="00961C5B">
              <w:rPr>
                <w:rFonts w:eastAsiaTheme="minorHAnsi"/>
                <w:sz w:val="18"/>
                <w:szCs w:val="18"/>
                <w:lang w:eastAsia="en-US"/>
              </w:rPr>
              <w:t xml:space="preserve">rahastuse taotleja tegevuste kavand või kirjeldus, mida rahastuse taotleja soovib rahastada vastava vara pakkumise kaudu. Mõiste sisaldab endas nii </w:t>
            </w:r>
            <w:proofErr w:type="spellStart"/>
            <w:r w:rsidR="00961C5B">
              <w:rPr>
                <w:rFonts w:eastAsiaTheme="minorHAnsi"/>
                <w:sz w:val="18"/>
                <w:szCs w:val="18"/>
                <w:lang w:eastAsia="en-US"/>
              </w:rPr>
              <w:t>ühisrahastusprojekti</w:t>
            </w:r>
            <w:proofErr w:type="spellEnd"/>
            <w:r w:rsidR="00961C5B">
              <w:rPr>
                <w:rFonts w:eastAsiaTheme="minorHAnsi"/>
                <w:sz w:val="18"/>
                <w:szCs w:val="18"/>
                <w:lang w:eastAsia="en-US"/>
              </w:rPr>
              <w:t xml:space="preserve"> kui ka </w:t>
            </w:r>
            <w:proofErr w:type="spellStart"/>
            <w:r w:rsidR="00961C5B">
              <w:rPr>
                <w:rFonts w:eastAsiaTheme="minorHAnsi"/>
                <w:sz w:val="18"/>
                <w:szCs w:val="18"/>
                <w:lang w:eastAsia="en-US"/>
              </w:rPr>
              <w:t>krüptovara</w:t>
            </w:r>
            <w:proofErr w:type="spellEnd"/>
            <w:r w:rsidR="00961C5B">
              <w:rPr>
                <w:rFonts w:eastAsiaTheme="minorHAnsi"/>
                <w:sz w:val="18"/>
                <w:szCs w:val="18"/>
                <w:lang w:eastAsia="en-US"/>
              </w:rPr>
              <w:t xml:space="preserve"> pakkumist.</w:t>
            </w:r>
            <w:r w:rsidR="009F734D">
              <w:rPr>
                <w:rFonts w:eastAsiaTheme="minorHAnsi"/>
                <w:sz w:val="18"/>
                <w:szCs w:val="18"/>
                <w:lang w:eastAsia="en-US"/>
              </w:rPr>
              <w:t xml:space="preserve"> </w:t>
            </w:r>
          </w:p>
        </w:tc>
      </w:tr>
      <w:tr w:rsidR="00961C5B" w:rsidRPr="00BD377C" w14:paraId="23601D41" w14:textId="77777777" w:rsidTr="009954F7">
        <w:trPr>
          <w:trHeight w:val="278"/>
        </w:trPr>
        <w:tc>
          <w:tcPr>
            <w:cnfStyle w:val="001000000000" w:firstRow="0" w:lastRow="0" w:firstColumn="1" w:lastColumn="0" w:oddVBand="0" w:evenVBand="0" w:oddHBand="0" w:evenHBand="0" w:firstRowFirstColumn="0" w:firstRowLastColumn="0" w:lastRowFirstColumn="0" w:lastRowLastColumn="0"/>
            <w:tcW w:w="3114" w:type="dxa"/>
          </w:tcPr>
          <w:p w14:paraId="1AF9F845" w14:textId="1342009A" w:rsidR="00961C5B" w:rsidRPr="002F2604" w:rsidRDefault="00961C5B" w:rsidP="00D375E5">
            <w:pPr>
              <w:spacing w:before="0"/>
              <w:rPr>
                <w:rFonts w:eastAsiaTheme="minorHAnsi"/>
                <w:sz w:val="18"/>
                <w:szCs w:val="18"/>
                <w:lang w:eastAsia="en-US"/>
              </w:rPr>
            </w:pPr>
            <w:proofErr w:type="spellStart"/>
            <w:r>
              <w:rPr>
                <w:rFonts w:eastAsiaTheme="minorHAnsi"/>
                <w:sz w:val="18"/>
                <w:szCs w:val="18"/>
                <w:lang w:eastAsia="en-US"/>
              </w:rPr>
              <w:t>Ühisrahastusprojekt</w:t>
            </w:r>
            <w:proofErr w:type="spellEnd"/>
          </w:p>
        </w:tc>
        <w:tc>
          <w:tcPr>
            <w:tcW w:w="5953" w:type="dxa"/>
          </w:tcPr>
          <w:p w14:paraId="02B636C7" w14:textId="084CBB48" w:rsidR="00961C5B" w:rsidRDefault="00961C5B" w:rsidP="00D375E5">
            <w:pPr>
              <w:spacing w:before="0"/>
              <w:cnfStyle w:val="000000000000" w:firstRow="0" w:lastRow="0" w:firstColumn="0" w:lastColumn="0" w:oddVBand="0" w:evenVBand="0" w:oddHBand="0" w:evenHBand="0" w:firstRowFirstColumn="0" w:firstRowLastColumn="0" w:lastRowFirstColumn="0" w:lastRowLastColumn="0"/>
              <w:rPr>
                <w:rFonts w:eastAsiaTheme="minorHAnsi"/>
                <w:sz w:val="18"/>
                <w:szCs w:val="18"/>
                <w:lang w:eastAsia="en-US"/>
              </w:rPr>
            </w:pPr>
            <w:r>
              <w:rPr>
                <w:rFonts w:eastAsiaTheme="minorHAnsi"/>
                <w:sz w:val="18"/>
                <w:szCs w:val="18"/>
                <w:lang w:eastAsia="en-US"/>
              </w:rPr>
              <w:t xml:space="preserve">Krediidilepingust tulenev nõue või väärtpaber (st väärtpaber, mis ei kuulu väärtpaberituru seaduse § 2 </w:t>
            </w:r>
            <w:proofErr w:type="spellStart"/>
            <w:r w:rsidRPr="00E7005A">
              <w:rPr>
                <w:rFonts w:eastAsiaTheme="minorHAnsi"/>
                <w:sz w:val="18"/>
                <w:szCs w:val="18"/>
                <w:lang w:eastAsia="en-US"/>
              </w:rPr>
              <w:t>kohasldamisalasse</w:t>
            </w:r>
            <w:proofErr w:type="spellEnd"/>
            <w:r w:rsidRPr="00E7005A">
              <w:rPr>
                <w:rFonts w:eastAsiaTheme="minorHAnsi"/>
                <w:sz w:val="18"/>
                <w:szCs w:val="18"/>
                <w:lang w:eastAsia="en-US"/>
              </w:rPr>
              <w:t>), mida pakutakse kliendile kapitali kaasamise raames.</w:t>
            </w:r>
            <w:r w:rsidR="00E7005A" w:rsidRPr="00DA04DA">
              <w:rPr>
                <w:rFonts w:eastAsiaTheme="minorHAnsi"/>
                <w:sz w:val="18"/>
                <w:szCs w:val="18"/>
                <w:lang w:eastAsia="en-US"/>
              </w:rPr>
              <w:t xml:space="preserve"> </w:t>
            </w:r>
            <w:r w:rsidR="00E7005A" w:rsidRPr="00E7005A">
              <w:rPr>
                <w:bCs/>
                <w:sz w:val="18"/>
                <w:szCs w:val="18"/>
              </w:rPr>
              <w:t>Sarnaselt väärtpaberituru seaduses reguleeritud väärtpaberitega peaks investeerimisprojekti puhul investeerimise eesmärk tähendama seda, et investeerimisprojekti omandamisest ja hoidmisest tuleneda võiv tulu põhineb suuresti kellegi muu isiku kui kliendi panusel rahastuse taotleja käekäigu suhtes, st klient omandab investeerimisprojekti, jäädes sellega kaasnevas õigussuhtes suuresti passiivseks rahastuse taotleja ja/või teenuseosutaja suhtes.</w:t>
            </w:r>
            <w:r w:rsidR="00E7005A">
              <w:rPr>
                <w:bCs/>
                <w:sz w:val="22"/>
                <w:szCs w:val="22"/>
              </w:rPr>
              <w:t xml:space="preserve"> </w:t>
            </w:r>
          </w:p>
        </w:tc>
      </w:tr>
      <w:tr w:rsidR="002F2604" w:rsidRPr="00BD377C" w14:paraId="07673F0E" w14:textId="77777777" w:rsidTr="009954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14" w:type="dxa"/>
          </w:tcPr>
          <w:p w14:paraId="7CE32D94" w14:textId="7CB359AF" w:rsidR="002F2604" w:rsidRPr="002F2604" w:rsidRDefault="00942EAD" w:rsidP="00D375E5">
            <w:pPr>
              <w:spacing w:before="0"/>
              <w:rPr>
                <w:rFonts w:eastAsiaTheme="minorHAnsi"/>
                <w:sz w:val="18"/>
                <w:szCs w:val="18"/>
                <w:lang w:eastAsia="en-US"/>
              </w:rPr>
            </w:pPr>
            <w:r>
              <w:rPr>
                <w:rFonts w:eastAsiaTheme="minorHAnsi"/>
                <w:sz w:val="18"/>
                <w:szCs w:val="18"/>
                <w:lang w:eastAsia="en-US"/>
              </w:rPr>
              <w:t>R</w:t>
            </w:r>
            <w:r w:rsidR="002F2604" w:rsidRPr="002F2604">
              <w:rPr>
                <w:rFonts w:eastAsiaTheme="minorHAnsi"/>
                <w:sz w:val="18"/>
                <w:szCs w:val="18"/>
                <w:lang w:eastAsia="en-US"/>
              </w:rPr>
              <w:t>ahastuse taotleja</w:t>
            </w:r>
          </w:p>
        </w:tc>
        <w:tc>
          <w:tcPr>
            <w:tcW w:w="5953" w:type="dxa"/>
          </w:tcPr>
          <w:p w14:paraId="32587AAE" w14:textId="63CE06FE" w:rsidR="002F2604" w:rsidRDefault="002F2604" w:rsidP="00D375E5">
            <w:pPr>
              <w:spacing w:before="0"/>
              <w:cnfStyle w:val="000000100000" w:firstRow="0" w:lastRow="0" w:firstColumn="0" w:lastColumn="0" w:oddVBand="0" w:evenVBand="0" w:oddHBand="1" w:evenHBand="0" w:firstRowFirstColumn="0" w:firstRowLastColumn="0" w:lastRowFirstColumn="0" w:lastRowLastColumn="0"/>
              <w:rPr>
                <w:rFonts w:eastAsiaTheme="minorHAnsi"/>
                <w:sz w:val="18"/>
                <w:szCs w:val="18"/>
                <w:lang w:eastAsia="en-US"/>
              </w:rPr>
            </w:pPr>
            <w:r>
              <w:rPr>
                <w:rFonts w:eastAsiaTheme="minorHAnsi"/>
                <w:sz w:val="18"/>
                <w:szCs w:val="18"/>
                <w:lang w:eastAsia="en-US"/>
              </w:rPr>
              <w:t xml:space="preserve">Füüsiline või juriidiline isik, kes soovib </w:t>
            </w:r>
            <w:r w:rsidR="009F734D">
              <w:rPr>
                <w:rFonts w:eastAsiaTheme="minorHAnsi"/>
                <w:sz w:val="18"/>
                <w:szCs w:val="18"/>
                <w:lang w:eastAsia="en-US"/>
              </w:rPr>
              <w:t xml:space="preserve">kaasata kapitali </w:t>
            </w:r>
            <w:r>
              <w:rPr>
                <w:rFonts w:eastAsiaTheme="minorHAnsi"/>
                <w:sz w:val="18"/>
                <w:szCs w:val="18"/>
                <w:lang w:eastAsia="en-US"/>
              </w:rPr>
              <w:t xml:space="preserve">oma investeerimisprojekti jaoks. Antud juhul on füüsilise isiku puhul tegemist tarbijaga, kes </w:t>
            </w:r>
            <w:r w:rsidR="009F734D">
              <w:rPr>
                <w:rFonts w:eastAsiaTheme="minorHAnsi"/>
                <w:sz w:val="18"/>
                <w:szCs w:val="18"/>
                <w:lang w:eastAsia="en-US"/>
              </w:rPr>
              <w:t>finantsvahendusplatvormi</w:t>
            </w:r>
            <w:r>
              <w:rPr>
                <w:rFonts w:eastAsiaTheme="minorHAnsi"/>
                <w:sz w:val="18"/>
                <w:szCs w:val="18"/>
                <w:lang w:eastAsia="en-US"/>
              </w:rPr>
              <w:t xml:space="preserve"> kaudu nö võtab krediiti.</w:t>
            </w:r>
          </w:p>
        </w:tc>
      </w:tr>
      <w:tr w:rsidR="002F2604" w:rsidRPr="00BD377C" w14:paraId="2B24A715" w14:textId="77777777" w:rsidTr="009954F7">
        <w:trPr>
          <w:trHeight w:val="278"/>
        </w:trPr>
        <w:tc>
          <w:tcPr>
            <w:cnfStyle w:val="001000000000" w:firstRow="0" w:lastRow="0" w:firstColumn="1" w:lastColumn="0" w:oddVBand="0" w:evenVBand="0" w:oddHBand="0" w:evenHBand="0" w:firstRowFirstColumn="0" w:firstRowLastColumn="0" w:lastRowFirstColumn="0" w:lastRowLastColumn="0"/>
            <w:tcW w:w="9067" w:type="dxa"/>
            <w:gridSpan w:val="2"/>
          </w:tcPr>
          <w:p w14:paraId="1EEAA766" w14:textId="77777777" w:rsidR="002F2604" w:rsidRPr="002F2604" w:rsidRDefault="002F2604" w:rsidP="00D375E5">
            <w:pPr>
              <w:spacing w:before="0"/>
              <w:rPr>
                <w:rFonts w:eastAsiaTheme="minorHAnsi"/>
                <w:sz w:val="18"/>
                <w:szCs w:val="18"/>
                <w:lang w:eastAsia="en-US"/>
              </w:rPr>
            </w:pPr>
            <w:r w:rsidRPr="002F2604">
              <w:rPr>
                <w:rFonts w:eastAsiaTheme="minorHAnsi"/>
                <w:sz w:val="18"/>
                <w:szCs w:val="18"/>
                <w:lang w:eastAsia="en-US"/>
              </w:rPr>
              <w:t>Teenuseosutaja:</w:t>
            </w:r>
          </w:p>
        </w:tc>
      </w:tr>
      <w:tr w:rsidR="002F2604" w:rsidRPr="00BD377C" w14:paraId="3214E00A" w14:textId="77777777" w:rsidTr="009954F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114" w:type="dxa"/>
          </w:tcPr>
          <w:p w14:paraId="382A9EDB" w14:textId="00EF2F00" w:rsidR="002F2604" w:rsidRPr="00BD377C" w:rsidRDefault="009F734D" w:rsidP="009F734D">
            <w:pPr>
              <w:spacing w:before="0"/>
              <w:ind w:firstLine="22"/>
              <w:rPr>
                <w:rFonts w:eastAsiaTheme="minorHAnsi"/>
                <w:b w:val="0"/>
                <w:sz w:val="18"/>
                <w:szCs w:val="18"/>
                <w:lang w:eastAsia="en-US"/>
              </w:rPr>
            </w:pPr>
            <w:proofErr w:type="spellStart"/>
            <w:r>
              <w:rPr>
                <w:rFonts w:eastAsiaTheme="minorHAnsi"/>
                <w:b w:val="0"/>
                <w:sz w:val="18"/>
                <w:szCs w:val="18"/>
                <w:lang w:eastAsia="en-US"/>
              </w:rPr>
              <w:t>Ühisrahastus</w:t>
            </w:r>
            <w:r w:rsidR="005C7572">
              <w:rPr>
                <w:rFonts w:eastAsiaTheme="minorHAnsi"/>
                <w:b w:val="0"/>
                <w:sz w:val="18"/>
                <w:szCs w:val="18"/>
                <w:lang w:eastAsia="en-US"/>
              </w:rPr>
              <w:t>teenuse</w:t>
            </w:r>
            <w:proofErr w:type="spellEnd"/>
            <w:r w:rsidR="005C7572">
              <w:rPr>
                <w:rFonts w:eastAsiaTheme="minorHAnsi"/>
                <w:b w:val="0"/>
                <w:sz w:val="18"/>
                <w:szCs w:val="18"/>
                <w:lang w:eastAsia="en-US"/>
              </w:rPr>
              <w:t xml:space="preserve"> osutaja</w:t>
            </w:r>
          </w:p>
        </w:tc>
        <w:tc>
          <w:tcPr>
            <w:tcW w:w="5953" w:type="dxa"/>
          </w:tcPr>
          <w:p w14:paraId="561D034F" w14:textId="57725D5F" w:rsidR="002F2604" w:rsidRPr="00BD377C" w:rsidRDefault="009F734D" w:rsidP="00D375E5">
            <w:pPr>
              <w:spacing w:before="0"/>
              <w:cnfStyle w:val="000000100000" w:firstRow="0" w:lastRow="0" w:firstColumn="0" w:lastColumn="0" w:oddVBand="0" w:evenVBand="0" w:oddHBand="1" w:evenHBand="0" w:firstRowFirstColumn="0" w:firstRowLastColumn="0" w:lastRowFirstColumn="0" w:lastRowLastColumn="0"/>
              <w:rPr>
                <w:rFonts w:eastAsiaTheme="minorHAnsi"/>
                <w:sz w:val="18"/>
                <w:szCs w:val="18"/>
                <w:lang w:eastAsia="en-US"/>
              </w:rPr>
            </w:pPr>
            <w:r>
              <w:rPr>
                <w:rFonts w:eastAsiaTheme="minorHAnsi"/>
                <w:sz w:val="18"/>
                <w:szCs w:val="18"/>
                <w:lang w:eastAsia="en-US"/>
              </w:rPr>
              <w:t>Juriidiline i</w:t>
            </w:r>
            <w:r w:rsidR="002F2604">
              <w:rPr>
                <w:rFonts w:eastAsiaTheme="minorHAnsi"/>
                <w:sz w:val="18"/>
                <w:szCs w:val="18"/>
                <w:lang w:eastAsia="en-US"/>
              </w:rPr>
              <w:t xml:space="preserve">sik, kes vahendab läbi finantsvahendusplatvormi või muul viisil </w:t>
            </w:r>
            <w:proofErr w:type="spellStart"/>
            <w:r>
              <w:rPr>
                <w:rFonts w:eastAsiaTheme="minorHAnsi"/>
                <w:sz w:val="18"/>
                <w:szCs w:val="18"/>
                <w:lang w:eastAsia="en-US"/>
              </w:rPr>
              <w:t>ühisrahastusprojekti</w:t>
            </w:r>
            <w:proofErr w:type="spellEnd"/>
            <w:r w:rsidR="002F2604">
              <w:rPr>
                <w:rFonts w:eastAsiaTheme="minorHAnsi"/>
                <w:sz w:val="18"/>
                <w:szCs w:val="18"/>
                <w:lang w:eastAsia="en-US"/>
              </w:rPr>
              <w:t xml:space="preserve">. </w:t>
            </w:r>
            <w:proofErr w:type="spellStart"/>
            <w:r>
              <w:rPr>
                <w:rFonts w:eastAsiaTheme="minorHAnsi"/>
                <w:sz w:val="18"/>
                <w:szCs w:val="18"/>
                <w:lang w:eastAsia="en-US"/>
              </w:rPr>
              <w:t>Ühisrahastusteenuse</w:t>
            </w:r>
            <w:proofErr w:type="spellEnd"/>
            <w:r w:rsidR="005C7572">
              <w:rPr>
                <w:rFonts w:eastAsiaTheme="minorHAnsi"/>
                <w:sz w:val="18"/>
                <w:szCs w:val="18"/>
                <w:lang w:eastAsia="en-US"/>
              </w:rPr>
              <w:t xml:space="preserve"> osutaja</w:t>
            </w:r>
            <w:r w:rsidR="002F2604">
              <w:rPr>
                <w:rFonts w:eastAsiaTheme="minorHAnsi"/>
                <w:sz w:val="18"/>
                <w:szCs w:val="18"/>
                <w:lang w:eastAsia="en-US"/>
              </w:rPr>
              <w:t xml:space="preserve"> võib samal ajal olla ise ka </w:t>
            </w:r>
            <w:r w:rsidR="00942EAD">
              <w:rPr>
                <w:rFonts w:eastAsiaTheme="minorHAnsi"/>
                <w:sz w:val="18"/>
                <w:szCs w:val="18"/>
                <w:lang w:eastAsia="en-US"/>
              </w:rPr>
              <w:t>rahastuse taotleja</w:t>
            </w:r>
            <w:r w:rsidR="002F2604">
              <w:rPr>
                <w:rFonts w:eastAsiaTheme="minorHAnsi"/>
                <w:sz w:val="18"/>
                <w:szCs w:val="18"/>
                <w:lang w:eastAsia="en-US"/>
              </w:rPr>
              <w:t>.</w:t>
            </w:r>
          </w:p>
        </w:tc>
      </w:tr>
      <w:tr w:rsidR="002F2604" w:rsidRPr="00BD377C" w14:paraId="31B1639A" w14:textId="77777777" w:rsidTr="009954F7">
        <w:trPr>
          <w:trHeight w:val="265"/>
        </w:trPr>
        <w:tc>
          <w:tcPr>
            <w:cnfStyle w:val="001000000000" w:firstRow="0" w:lastRow="0" w:firstColumn="1" w:lastColumn="0" w:oddVBand="0" w:evenVBand="0" w:oddHBand="0" w:evenHBand="0" w:firstRowFirstColumn="0" w:firstRowLastColumn="0" w:lastRowFirstColumn="0" w:lastRowLastColumn="0"/>
            <w:tcW w:w="3114" w:type="dxa"/>
          </w:tcPr>
          <w:p w14:paraId="65E3C083" w14:textId="7672C78B" w:rsidR="002F2604" w:rsidRPr="00497D10" w:rsidRDefault="009F734D" w:rsidP="009F734D">
            <w:pPr>
              <w:spacing w:before="0"/>
              <w:ind w:firstLine="22"/>
              <w:rPr>
                <w:rFonts w:eastAsiaTheme="minorHAnsi"/>
                <w:b w:val="0"/>
                <w:sz w:val="18"/>
                <w:szCs w:val="18"/>
                <w:lang w:eastAsia="en-US"/>
              </w:rPr>
            </w:pPr>
            <w:proofErr w:type="spellStart"/>
            <w:r>
              <w:rPr>
                <w:rFonts w:eastAsiaTheme="minorHAnsi"/>
                <w:b w:val="0"/>
                <w:sz w:val="18"/>
                <w:szCs w:val="18"/>
                <w:lang w:eastAsia="en-US"/>
              </w:rPr>
              <w:t>Krüptovara</w:t>
            </w:r>
            <w:r w:rsidR="002F2604" w:rsidRPr="00497D10">
              <w:rPr>
                <w:rFonts w:eastAsiaTheme="minorHAnsi"/>
                <w:b w:val="0"/>
                <w:sz w:val="18"/>
                <w:szCs w:val="18"/>
                <w:lang w:eastAsia="en-US"/>
              </w:rPr>
              <w:t>teenuse</w:t>
            </w:r>
            <w:proofErr w:type="spellEnd"/>
            <w:r w:rsidR="002F2604" w:rsidRPr="00497D10">
              <w:rPr>
                <w:rFonts w:eastAsiaTheme="minorHAnsi"/>
                <w:b w:val="0"/>
                <w:sz w:val="18"/>
                <w:szCs w:val="18"/>
                <w:lang w:eastAsia="en-US"/>
              </w:rPr>
              <w:t xml:space="preserve"> osutaja</w:t>
            </w:r>
          </w:p>
        </w:tc>
        <w:tc>
          <w:tcPr>
            <w:tcW w:w="5953" w:type="dxa"/>
          </w:tcPr>
          <w:p w14:paraId="149651DA" w14:textId="77777777" w:rsidR="009F734D" w:rsidRPr="009F734D" w:rsidRDefault="002F2604" w:rsidP="009F734D">
            <w:pPr>
              <w:spacing w:before="0"/>
              <w:cnfStyle w:val="000000000000" w:firstRow="0" w:lastRow="0" w:firstColumn="0" w:lastColumn="0" w:oddVBand="0" w:evenVBand="0" w:oddHBand="0" w:evenHBand="0" w:firstRowFirstColumn="0" w:firstRowLastColumn="0" w:lastRowFirstColumn="0" w:lastRowLastColumn="0"/>
              <w:rPr>
                <w:rFonts w:eastAsiaTheme="minorHAnsi"/>
                <w:sz w:val="18"/>
                <w:szCs w:val="18"/>
                <w:lang w:eastAsia="en-US"/>
              </w:rPr>
            </w:pPr>
            <w:r>
              <w:rPr>
                <w:rFonts w:eastAsiaTheme="minorHAnsi"/>
                <w:sz w:val="18"/>
                <w:szCs w:val="18"/>
                <w:lang w:eastAsia="en-US"/>
              </w:rPr>
              <w:t xml:space="preserve">Isik, </w:t>
            </w:r>
            <w:r w:rsidRPr="009F734D">
              <w:rPr>
                <w:rFonts w:eastAsiaTheme="minorHAnsi"/>
                <w:sz w:val="18"/>
                <w:szCs w:val="18"/>
                <w:lang w:eastAsia="en-US"/>
              </w:rPr>
              <w:t xml:space="preserve">kes </w:t>
            </w:r>
            <w:r w:rsidR="009F734D" w:rsidRPr="009F734D">
              <w:rPr>
                <w:rFonts w:eastAsiaTheme="minorHAnsi"/>
                <w:sz w:val="18"/>
                <w:szCs w:val="18"/>
                <w:lang w:eastAsia="en-US"/>
              </w:rPr>
              <w:t xml:space="preserve">osutab üht või mitut järgnevatest </w:t>
            </w:r>
            <w:proofErr w:type="spellStart"/>
            <w:r w:rsidR="009F734D" w:rsidRPr="009F734D">
              <w:rPr>
                <w:rFonts w:eastAsiaTheme="minorHAnsi"/>
                <w:sz w:val="18"/>
                <w:szCs w:val="18"/>
                <w:lang w:eastAsia="en-US"/>
              </w:rPr>
              <w:t>krüptovarateenustest</w:t>
            </w:r>
            <w:proofErr w:type="spellEnd"/>
            <w:r w:rsidR="009F734D" w:rsidRPr="009F734D">
              <w:rPr>
                <w:rFonts w:eastAsiaTheme="minorHAnsi"/>
                <w:sz w:val="18"/>
                <w:szCs w:val="18"/>
                <w:lang w:eastAsia="en-US"/>
              </w:rPr>
              <w:t>:</w:t>
            </w:r>
          </w:p>
          <w:p w14:paraId="1732E03A" w14:textId="2C5E0F5E"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rFonts w:eastAsiaTheme="minorHAnsi"/>
                <w:sz w:val="18"/>
                <w:szCs w:val="18"/>
                <w:lang w:eastAsia="en-US"/>
              </w:rPr>
              <w:t>1)</w:t>
            </w:r>
            <w:r w:rsidR="002F2604" w:rsidRPr="009F734D">
              <w:rPr>
                <w:rFonts w:eastAsiaTheme="minorHAnsi"/>
                <w:sz w:val="18"/>
                <w:szCs w:val="18"/>
                <w:lang w:eastAsia="en-US"/>
              </w:rPr>
              <w:t xml:space="preserve"> </w:t>
            </w:r>
            <w:proofErr w:type="spellStart"/>
            <w:r w:rsidRPr="009F734D">
              <w:rPr>
                <w:sz w:val="18"/>
                <w:szCs w:val="18"/>
              </w:rPr>
              <w:t>krüptovara</w:t>
            </w:r>
            <w:proofErr w:type="spellEnd"/>
            <w:r w:rsidRPr="009F734D">
              <w:rPr>
                <w:sz w:val="18"/>
                <w:szCs w:val="18"/>
              </w:rPr>
              <w:t xml:space="preserve"> hoidmine ja haldamine kolmandate isikute nimel;</w:t>
            </w:r>
          </w:p>
          <w:p w14:paraId="15D0CB4B" w14:textId="77777777"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2) </w:t>
            </w:r>
            <w:proofErr w:type="spellStart"/>
            <w:r w:rsidRPr="009F734D">
              <w:rPr>
                <w:sz w:val="18"/>
                <w:szCs w:val="18"/>
              </w:rPr>
              <w:t>krüptovaraga</w:t>
            </w:r>
            <w:proofErr w:type="spellEnd"/>
            <w:r w:rsidRPr="009F734D">
              <w:rPr>
                <w:sz w:val="18"/>
                <w:szCs w:val="18"/>
              </w:rPr>
              <w:t xml:space="preserve"> kauplemise platvormi korraldamine;</w:t>
            </w:r>
          </w:p>
          <w:p w14:paraId="0613B4E5" w14:textId="77777777"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3) </w:t>
            </w:r>
            <w:proofErr w:type="spellStart"/>
            <w:r w:rsidRPr="009F734D">
              <w:rPr>
                <w:sz w:val="18"/>
                <w:szCs w:val="18"/>
              </w:rPr>
              <w:t>krüptovara</w:t>
            </w:r>
            <w:proofErr w:type="spellEnd"/>
            <w:r w:rsidRPr="009F734D">
              <w:rPr>
                <w:sz w:val="18"/>
                <w:szCs w:val="18"/>
              </w:rPr>
              <w:t xml:space="preserve"> vahetamine seaduslikuks maksevahendiks olevate rahaliste vahendite või muu </w:t>
            </w:r>
            <w:proofErr w:type="spellStart"/>
            <w:r w:rsidRPr="009F734D">
              <w:rPr>
                <w:sz w:val="18"/>
                <w:szCs w:val="18"/>
              </w:rPr>
              <w:t>krüptovara</w:t>
            </w:r>
            <w:proofErr w:type="spellEnd"/>
            <w:r w:rsidRPr="009F734D">
              <w:rPr>
                <w:sz w:val="18"/>
                <w:szCs w:val="18"/>
              </w:rPr>
              <w:t xml:space="preserve"> vastu; </w:t>
            </w:r>
          </w:p>
          <w:p w14:paraId="3D0F74F5" w14:textId="77777777"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4) </w:t>
            </w:r>
            <w:proofErr w:type="spellStart"/>
            <w:r w:rsidRPr="009F734D">
              <w:rPr>
                <w:sz w:val="18"/>
                <w:szCs w:val="18"/>
              </w:rPr>
              <w:t>krüptovara</w:t>
            </w:r>
            <w:proofErr w:type="spellEnd"/>
            <w:r w:rsidRPr="009F734D">
              <w:rPr>
                <w:sz w:val="18"/>
                <w:szCs w:val="18"/>
              </w:rPr>
              <w:t xml:space="preserve"> pakkumine;</w:t>
            </w:r>
          </w:p>
          <w:p w14:paraId="1506A496" w14:textId="77777777"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5) </w:t>
            </w:r>
            <w:proofErr w:type="spellStart"/>
            <w:r w:rsidRPr="009F734D">
              <w:rPr>
                <w:sz w:val="18"/>
                <w:szCs w:val="18"/>
              </w:rPr>
              <w:t>krüptovaraga</w:t>
            </w:r>
            <w:proofErr w:type="spellEnd"/>
            <w:r w:rsidRPr="009F734D">
              <w:rPr>
                <w:sz w:val="18"/>
                <w:szCs w:val="18"/>
              </w:rPr>
              <w:t xml:space="preserve"> seotud korralduste vastuvõtmine, täitmine ja edastamine kolmandate isikute nimel;</w:t>
            </w:r>
          </w:p>
          <w:p w14:paraId="3AE4D034" w14:textId="77777777" w:rsidR="009F734D" w:rsidRPr="009F734D" w:rsidRDefault="009F734D" w:rsidP="009F734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6) </w:t>
            </w:r>
            <w:proofErr w:type="spellStart"/>
            <w:r w:rsidRPr="009F734D">
              <w:rPr>
                <w:sz w:val="18"/>
                <w:szCs w:val="18"/>
              </w:rPr>
              <w:t>krüptovara</w:t>
            </w:r>
            <w:proofErr w:type="spellEnd"/>
            <w:r w:rsidRPr="009F734D">
              <w:rPr>
                <w:sz w:val="18"/>
                <w:szCs w:val="18"/>
              </w:rPr>
              <w:t xml:space="preserve"> kohta nõu andmine;</w:t>
            </w:r>
          </w:p>
          <w:p w14:paraId="6D5D5C78" w14:textId="7E2AB8FE" w:rsidR="002F2604" w:rsidRPr="005D02CF" w:rsidRDefault="009F734D" w:rsidP="004D0C7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F734D">
              <w:rPr>
                <w:sz w:val="18"/>
                <w:szCs w:val="18"/>
              </w:rPr>
              <w:t xml:space="preserve">7) </w:t>
            </w:r>
            <w:proofErr w:type="spellStart"/>
            <w:r w:rsidRPr="009F734D">
              <w:rPr>
                <w:sz w:val="18"/>
                <w:szCs w:val="18"/>
              </w:rPr>
              <w:t>krüptovaraportfelli</w:t>
            </w:r>
            <w:proofErr w:type="spellEnd"/>
            <w:r w:rsidRPr="009F734D">
              <w:rPr>
                <w:sz w:val="18"/>
                <w:szCs w:val="18"/>
              </w:rPr>
              <w:t xml:space="preserve"> valitsemine.</w:t>
            </w:r>
          </w:p>
        </w:tc>
      </w:tr>
    </w:tbl>
    <w:p w14:paraId="6F518E1A" w14:textId="77777777" w:rsidR="002F2604" w:rsidRDefault="002F2604" w:rsidP="00D375E5">
      <w:pPr>
        <w:spacing w:before="0"/>
        <w:jc w:val="left"/>
        <w:rPr>
          <w:sz w:val="22"/>
          <w:szCs w:val="22"/>
          <w:lang w:eastAsia="en-US"/>
        </w:rPr>
      </w:pPr>
    </w:p>
    <w:p w14:paraId="21905E0B" w14:textId="77777777" w:rsidR="002F2604" w:rsidRPr="005D3D7B" w:rsidRDefault="002F2604" w:rsidP="00D375E5">
      <w:pPr>
        <w:spacing w:before="0"/>
        <w:jc w:val="left"/>
        <w:rPr>
          <w:sz w:val="22"/>
          <w:szCs w:val="22"/>
          <w:lang w:eastAsia="en-US"/>
        </w:rPr>
      </w:pPr>
    </w:p>
    <w:p w14:paraId="7D9D29BB" w14:textId="6199AC15" w:rsidR="00AD09CB" w:rsidRDefault="00AD09CB" w:rsidP="00D375E5">
      <w:pPr>
        <w:spacing w:before="0"/>
        <w:rPr>
          <w:bCs/>
          <w:sz w:val="22"/>
          <w:szCs w:val="22"/>
        </w:rPr>
      </w:pPr>
      <w:r w:rsidRPr="00BB4645">
        <w:rPr>
          <w:b/>
          <w:sz w:val="22"/>
          <w:szCs w:val="22"/>
        </w:rPr>
        <w:t>Avalikkuse</w:t>
      </w:r>
      <w:r w:rsidRPr="00BB4645">
        <w:rPr>
          <w:sz w:val="22"/>
          <w:szCs w:val="22"/>
        </w:rPr>
        <w:t xml:space="preserve"> all </w:t>
      </w:r>
      <w:r w:rsidR="00B604C5" w:rsidRPr="00BB4645">
        <w:rPr>
          <w:sz w:val="22"/>
          <w:szCs w:val="22"/>
        </w:rPr>
        <w:t xml:space="preserve">mõistetakse </w:t>
      </w:r>
      <w:r w:rsidRPr="00BB4645">
        <w:rPr>
          <w:sz w:val="22"/>
          <w:szCs w:val="22"/>
        </w:rPr>
        <w:t xml:space="preserve">käesoleva </w:t>
      </w:r>
      <w:r w:rsidR="00B604C5" w:rsidRPr="00BB4645">
        <w:rPr>
          <w:sz w:val="22"/>
          <w:szCs w:val="22"/>
        </w:rPr>
        <w:t>eelnõu</w:t>
      </w:r>
      <w:r w:rsidRPr="00BB4645">
        <w:rPr>
          <w:sz w:val="22"/>
          <w:szCs w:val="22"/>
        </w:rPr>
        <w:t xml:space="preserve"> tähenduses eelnevalt kindlaksmääramata isikute ringi.</w:t>
      </w:r>
      <w:r w:rsidR="00323322">
        <w:rPr>
          <w:sz w:val="22"/>
          <w:szCs w:val="22"/>
        </w:rPr>
        <w:t xml:space="preserve"> </w:t>
      </w:r>
      <w:r w:rsidR="009443DB">
        <w:rPr>
          <w:sz w:val="22"/>
          <w:szCs w:val="22"/>
        </w:rPr>
        <w:t xml:space="preserve">Tegemist on sarnase määratlusega nagu sätestatud krediidiasutuste seaduses, kuid käesolevas seaduses </w:t>
      </w:r>
      <w:r w:rsidR="009443DB">
        <w:rPr>
          <w:sz w:val="22"/>
          <w:szCs w:val="22"/>
        </w:rPr>
        <w:lastRenderedPageBreak/>
        <w:t xml:space="preserve">sätestatud teenuseosutajate regulatsiooni ühte seadusesse koondamise eesmärgil on avalikkuse mõiste lisatud ka </w:t>
      </w:r>
      <w:r w:rsidR="00660621">
        <w:rPr>
          <w:sz w:val="22"/>
          <w:szCs w:val="22"/>
        </w:rPr>
        <w:t>eelnõusse.</w:t>
      </w:r>
    </w:p>
    <w:p w14:paraId="5F6B9744" w14:textId="77777777" w:rsidR="005D02CF" w:rsidRPr="00BB4645" w:rsidRDefault="005D02CF" w:rsidP="00D375E5">
      <w:pPr>
        <w:spacing w:before="0"/>
        <w:rPr>
          <w:bCs/>
          <w:sz w:val="22"/>
          <w:szCs w:val="22"/>
          <w:highlight w:val="yellow"/>
        </w:rPr>
      </w:pPr>
    </w:p>
    <w:p w14:paraId="445A4377" w14:textId="0C97DEED" w:rsidR="00C356F7" w:rsidRDefault="00AD09CB" w:rsidP="00D375E5">
      <w:pPr>
        <w:spacing w:before="0"/>
        <w:rPr>
          <w:bCs/>
          <w:sz w:val="22"/>
          <w:szCs w:val="22"/>
        </w:rPr>
      </w:pPr>
      <w:r w:rsidRPr="00BB4645">
        <w:rPr>
          <w:b/>
          <w:bCs/>
          <w:sz w:val="22"/>
          <w:szCs w:val="22"/>
        </w:rPr>
        <w:t>Finantsvahendusplatvorm</w:t>
      </w:r>
      <w:r w:rsidRPr="00BB4645">
        <w:rPr>
          <w:bCs/>
          <w:sz w:val="22"/>
          <w:szCs w:val="22"/>
        </w:rPr>
        <w:t xml:space="preserve"> on tehniline lahendus või tehniliste lahenduste süsteem, mis võimaldab investeerimis</w:t>
      </w:r>
      <w:r w:rsidR="009F734D">
        <w:rPr>
          <w:bCs/>
          <w:sz w:val="22"/>
          <w:szCs w:val="22"/>
        </w:rPr>
        <w:t>projektides olevaid osalusi, nõudeid või muud vastavat vara</w:t>
      </w:r>
      <w:r w:rsidRPr="00BB4645">
        <w:rPr>
          <w:bCs/>
          <w:sz w:val="22"/>
          <w:szCs w:val="22"/>
        </w:rPr>
        <w:t xml:space="preserve"> pidevalt ja korrapäraselt omandada ning võõrandada.</w:t>
      </w:r>
      <w:r w:rsidR="009443DB">
        <w:rPr>
          <w:bCs/>
          <w:sz w:val="22"/>
          <w:szCs w:val="22"/>
        </w:rPr>
        <w:t xml:space="preserve"> Nimetatud termini eraldi seaduses sätestamine </w:t>
      </w:r>
      <w:r w:rsidR="00B20AD1">
        <w:rPr>
          <w:bCs/>
          <w:sz w:val="22"/>
          <w:szCs w:val="22"/>
        </w:rPr>
        <w:t>on eelnõu koostajate hinnangul vajalik, sest finantsvahendusplatvorm ei ole iseenesest kliendile osutatav teenus, vaid vahend, mille abil teenuseosutaja teenust osutab. Kuivõrd sellise vahendiga kaasnevad erinõuded teenuseosutajale, siis eraldi termin peaks ühelt poolt sellele tähelepanu juhtima ning teisalt vältima kordusi nimetatud vahendile viitamisel.</w:t>
      </w:r>
      <w:r w:rsidR="009443DB">
        <w:rPr>
          <w:bCs/>
          <w:sz w:val="22"/>
          <w:szCs w:val="22"/>
        </w:rPr>
        <w:t xml:space="preserve"> </w:t>
      </w:r>
    </w:p>
    <w:p w14:paraId="394FE511" w14:textId="77777777" w:rsidR="005D02CF" w:rsidRPr="00BB4645" w:rsidRDefault="005D02CF" w:rsidP="00D375E5">
      <w:pPr>
        <w:spacing w:before="0"/>
        <w:rPr>
          <w:bCs/>
          <w:sz w:val="22"/>
          <w:szCs w:val="22"/>
        </w:rPr>
      </w:pPr>
    </w:p>
    <w:p w14:paraId="0F59CD43" w14:textId="7B8B8DFE" w:rsidR="00AD09CB" w:rsidRPr="00BB4645" w:rsidRDefault="00AD09CB" w:rsidP="00D375E5">
      <w:pPr>
        <w:spacing w:before="0"/>
        <w:rPr>
          <w:sz w:val="22"/>
          <w:szCs w:val="22"/>
        </w:rPr>
      </w:pPr>
      <w:r w:rsidRPr="00BB4645">
        <w:rPr>
          <w:b/>
          <w:sz w:val="22"/>
          <w:szCs w:val="22"/>
        </w:rPr>
        <w:t>Investeerimisprojekt</w:t>
      </w:r>
      <w:r w:rsidRPr="00BB4645">
        <w:rPr>
          <w:sz w:val="22"/>
          <w:szCs w:val="22"/>
        </w:rPr>
        <w:t xml:space="preserve"> on </w:t>
      </w:r>
      <w:r w:rsidRPr="00BB4645">
        <w:rPr>
          <w:color w:val="000000" w:themeColor="text1"/>
          <w:sz w:val="22"/>
          <w:szCs w:val="22"/>
        </w:rPr>
        <w:t>finantseerimise taotlemise eesmärgil avaldatud rahastuse taotleja tegevuste kavand</w:t>
      </w:r>
      <w:r w:rsidRPr="00BB4645">
        <w:rPr>
          <w:sz w:val="22"/>
          <w:szCs w:val="22"/>
        </w:rPr>
        <w:t xml:space="preserve"> või kirjeldus</w:t>
      </w:r>
      <w:r w:rsidR="00E7005A">
        <w:rPr>
          <w:sz w:val="22"/>
          <w:szCs w:val="22"/>
        </w:rPr>
        <w:t xml:space="preserve">, mida rahastuse taotleja soovib rahastada </w:t>
      </w:r>
      <w:proofErr w:type="spellStart"/>
      <w:r w:rsidR="00E7005A">
        <w:rPr>
          <w:sz w:val="22"/>
          <w:szCs w:val="22"/>
        </w:rPr>
        <w:t>ühisrahastusprojekti</w:t>
      </w:r>
      <w:proofErr w:type="spellEnd"/>
      <w:r w:rsidR="00E7005A">
        <w:rPr>
          <w:sz w:val="22"/>
          <w:szCs w:val="22"/>
        </w:rPr>
        <w:t xml:space="preserve"> või </w:t>
      </w:r>
      <w:proofErr w:type="spellStart"/>
      <w:r w:rsidR="00E7005A">
        <w:rPr>
          <w:sz w:val="22"/>
          <w:szCs w:val="22"/>
        </w:rPr>
        <w:t>krüptovara</w:t>
      </w:r>
      <w:proofErr w:type="spellEnd"/>
      <w:r w:rsidR="00E7005A">
        <w:rPr>
          <w:sz w:val="22"/>
          <w:szCs w:val="22"/>
        </w:rPr>
        <w:t xml:space="preserve"> pakkumise kaudu</w:t>
      </w:r>
      <w:r w:rsidRPr="00BB4645">
        <w:rPr>
          <w:sz w:val="22"/>
          <w:szCs w:val="22"/>
        </w:rPr>
        <w:t>.</w:t>
      </w:r>
      <w:r w:rsidR="00B20AD1">
        <w:rPr>
          <w:sz w:val="22"/>
          <w:szCs w:val="22"/>
        </w:rPr>
        <w:t xml:space="preserve"> Nimetatud termini puhul on eeskuju võetud EL </w:t>
      </w:r>
      <w:proofErr w:type="spellStart"/>
      <w:r w:rsidR="00B20AD1">
        <w:rPr>
          <w:sz w:val="22"/>
          <w:szCs w:val="22"/>
        </w:rPr>
        <w:t>ühisrahastusmääruses</w:t>
      </w:r>
      <w:proofErr w:type="spellEnd"/>
      <w:r w:rsidR="00B20AD1">
        <w:rPr>
          <w:sz w:val="22"/>
          <w:szCs w:val="22"/>
        </w:rPr>
        <w:t xml:space="preserve"> esitatud definitsioonist, kuid </w:t>
      </w:r>
      <w:r w:rsidR="00660621">
        <w:rPr>
          <w:sz w:val="22"/>
          <w:szCs w:val="22"/>
        </w:rPr>
        <w:t xml:space="preserve">selle </w:t>
      </w:r>
      <w:r w:rsidR="00B20AD1">
        <w:rPr>
          <w:sz w:val="22"/>
          <w:szCs w:val="22"/>
        </w:rPr>
        <w:t xml:space="preserve">sisu on laiendatud, et seda oleks võimalik lisaks </w:t>
      </w:r>
      <w:proofErr w:type="spellStart"/>
      <w:r w:rsidR="00B20AD1">
        <w:rPr>
          <w:sz w:val="22"/>
          <w:szCs w:val="22"/>
        </w:rPr>
        <w:t>ühisrahastusele</w:t>
      </w:r>
      <w:proofErr w:type="spellEnd"/>
      <w:r w:rsidR="00B20AD1">
        <w:rPr>
          <w:sz w:val="22"/>
          <w:szCs w:val="22"/>
        </w:rPr>
        <w:t xml:space="preserve"> kohaldada ka teistele käesolevas seaduses sätestatud raha kaasamise viisidele.</w:t>
      </w:r>
    </w:p>
    <w:p w14:paraId="032445CE" w14:textId="77777777" w:rsidR="00AD09CB" w:rsidRPr="00BB4645" w:rsidRDefault="00AD09CB" w:rsidP="00D375E5">
      <w:pPr>
        <w:spacing w:before="0"/>
        <w:rPr>
          <w:bCs/>
          <w:sz w:val="22"/>
          <w:szCs w:val="22"/>
        </w:rPr>
      </w:pPr>
    </w:p>
    <w:p w14:paraId="2196A7BC" w14:textId="7E212B0B" w:rsidR="00AD09CB" w:rsidRPr="00BB4645" w:rsidRDefault="00E7005A" w:rsidP="00D375E5">
      <w:pPr>
        <w:spacing w:before="0"/>
        <w:rPr>
          <w:sz w:val="22"/>
          <w:szCs w:val="22"/>
        </w:rPr>
      </w:pPr>
      <w:r>
        <w:rPr>
          <w:b/>
          <w:bCs/>
          <w:sz w:val="22"/>
          <w:szCs w:val="22"/>
        </w:rPr>
        <w:t>Klient</w:t>
      </w:r>
      <w:r w:rsidR="00AD09CB" w:rsidRPr="00BB4645">
        <w:rPr>
          <w:bCs/>
          <w:sz w:val="22"/>
          <w:szCs w:val="22"/>
        </w:rPr>
        <w:t xml:space="preserve"> on isik, kellele </w:t>
      </w:r>
      <w:r>
        <w:rPr>
          <w:bCs/>
          <w:sz w:val="22"/>
          <w:szCs w:val="22"/>
        </w:rPr>
        <w:t xml:space="preserve">teenuseosutaja osutab </w:t>
      </w:r>
      <w:proofErr w:type="spellStart"/>
      <w:r>
        <w:rPr>
          <w:bCs/>
          <w:sz w:val="22"/>
          <w:szCs w:val="22"/>
        </w:rPr>
        <w:t>ühisrahastusteenust</w:t>
      </w:r>
      <w:proofErr w:type="spellEnd"/>
      <w:r>
        <w:rPr>
          <w:bCs/>
          <w:sz w:val="22"/>
          <w:szCs w:val="22"/>
        </w:rPr>
        <w:t xml:space="preserve"> või </w:t>
      </w:r>
      <w:proofErr w:type="spellStart"/>
      <w:r>
        <w:rPr>
          <w:bCs/>
          <w:sz w:val="22"/>
          <w:szCs w:val="22"/>
        </w:rPr>
        <w:t>krüptovarateenust</w:t>
      </w:r>
      <w:proofErr w:type="spellEnd"/>
      <w:r>
        <w:rPr>
          <w:bCs/>
          <w:sz w:val="22"/>
          <w:szCs w:val="22"/>
        </w:rPr>
        <w:t>; samuti isik, kellele soovitakse teenust osutada, kuid kellega ei ole veel lepingulisse suhtesse astutud.</w:t>
      </w:r>
      <w:r w:rsidR="00AD09CB" w:rsidRPr="00BB4645">
        <w:rPr>
          <w:sz w:val="22"/>
          <w:szCs w:val="22"/>
        </w:rPr>
        <w:t xml:space="preserve"> </w:t>
      </w:r>
      <w:r>
        <w:rPr>
          <w:sz w:val="22"/>
          <w:szCs w:val="22"/>
        </w:rPr>
        <w:t>Klient</w:t>
      </w:r>
      <w:r w:rsidR="00AD09CB" w:rsidRPr="00BB4645">
        <w:rPr>
          <w:sz w:val="22"/>
          <w:szCs w:val="22"/>
        </w:rPr>
        <w:t xml:space="preserve"> võib olla kogenud või mittekogenud. </w:t>
      </w:r>
    </w:p>
    <w:p w14:paraId="2BAD9E1C" w14:textId="77777777" w:rsidR="00AD09CB" w:rsidRPr="00BB4645" w:rsidRDefault="00AD09CB" w:rsidP="00D375E5">
      <w:pPr>
        <w:spacing w:before="0"/>
        <w:rPr>
          <w:sz w:val="22"/>
          <w:szCs w:val="22"/>
        </w:rPr>
      </w:pPr>
    </w:p>
    <w:p w14:paraId="452D2CB3" w14:textId="0153DC9F" w:rsidR="000B23E6" w:rsidRDefault="00AD09CB" w:rsidP="005D02CF">
      <w:pPr>
        <w:spacing w:before="0"/>
        <w:rPr>
          <w:sz w:val="22"/>
          <w:szCs w:val="22"/>
        </w:rPr>
      </w:pPr>
      <w:r w:rsidRPr="00BB4645">
        <w:rPr>
          <w:b/>
          <w:sz w:val="22"/>
          <w:szCs w:val="22"/>
        </w:rPr>
        <w:t xml:space="preserve">Kogenud </w:t>
      </w:r>
      <w:r w:rsidR="00E7005A">
        <w:rPr>
          <w:b/>
          <w:sz w:val="22"/>
          <w:szCs w:val="22"/>
        </w:rPr>
        <w:t>klient</w:t>
      </w:r>
      <w:r w:rsidRPr="00BB4645">
        <w:rPr>
          <w:sz w:val="22"/>
          <w:szCs w:val="22"/>
        </w:rPr>
        <w:t xml:space="preserve"> on </w:t>
      </w:r>
      <w:r w:rsidR="00E7005A">
        <w:rPr>
          <w:sz w:val="22"/>
          <w:szCs w:val="22"/>
        </w:rPr>
        <w:t>väärtpaberituru seaduse § 6 lõikes 2 nimetatud kutseline investor. Mittekogenud klient on eelmises lauses nimetamata klient.</w:t>
      </w:r>
    </w:p>
    <w:p w14:paraId="094376D6" w14:textId="77777777" w:rsidR="00C95F0D" w:rsidRPr="005D3D7B" w:rsidRDefault="00C95F0D" w:rsidP="005D02CF">
      <w:pPr>
        <w:spacing w:before="0"/>
        <w:rPr>
          <w:bCs/>
          <w:sz w:val="22"/>
          <w:szCs w:val="22"/>
        </w:rPr>
      </w:pPr>
    </w:p>
    <w:p w14:paraId="46A1C631" w14:textId="25F2F1AF" w:rsidR="008C3E70" w:rsidRDefault="008C3E70" w:rsidP="005D02CF">
      <w:pPr>
        <w:pStyle w:val="Heading1"/>
        <w:numPr>
          <w:ilvl w:val="0"/>
          <w:numId w:val="9"/>
        </w:numPr>
        <w:rPr>
          <w:sz w:val="22"/>
          <w:szCs w:val="22"/>
          <w:lang w:val="et-EE"/>
        </w:rPr>
      </w:pPr>
      <w:bookmarkStart w:id="42" w:name="_Toc55577750"/>
      <w:r w:rsidRPr="005D3D7B">
        <w:rPr>
          <w:sz w:val="22"/>
          <w:szCs w:val="22"/>
          <w:lang w:val="et-EE"/>
        </w:rPr>
        <w:t>E</w:t>
      </w:r>
      <w:r w:rsidR="00B9578A">
        <w:rPr>
          <w:sz w:val="22"/>
          <w:szCs w:val="22"/>
          <w:lang w:val="et-EE"/>
        </w:rPr>
        <w:t>elnõu vastavus Euroopa Liidu õigusele</w:t>
      </w:r>
      <w:bookmarkEnd w:id="42"/>
    </w:p>
    <w:p w14:paraId="473D100E" w14:textId="77777777" w:rsidR="008C3E70" w:rsidRPr="005D3D7B" w:rsidRDefault="008C3E70" w:rsidP="00D375E5">
      <w:pPr>
        <w:spacing w:before="0"/>
        <w:jc w:val="left"/>
        <w:rPr>
          <w:sz w:val="22"/>
          <w:szCs w:val="22"/>
          <w:lang w:eastAsia="en-US"/>
        </w:rPr>
      </w:pPr>
    </w:p>
    <w:p w14:paraId="452117A4" w14:textId="5AA601AB" w:rsidR="00ED6212" w:rsidRPr="005D3D7B" w:rsidRDefault="00ED6212" w:rsidP="00D375E5">
      <w:pPr>
        <w:spacing w:before="0"/>
        <w:rPr>
          <w:sz w:val="22"/>
          <w:szCs w:val="22"/>
          <w:lang w:eastAsia="en-US"/>
        </w:rPr>
      </w:pPr>
      <w:r w:rsidRPr="005D3D7B">
        <w:rPr>
          <w:sz w:val="22"/>
          <w:szCs w:val="22"/>
          <w:lang w:eastAsia="en-US"/>
        </w:rPr>
        <w:t>Eelnõu on kooskõlas järgmiste Euroopa Liidu õigusaktidega:</w:t>
      </w:r>
    </w:p>
    <w:p w14:paraId="0E8597F8" w14:textId="22318BBA" w:rsidR="00ED6212" w:rsidRPr="005D3D7B" w:rsidRDefault="00ED6212" w:rsidP="002B2C7C">
      <w:pPr>
        <w:numPr>
          <w:ilvl w:val="0"/>
          <w:numId w:val="27"/>
        </w:numPr>
        <w:ind w:left="284" w:hanging="284"/>
        <w:rPr>
          <w:sz w:val="22"/>
          <w:szCs w:val="22"/>
        </w:rPr>
      </w:pPr>
      <w:r w:rsidRPr="005D3D7B">
        <w:rPr>
          <w:sz w:val="22"/>
          <w:szCs w:val="22"/>
        </w:rPr>
        <w:t xml:space="preserve">Euroopa Parlamendi ja nõukogu määrus (EL) 2020/1503, mis </w:t>
      </w:r>
      <w:r w:rsidRPr="005D3D7B">
        <w:rPr>
          <w:bCs/>
          <w:sz w:val="22"/>
          <w:szCs w:val="22"/>
        </w:rPr>
        <w:t xml:space="preserve">käsitleb ettevõtjatele Euroopa </w:t>
      </w:r>
      <w:proofErr w:type="spellStart"/>
      <w:r w:rsidRPr="005D3D7B">
        <w:rPr>
          <w:bCs/>
          <w:sz w:val="22"/>
          <w:szCs w:val="22"/>
        </w:rPr>
        <w:t>ühisrahastusteenuse</w:t>
      </w:r>
      <w:proofErr w:type="spellEnd"/>
      <w:r w:rsidRPr="005D3D7B">
        <w:rPr>
          <w:bCs/>
          <w:sz w:val="22"/>
          <w:szCs w:val="22"/>
        </w:rPr>
        <w:t xml:space="preserve"> osutajaid ning millega muudetakse määrust (EL) 2017/1129 ja direktiivi (EL) 2019/1937</w:t>
      </w:r>
      <w:r w:rsidR="00660621">
        <w:rPr>
          <w:bCs/>
          <w:sz w:val="22"/>
          <w:szCs w:val="22"/>
        </w:rPr>
        <w:t>;</w:t>
      </w:r>
    </w:p>
    <w:p w14:paraId="00A2D803" w14:textId="724DD9D6" w:rsidR="00ED6212" w:rsidRPr="005D3D7B" w:rsidRDefault="00ED6212" w:rsidP="002B2C7C">
      <w:pPr>
        <w:numPr>
          <w:ilvl w:val="0"/>
          <w:numId w:val="27"/>
        </w:numPr>
        <w:ind w:left="284" w:hanging="284"/>
        <w:rPr>
          <w:sz w:val="22"/>
          <w:szCs w:val="22"/>
        </w:rPr>
      </w:pPr>
      <w:r w:rsidRPr="005D3D7B">
        <w:rPr>
          <w:sz w:val="22"/>
          <w:szCs w:val="22"/>
        </w:rPr>
        <w:t xml:space="preserve">Euroopa Parlamendi ja nõukogu direktiiv (EL) 2020/1504, </w:t>
      </w:r>
      <w:r w:rsidRPr="005D3D7B">
        <w:rPr>
          <w:bCs/>
          <w:sz w:val="22"/>
          <w:szCs w:val="22"/>
        </w:rPr>
        <w:t>millega muudetakse direktiivi 2014/65/EL finantsinstrumentide turgude kohta</w:t>
      </w:r>
      <w:r w:rsidR="00660621">
        <w:rPr>
          <w:bCs/>
          <w:sz w:val="22"/>
          <w:szCs w:val="22"/>
        </w:rPr>
        <w:t>;</w:t>
      </w:r>
    </w:p>
    <w:p w14:paraId="2B3EB47A" w14:textId="173881AE" w:rsidR="00A71CBD" w:rsidRPr="005D3D7B" w:rsidRDefault="00A71CBD" w:rsidP="002B2C7C">
      <w:pPr>
        <w:numPr>
          <w:ilvl w:val="0"/>
          <w:numId w:val="27"/>
        </w:numPr>
        <w:ind w:left="284" w:hanging="284"/>
        <w:rPr>
          <w:sz w:val="22"/>
          <w:szCs w:val="22"/>
        </w:rPr>
      </w:pPr>
      <w:r w:rsidRPr="005D3D7B">
        <w:rPr>
          <w:sz w:val="22"/>
          <w:szCs w:val="22"/>
        </w:rPr>
        <w:t>Euroopa Parlamendi ja nõukogu direktiiv 2014/65/EL, 15. mai 2014, finantsinstrumentide turgude kohta ning millega muudetakse direktiive 2002/92/EÜ ja 2011/61/EL</w:t>
      </w:r>
      <w:r w:rsidR="000C2D08" w:rsidRPr="005D3D7B">
        <w:rPr>
          <w:sz w:val="22"/>
          <w:szCs w:val="22"/>
        </w:rPr>
        <w:t xml:space="preserve"> (</w:t>
      </w:r>
      <w:proofErr w:type="spellStart"/>
      <w:r w:rsidR="000C2D08" w:rsidRPr="005D3D7B">
        <w:rPr>
          <w:sz w:val="22"/>
          <w:szCs w:val="22"/>
        </w:rPr>
        <w:t>MiFID</w:t>
      </w:r>
      <w:r w:rsidR="00151E9B" w:rsidRPr="005D3D7B">
        <w:rPr>
          <w:sz w:val="22"/>
          <w:szCs w:val="22"/>
        </w:rPr>
        <w:t>II</w:t>
      </w:r>
      <w:proofErr w:type="spellEnd"/>
      <w:r w:rsidR="000C2D08" w:rsidRPr="005D3D7B">
        <w:rPr>
          <w:sz w:val="22"/>
          <w:szCs w:val="22"/>
        </w:rPr>
        <w:t>)</w:t>
      </w:r>
      <w:r w:rsidR="00660621">
        <w:rPr>
          <w:sz w:val="22"/>
          <w:szCs w:val="22"/>
        </w:rPr>
        <w:t>;</w:t>
      </w:r>
    </w:p>
    <w:p w14:paraId="750CA3A1" w14:textId="3D229917" w:rsidR="000C2D08" w:rsidRPr="005D3D7B" w:rsidRDefault="000C2D08" w:rsidP="002B2C7C">
      <w:pPr>
        <w:numPr>
          <w:ilvl w:val="0"/>
          <w:numId w:val="27"/>
        </w:numPr>
        <w:ind w:left="284" w:hanging="284"/>
        <w:rPr>
          <w:sz w:val="22"/>
          <w:szCs w:val="22"/>
        </w:rPr>
      </w:pPr>
      <w:r w:rsidRPr="005D3D7B">
        <w:rPr>
          <w:sz w:val="22"/>
          <w:szCs w:val="22"/>
        </w:rPr>
        <w:t xml:space="preserve">Euroopa Parlamendi ja nõukogu määrus </w:t>
      </w:r>
      <w:r w:rsidRPr="005D3D7B">
        <w:rPr>
          <w:bCs/>
          <w:sz w:val="22"/>
          <w:szCs w:val="22"/>
        </w:rPr>
        <w:t xml:space="preserve">(EL) 2016/679, </w:t>
      </w:r>
      <w:r w:rsidRPr="005D3D7B">
        <w:rPr>
          <w:bCs/>
          <w:color w:val="000000"/>
          <w:sz w:val="22"/>
          <w:szCs w:val="22"/>
          <w:shd w:val="clear" w:color="auto" w:fill="FFFFFF"/>
        </w:rPr>
        <w:t xml:space="preserve">27. aprill 2016, füüsiliste isikute kaitse kohta isikuandmete töötlemisel ja selliste andmete vaba liikumise ning direktiivi 95/46/EÜ kehtetuks tunnistamise kohta (isikuandmete kaitse </w:t>
      </w:r>
      <w:proofErr w:type="spellStart"/>
      <w:r w:rsidRPr="005D3D7B">
        <w:rPr>
          <w:bCs/>
          <w:color w:val="000000"/>
          <w:sz w:val="22"/>
          <w:szCs w:val="22"/>
          <w:shd w:val="clear" w:color="auto" w:fill="FFFFFF"/>
        </w:rPr>
        <w:t>üldmäärus</w:t>
      </w:r>
      <w:proofErr w:type="spellEnd"/>
      <w:r w:rsidRPr="005D3D7B">
        <w:rPr>
          <w:bCs/>
          <w:color w:val="000000"/>
          <w:sz w:val="22"/>
          <w:szCs w:val="22"/>
          <w:shd w:val="clear" w:color="auto" w:fill="FFFFFF"/>
        </w:rPr>
        <w:t>).</w:t>
      </w:r>
    </w:p>
    <w:p w14:paraId="17D92153" w14:textId="0F28537E" w:rsidR="00ED6212" w:rsidRPr="005D3D7B" w:rsidRDefault="002C75A9" w:rsidP="00D375E5">
      <w:pPr>
        <w:spacing w:before="0"/>
        <w:rPr>
          <w:sz w:val="22"/>
          <w:szCs w:val="22"/>
          <w:lang w:eastAsia="en-US"/>
        </w:rPr>
      </w:pPr>
      <w:r>
        <w:rPr>
          <w:sz w:val="22"/>
          <w:szCs w:val="22"/>
          <w:lang w:eastAsia="en-US"/>
        </w:rPr>
        <w:t>Vt täpsemalt käesoleva seletuskirja lisa, kus on ära toodud vastavustabelid</w:t>
      </w:r>
      <w:r w:rsidR="006F514B">
        <w:rPr>
          <w:sz w:val="22"/>
          <w:szCs w:val="22"/>
          <w:lang w:eastAsia="en-US"/>
        </w:rPr>
        <w:t xml:space="preserve"> määruse (EL) 2020/1503 valikukohtade ja direktiivi (EL) 2020/1504 ülevõtmise kohta</w:t>
      </w:r>
      <w:r>
        <w:rPr>
          <w:sz w:val="22"/>
          <w:szCs w:val="22"/>
          <w:lang w:eastAsia="en-US"/>
        </w:rPr>
        <w:t>.</w:t>
      </w:r>
    </w:p>
    <w:p w14:paraId="77AF1E38" w14:textId="77777777" w:rsidR="002C75A9" w:rsidRPr="005D3D7B" w:rsidRDefault="002C75A9" w:rsidP="00D375E5">
      <w:pPr>
        <w:spacing w:before="0"/>
        <w:rPr>
          <w:sz w:val="22"/>
          <w:szCs w:val="22"/>
          <w:lang w:eastAsia="en-US"/>
        </w:rPr>
      </w:pPr>
    </w:p>
    <w:p w14:paraId="483F2CFB" w14:textId="77777777" w:rsidR="005508E5" w:rsidRPr="005D3D7B" w:rsidRDefault="005508E5" w:rsidP="005508E5">
      <w:pPr>
        <w:spacing w:before="0"/>
        <w:rPr>
          <w:sz w:val="22"/>
          <w:szCs w:val="22"/>
          <w:lang w:eastAsia="en-US"/>
        </w:rPr>
      </w:pPr>
      <w:bookmarkStart w:id="43" w:name="_Toc55577751"/>
    </w:p>
    <w:p w14:paraId="3AAD63AA" w14:textId="77777777" w:rsidR="005508E5" w:rsidRDefault="005508E5" w:rsidP="002B2C7C">
      <w:pPr>
        <w:pStyle w:val="Heading1"/>
        <w:numPr>
          <w:ilvl w:val="0"/>
          <w:numId w:val="45"/>
        </w:numPr>
        <w:ind w:left="567" w:hanging="567"/>
        <w:rPr>
          <w:sz w:val="22"/>
          <w:szCs w:val="22"/>
          <w:lang w:val="et-EE"/>
        </w:rPr>
      </w:pPr>
      <w:r w:rsidRPr="005D3D7B">
        <w:rPr>
          <w:sz w:val="22"/>
          <w:szCs w:val="22"/>
          <w:lang w:val="et-EE"/>
        </w:rPr>
        <w:t>S</w:t>
      </w:r>
      <w:r>
        <w:rPr>
          <w:sz w:val="22"/>
          <w:szCs w:val="22"/>
          <w:lang w:val="et-EE"/>
        </w:rPr>
        <w:t>eaduse mõjud</w:t>
      </w:r>
    </w:p>
    <w:p w14:paraId="28D5395D" w14:textId="77777777" w:rsidR="005508E5" w:rsidRPr="005D3D7B" w:rsidRDefault="005508E5" w:rsidP="005508E5">
      <w:pPr>
        <w:spacing w:before="0"/>
        <w:rPr>
          <w:bCs/>
          <w:sz w:val="22"/>
          <w:szCs w:val="22"/>
        </w:rPr>
      </w:pPr>
    </w:p>
    <w:p w14:paraId="17067F00" w14:textId="77777777" w:rsidR="005508E5" w:rsidRPr="005D3D7B" w:rsidRDefault="005508E5" w:rsidP="005508E5">
      <w:pPr>
        <w:spacing w:before="0"/>
        <w:rPr>
          <w:b/>
          <w:sz w:val="22"/>
          <w:szCs w:val="22"/>
        </w:rPr>
      </w:pPr>
      <w:r>
        <w:rPr>
          <w:b/>
          <w:sz w:val="22"/>
          <w:szCs w:val="22"/>
        </w:rPr>
        <w:t>6</w:t>
      </w:r>
      <w:r w:rsidRPr="005D3D7B">
        <w:rPr>
          <w:b/>
          <w:sz w:val="22"/>
          <w:szCs w:val="22"/>
        </w:rPr>
        <w:t xml:space="preserve">.1. </w:t>
      </w:r>
      <w:r>
        <w:rPr>
          <w:b/>
          <w:sz w:val="22"/>
          <w:szCs w:val="22"/>
        </w:rPr>
        <w:t xml:space="preserve">Investeerimisprojektide, sh </w:t>
      </w:r>
      <w:proofErr w:type="spellStart"/>
      <w:r>
        <w:rPr>
          <w:b/>
          <w:sz w:val="22"/>
          <w:szCs w:val="22"/>
        </w:rPr>
        <w:t>krüptovara</w:t>
      </w:r>
      <w:proofErr w:type="spellEnd"/>
      <w:r>
        <w:rPr>
          <w:b/>
          <w:sz w:val="22"/>
          <w:szCs w:val="22"/>
        </w:rPr>
        <w:t xml:space="preserve"> projektide</w:t>
      </w:r>
      <w:r w:rsidRPr="005D3D7B">
        <w:rPr>
          <w:b/>
          <w:sz w:val="22"/>
          <w:szCs w:val="22"/>
        </w:rPr>
        <w:t xml:space="preserve"> </w:t>
      </w:r>
      <w:r>
        <w:rPr>
          <w:b/>
          <w:sz w:val="22"/>
          <w:szCs w:val="22"/>
        </w:rPr>
        <w:t>pakkumise</w:t>
      </w:r>
      <w:r w:rsidRPr="005D3D7B">
        <w:rPr>
          <w:b/>
          <w:sz w:val="22"/>
          <w:szCs w:val="22"/>
        </w:rPr>
        <w:t xml:space="preserve"> mõju</w:t>
      </w:r>
    </w:p>
    <w:p w14:paraId="6F42F126" w14:textId="77777777" w:rsidR="005508E5" w:rsidRPr="005D3D7B" w:rsidRDefault="005508E5" w:rsidP="005508E5">
      <w:pPr>
        <w:spacing w:before="0"/>
        <w:rPr>
          <w:b/>
          <w:sz w:val="22"/>
          <w:szCs w:val="22"/>
        </w:rPr>
      </w:pPr>
    </w:p>
    <w:p w14:paraId="762A29F3" w14:textId="77777777" w:rsidR="005508E5" w:rsidRPr="005D3D7B" w:rsidRDefault="005508E5" w:rsidP="005508E5">
      <w:pPr>
        <w:spacing w:before="0"/>
        <w:rPr>
          <w:b/>
          <w:sz w:val="22"/>
          <w:szCs w:val="22"/>
        </w:rPr>
      </w:pPr>
      <w:r>
        <w:rPr>
          <w:b/>
          <w:sz w:val="22"/>
          <w:szCs w:val="22"/>
        </w:rPr>
        <w:t>6</w:t>
      </w:r>
      <w:r w:rsidRPr="005D3D7B">
        <w:rPr>
          <w:b/>
          <w:sz w:val="22"/>
          <w:szCs w:val="22"/>
        </w:rPr>
        <w:t xml:space="preserve">.1.1. </w:t>
      </w:r>
      <w:r>
        <w:rPr>
          <w:b/>
          <w:sz w:val="22"/>
          <w:szCs w:val="22"/>
        </w:rPr>
        <w:t>M</w:t>
      </w:r>
      <w:r w:rsidRPr="005D3D7B">
        <w:rPr>
          <w:b/>
          <w:sz w:val="22"/>
          <w:szCs w:val="22"/>
        </w:rPr>
        <w:t>ajanduslik mõju</w:t>
      </w:r>
      <w:r>
        <w:rPr>
          <w:b/>
          <w:sz w:val="22"/>
          <w:szCs w:val="22"/>
        </w:rPr>
        <w:t xml:space="preserve"> </w:t>
      </w:r>
      <w:proofErr w:type="spellStart"/>
      <w:r>
        <w:rPr>
          <w:b/>
          <w:sz w:val="22"/>
          <w:szCs w:val="22"/>
        </w:rPr>
        <w:t>krüptovara</w:t>
      </w:r>
      <w:proofErr w:type="spellEnd"/>
      <w:r>
        <w:rPr>
          <w:b/>
          <w:sz w:val="22"/>
          <w:szCs w:val="22"/>
        </w:rPr>
        <w:t>- ja</w:t>
      </w:r>
      <w:r w:rsidRPr="005D3D7B">
        <w:rPr>
          <w:b/>
          <w:sz w:val="22"/>
          <w:szCs w:val="22"/>
        </w:rPr>
        <w:t xml:space="preserve"> </w:t>
      </w:r>
      <w:proofErr w:type="spellStart"/>
      <w:r w:rsidRPr="00104C31">
        <w:rPr>
          <w:b/>
          <w:sz w:val="22"/>
          <w:szCs w:val="22"/>
        </w:rPr>
        <w:t>ühisrahastus</w:t>
      </w:r>
      <w:r w:rsidRPr="002A063D">
        <w:rPr>
          <w:b/>
          <w:sz w:val="22"/>
          <w:szCs w:val="22"/>
        </w:rPr>
        <w:t>teenuse</w:t>
      </w:r>
      <w:proofErr w:type="spellEnd"/>
      <w:r w:rsidRPr="00104C31">
        <w:rPr>
          <w:b/>
          <w:sz w:val="22"/>
          <w:szCs w:val="22"/>
        </w:rPr>
        <w:t xml:space="preserve"> </w:t>
      </w:r>
      <w:r w:rsidRPr="008C6495">
        <w:rPr>
          <w:b/>
          <w:sz w:val="22"/>
          <w:szCs w:val="22"/>
        </w:rPr>
        <w:t>osutajale</w:t>
      </w:r>
    </w:p>
    <w:p w14:paraId="4A9845E3" w14:textId="77777777" w:rsidR="005508E5" w:rsidRPr="005D3D7B" w:rsidRDefault="005508E5" w:rsidP="005508E5">
      <w:pPr>
        <w:spacing w:before="0"/>
        <w:rPr>
          <w:b/>
          <w:sz w:val="22"/>
          <w:szCs w:val="22"/>
        </w:rPr>
      </w:pPr>
    </w:p>
    <w:p w14:paraId="4EBE03FC" w14:textId="77777777" w:rsidR="005508E5" w:rsidRPr="005D3D7B" w:rsidRDefault="005508E5" w:rsidP="005508E5">
      <w:pPr>
        <w:spacing w:before="0"/>
        <w:rPr>
          <w:i/>
          <w:sz w:val="22"/>
          <w:szCs w:val="22"/>
        </w:rPr>
      </w:pPr>
      <w:r w:rsidRPr="005D3D7B">
        <w:rPr>
          <w:b/>
          <w:sz w:val="22"/>
          <w:szCs w:val="22"/>
          <w:u w:val="single"/>
        </w:rPr>
        <w:t>Sihtrühm</w:t>
      </w:r>
      <w:r w:rsidRPr="005D3D7B">
        <w:rPr>
          <w:sz w:val="22"/>
          <w:szCs w:val="22"/>
        </w:rPr>
        <w:t xml:space="preserve">: </w:t>
      </w:r>
      <w:proofErr w:type="spellStart"/>
      <w:r>
        <w:rPr>
          <w:sz w:val="22"/>
          <w:szCs w:val="22"/>
        </w:rPr>
        <w:t>krüptovara</w:t>
      </w:r>
      <w:proofErr w:type="spellEnd"/>
      <w:r>
        <w:rPr>
          <w:sz w:val="22"/>
          <w:szCs w:val="22"/>
        </w:rPr>
        <w:t xml:space="preserve">- ja </w:t>
      </w:r>
      <w:proofErr w:type="spellStart"/>
      <w:r w:rsidRPr="005D3D7B">
        <w:rPr>
          <w:sz w:val="22"/>
          <w:szCs w:val="22"/>
        </w:rPr>
        <w:t>ühisrahastus</w:t>
      </w:r>
      <w:r>
        <w:rPr>
          <w:sz w:val="22"/>
          <w:szCs w:val="22"/>
        </w:rPr>
        <w:t>e</w:t>
      </w:r>
      <w:r w:rsidRPr="00104C31">
        <w:rPr>
          <w:sz w:val="22"/>
          <w:szCs w:val="22"/>
        </w:rPr>
        <w:t>teenuse</w:t>
      </w:r>
      <w:proofErr w:type="spellEnd"/>
      <w:r w:rsidRPr="005D3D7B">
        <w:rPr>
          <w:sz w:val="22"/>
          <w:szCs w:val="22"/>
        </w:rPr>
        <w:t xml:space="preserve"> osutajad</w:t>
      </w:r>
      <w:r>
        <w:rPr>
          <w:sz w:val="22"/>
          <w:szCs w:val="22"/>
        </w:rPr>
        <w:t>.</w:t>
      </w:r>
    </w:p>
    <w:p w14:paraId="6AABB150" w14:textId="77777777" w:rsidR="005508E5" w:rsidRPr="005D3D7B" w:rsidRDefault="005508E5" w:rsidP="005508E5">
      <w:pPr>
        <w:spacing w:before="0"/>
        <w:rPr>
          <w:sz w:val="22"/>
          <w:szCs w:val="22"/>
        </w:rPr>
      </w:pPr>
    </w:p>
    <w:p w14:paraId="57BE30F0" w14:textId="77777777" w:rsidR="005508E5" w:rsidRPr="005D3D7B" w:rsidRDefault="005508E5" w:rsidP="005508E5">
      <w:pPr>
        <w:spacing w:before="0"/>
        <w:rPr>
          <w:sz w:val="22"/>
          <w:szCs w:val="22"/>
        </w:rPr>
      </w:pPr>
      <w:r w:rsidRPr="005D3D7B">
        <w:rPr>
          <w:sz w:val="22"/>
          <w:szCs w:val="22"/>
        </w:rPr>
        <w:t xml:space="preserve">Teadaolevalt tegutseb Eestis </w:t>
      </w:r>
      <w:r w:rsidRPr="00D50105">
        <w:rPr>
          <w:b/>
          <w:bCs/>
          <w:sz w:val="22"/>
          <w:szCs w:val="22"/>
        </w:rPr>
        <w:t xml:space="preserve">ca 30 </w:t>
      </w:r>
      <w:proofErr w:type="spellStart"/>
      <w:r w:rsidRPr="00D50105">
        <w:rPr>
          <w:b/>
          <w:bCs/>
          <w:sz w:val="22"/>
          <w:szCs w:val="22"/>
        </w:rPr>
        <w:t>ühisrahastusteenuse</w:t>
      </w:r>
      <w:proofErr w:type="spellEnd"/>
      <w:r w:rsidRPr="00D50105">
        <w:rPr>
          <w:b/>
          <w:bCs/>
          <w:sz w:val="22"/>
          <w:szCs w:val="22"/>
        </w:rPr>
        <w:t xml:space="preserve"> osutajat</w:t>
      </w:r>
      <w:r>
        <w:rPr>
          <w:sz w:val="22"/>
          <w:szCs w:val="22"/>
        </w:rPr>
        <w:t xml:space="preserve"> (Finantsinspektsiooni küsitluse põhjal)</w:t>
      </w:r>
      <w:r w:rsidRPr="005D3D7B">
        <w:rPr>
          <w:sz w:val="22"/>
          <w:szCs w:val="22"/>
        </w:rPr>
        <w:t xml:space="preserve">, </w:t>
      </w:r>
      <w:r>
        <w:rPr>
          <w:sz w:val="22"/>
          <w:szCs w:val="22"/>
        </w:rPr>
        <w:t xml:space="preserve">kuid </w:t>
      </w:r>
      <w:r w:rsidRPr="005D3D7B">
        <w:rPr>
          <w:sz w:val="22"/>
          <w:szCs w:val="22"/>
        </w:rPr>
        <w:t xml:space="preserve">täpne statistika </w:t>
      </w:r>
      <w:r>
        <w:rPr>
          <w:sz w:val="22"/>
          <w:szCs w:val="22"/>
        </w:rPr>
        <w:t xml:space="preserve">aga </w:t>
      </w:r>
      <w:r w:rsidRPr="005D3D7B">
        <w:rPr>
          <w:sz w:val="22"/>
          <w:szCs w:val="22"/>
        </w:rPr>
        <w:t xml:space="preserve">puudub. </w:t>
      </w:r>
      <w:r>
        <w:rPr>
          <w:sz w:val="22"/>
          <w:szCs w:val="22"/>
        </w:rPr>
        <w:t xml:space="preserve">Lisaks ei ole täpselt selge, et kas kõikide </w:t>
      </w:r>
      <w:proofErr w:type="spellStart"/>
      <w:r>
        <w:rPr>
          <w:sz w:val="22"/>
          <w:szCs w:val="22"/>
        </w:rPr>
        <w:t>ühisrahastusettevõtjate</w:t>
      </w:r>
      <w:proofErr w:type="spellEnd"/>
      <w:r>
        <w:rPr>
          <w:sz w:val="22"/>
          <w:szCs w:val="22"/>
        </w:rPr>
        <w:t xml:space="preserve"> ärimudelid käesoleva eelnõu kohaldumisalasse paigutuvad (kuigi see on suuresti olnud käesoleva seaduse eelnõu eesmärk). </w:t>
      </w:r>
      <w:r w:rsidRPr="005D3D7B">
        <w:rPr>
          <w:sz w:val="22"/>
          <w:szCs w:val="22"/>
        </w:rPr>
        <w:t xml:space="preserve">Kuivõrd </w:t>
      </w:r>
      <w:r>
        <w:rPr>
          <w:sz w:val="22"/>
          <w:szCs w:val="22"/>
        </w:rPr>
        <w:t>vastav andmestik</w:t>
      </w:r>
      <w:r w:rsidRPr="005D3D7B">
        <w:rPr>
          <w:sz w:val="22"/>
          <w:szCs w:val="22"/>
        </w:rPr>
        <w:t xml:space="preserve"> ei ole olulises osas kättesaadav, siis ei ole võimalik hetkel asjaomast statistikat pakkuda ega adekvaatselt teenuse mahtusid hinnata. Andmed muutuvad kättesaadavaks ja adekvaatse</w:t>
      </w:r>
      <w:r>
        <w:rPr>
          <w:sz w:val="22"/>
          <w:szCs w:val="22"/>
        </w:rPr>
        <w:t>mate hinnangute</w:t>
      </w:r>
      <w:r w:rsidRPr="005D3D7B">
        <w:rPr>
          <w:sz w:val="22"/>
          <w:szCs w:val="22"/>
        </w:rPr>
        <w:t xml:space="preserve"> tegemine võimalikuks peale seda, kui </w:t>
      </w:r>
      <w:r>
        <w:rPr>
          <w:sz w:val="22"/>
          <w:szCs w:val="22"/>
        </w:rPr>
        <w:lastRenderedPageBreak/>
        <w:t xml:space="preserve">rakendub lõplikult </w:t>
      </w:r>
      <w:r w:rsidRPr="005D3D7B">
        <w:rPr>
          <w:sz w:val="22"/>
          <w:szCs w:val="22"/>
        </w:rPr>
        <w:t xml:space="preserve">EL </w:t>
      </w:r>
      <w:proofErr w:type="spellStart"/>
      <w:r w:rsidRPr="005D3D7B">
        <w:rPr>
          <w:sz w:val="22"/>
          <w:szCs w:val="22"/>
        </w:rPr>
        <w:t>ühisrahastus</w:t>
      </w:r>
      <w:r>
        <w:rPr>
          <w:sz w:val="22"/>
          <w:szCs w:val="22"/>
        </w:rPr>
        <w:t>e</w:t>
      </w:r>
      <w:proofErr w:type="spellEnd"/>
      <w:r>
        <w:rPr>
          <w:sz w:val="22"/>
          <w:szCs w:val="22"/>
        </w:rPr>
        <w:t xml:space="preserve"> </w:t>
      </w:r>
      <w:r w:rsidRPr="005D3D7B">
        <w:rPr>
          <w:sz w:val="22"/>
          <w:szCs w:val="22"/>
        </w:rPr>
        <w:t xml:space="preserve">määrus ja </w:t>
      </w:r>
      <w:r>
        <w:rPr>
          <w:sz w:val="22"/>
          <w:szCs w:val="22"/>
        </w:rPr>
        <w:t>käesolevat seadus</w:t>
      </w:r>
      <w:r w:rsidRPr="005D3D7B">
        <w:rPr>
          <w:sz w:val="22"/>
          <w:szCs w:val="22"/>
        </w:rPr>
        <w:t xml:space="preserve">, mis kehtestab </w:t>
      </w:r>
      <w:proofErr w:type="spellStart"/>
      <w:r w:rsidRPr="005D3D7B">
        <w:rPr>
          <w:sz w:val="22"/>
          <w:szCs w:val="22"/>
        </w:rPr>
        <w:t>ühisrahastusteenuse</w:t>
      </w:r>
      <w:proofErr w:type="spellEnd"/>
      <w:r w:rsidRPr="005D3D7B">
        <w:rPr>
          <w:sz w:val="22"/>
          <w:szCs w:val="22"/>
        </w:rPr>
        <w:t xml:space="preserve"> osutajatele järelevalve ja aruandluskohustuse.</w:t>
      </w:r>
      <w:r w:rsidRPr="00067D5A">
        <w:rPr>
          <w:sz w:val="22"/>
          <w:szCs w:val="22"/>
          <w:vertAlign w:val="superscript"/>
        </w:rPr>
        <w:footnoteReference w:id="57"/>
      </w:r>
    </w:p>
    <w:p w14:paraId="36685017" w14:textId="77777777" w:rsidR="005508E5" w:rsidRPr="005D3D7B" w:rsidRDefault="005508E5" w:rsidP="005508E5">
      <w:pPr>
        <w:spacing w:before="0"/>
        <w:rPr>
          <w:b/>
          <w:sz w:val="22"/>
          <w:szCs w:val="22"/>
        </w:rPr>
      </w:pPr>
    </w:p>
    <w:p w14:paraId="5AD54138" w14:textId="77777777" w:rsidR="005508E5" w:rsidRPr="005D3D7B" w:rsidRDefault="005508E5" w:rsidP="005508E5">
      <w:pPr>
        <w:spacing w:before="0"/>
        <w:rPr>
          <w:sz w:val="22"/>
          <w:szCs w:val="22"/>
        </w:rPr>
      </w:pPr>
      <w:proofErr w:type="spellStart"/>
      <w:r w:rsidRPr="005D3D7B">
        <w:rPr>
          <w:sz w:val="22"/>
          <w:szCs w:val="22"/>
        </w:rPr>
        <w:t>Ühisrahastusteenuse</w:t>
      </w:r>
      <w:proofErr w:type="spellEnd"/>
      <w:r w:rsidRPr="005D3D7B">
        <w:rPr>
          <w:sz w:val="22"/>
          <w:szCs w:val="22"/>
        </w:rPr>
        <w:t xml:space="preserve"> osutajad võib suures plaanis jaotada mõjude vaates </w:t>
      </w:r>
      <w:r>
        <w:rPr>
          <w:sz w:val="22"/>
          <w:szCs w:val="22"/>
        </w:rPr>
        <w:t>kaheks:</w:t>
      </w:r>
    </w:p>
    <w:p w14:paraId="4233EA65" w14:textId="77777777" w:rsidR="005508E5" w:rsidRPr="002A063D" w:rsidRDefault="005508E5" w:rsidP="002B2C7C">
      <w:pPr>
        <w:numPr>
          <w:ilvl w:val="0"/>
          <w:numId w:val="42"/>
        </w:numPr>
        <w:rPr>
          <w:sz w:val="22"/>
          <w:szCs w:val="22"/>
        </w:rPr>
      </w:pPr>
      <w:proofErr w:type="spellStart"/>
      <w:r>
        <w:rPr>
          <w:sz w:val="22"/>
          <w:szCs w:val="22"/>
        </w:rPr>
        <w:t>ü</w:t>
      </w:r>
      <w:r w:rsidRPr="005D3D7B">
        <w:rPr>
          <w:sz w:val="22"/>
          <w:szCs w:val="22"/>
        </w:rPr>
        <w:t>hisrahastusteenuse</w:t>
      </w:r>
      <w:proofErr w:type="spellEnd"/>
      <w:r w:rsidRPr="005D3D7B">
        <w:rPr>
          <w:sz w:val="22"/>
          <w:szCs w:val="22"/>
        </w:rPr>
        <w:t xml:space="preserve"> osutajad, kes taotlevad tegevusloa EL </w:t>
      </w:r>
      <w:proofErr w:type="spellStart"/>
      <w:r w:rsidRPr="005D3D7B">
        <w:rPr>
          <w:sz w:val="22"/>
          <w:szCs w:val="22"/>
        </w:rPr>
        <w:t>ühisrahastusmääruse</w:t>
      </w:r>
      <w:proofErr w:type="spellEnd"/>
      <w:r w:rsidRPr="005D3D7B">
        <w:rPr>
          <w:sz w:val="22"/>
          <w:szCs w:val="22"/>
        </w:rPr>
        <w:t xml:space="preserve"> alusel</w:t>
      </w:r>
      <w:r>
        <w:rPr>
          <w:sz w:val="22"/>
          <w:szCs w:val="22"/>
        </w:rPr>
        <w:t>;</w:t>
      </w:r>
    </w:p>
    <w:p w14:paraId="5CB3F17E" w14:textId="77777777" w:rsidR="005508E5" w:rsidRDefault="005508E5" w:rsidP="002B2C7C">
      <w:pPr>
        <w:numPr>
          <w:ilvl w:val="0"/>
          <w:numId w:val="42"/>
        </w:numPr>
        <w:rPr>
          <w:sz w:val="22"/>
          <w:szCs w:val="22"/>
        </w:rPr>
      </w:pPr>
      <w:r>
        <w:rPr>
          <w:sz w:val="22"/>
          <w:szCs w:val="22"/>
        </w:rPr>
        <w:t>m</w:t>
      </w:r>
      <w:r w:rsidRPr="005D3D7B">
        <w:rPr>
          <w:sz w:val="22"/>
          <w:szCs w:val="22"/>
        </w:rPr>
        <w:t xml:space="preserve">uud </w:t>
      </w:r>
      <w:proofErr w:type="spellStart"/>
      <w:r w:rsidRPr="005D3D7B">
        <w:rPr>
          <w:sz w:val="22"/>
          <w:szCs w:val="22"/>
        </w:rPr>
        <w:t>ühisrahastusteenuse</w:t>
      </w:r>
      <w:proofErr w:type="spellEnd"/>
      <w:r w:rsidRPr="005D3D7B">
        <w:rPr>
          <w:sz w:val="22"/>
          <w:szCs w:val="22"/>
        </w:rPr>
        <w:t xml:space="preserve"> osutajad, kes ei kuulu EL </w:t>
      </w:r>
      <w:proofErr w:type="spellStart"/>
      <w:r w:rsidRPr="005D3D7B">
        <w:rPr>
          <w:sz w:val="22"/>
          <w:szCs w:val="22"/>
        </w:rPr>
        <w:t>ühisrahastusmääruse</w:t>
      </w:r>
      <w:proofErr w:type="spellEnd"/>
      <w:r w:rsidRPr="005D3D7B">
        <w:rPr>
          <w:sz w:val="22"/>
          <w:szCs w:val="22"/>
        </w:rPr>
        <w:t xml:space="preserve"> </w:t>
      </w:r>
      <w:r>
        <w:rPr>
          <w:sz w:val="22"/>
          <w:szCs w:val="22"/>
        </w:rPr>
        <w:t xml:space="preserve">kohaldamisalasse </w:t>
      </w:r>
      <w:r w:rsidRPr="005D3D7B">
        <w:rPr>
          <w:sz w:val="22"/>
          <w:szCs w:val="22"/>
        </w:rPr>
        <w:t xml:space="preserve">ega paku annetus- või auhinnapõhist </w:t>
      </w:r>
      <w:proofErr w:type="spellStart"/>
      <w:r w:rsidRPr="005D3D7B">
        <w:rPr>
          <w:sz w:val="22"/>
          <w:szCs w:val="22"/>
        </w:rPr>
        <w:t>ühisrahastusteenust</w:t>
      </w:r>
      <w:proofErr w:type="spellEnd"/>
      <w:r w:rsidRPr="005D3D7B">
        <w:rPr>
          <w:sz w:val="22"/>
          <w:szCs w:val="22"/>
        </w:rPr>
        <w:t xml:space="preserve">. </w:t>
      </w:r>
    </w:p>
    <w:p w14:paraId="7E444F94" w14:textId="77777777" w:rsidR="005508E5" w:rsidRDefault="005508E5" w:rsidP="005508E5">
      <w:pPr>
        <w:spacing w:before="0"/>
        <w:rPr>
          <w:sz w:val="22"/>
          <w:szCs w:val="22"/>
        </w:rPr>
      </w:pPr>
    </w:p>
    <w:p w14:paraId="1DADD4AF" w14:textId="77777777" w:rsidR="005508E5" w:rsidRDefault="005508E5" w:rsidP="005508E5">
      <w:pPr>
        <w:spacing w:before="0"/>
        <w:rPr>
          <w:sz w:val="22"/>
          <w:szCs w:val="22"/>
          <w:lang w:eastAsia="en-US"/>
        </w:rPr>
      </w:pPr>
      <w:proofErr w:type="spellStart"/>
      <w:r>
        <w:rPr>
          <w:sz w:val="22"/>
          <w:szCs w:val="22"/>
        </w:rPr>
        <w:t>K</w:t>
      </w:r>
      <w:r w:rsidRPr="00104C31">
        <w:rPr>
          <w:sz w:val="22"/>
          <w:szCs w:val="22"/>
        </w:rPr>
        <w:t>rüptovarateenuse</w:t>
      </w:r>
      <w:proofErr w:type="spellEnd"/>
      <w:r w:rsidRPr="00104C31">
        <w:rPr>
          <w:sz w:val="22"/>
          <w:szCs w:val="22"/>
        </w:rPr>
        <w:t xml:space="preserve"> osutajate </w:t>
      </w:r>
      <w:r w:rsidRPr="00104C31">
        <w:rPr>
          <w:sz w:val="22"/>
          <w:szCs w:val="22"/>
          <w:lang w:eastAsia="en-US"/>
        </w:rPr>
        <w:t xml:space="preserve">kohta adekvaatne statistika </w:t>
      </w:r>
      <w:r>
        <w:rPr>
          <w:sz w:val="22"/>
          <w:szCs w:val="22"/>
          <w:lang w:eastAsia="en-US"/>
        </w:rPr>
        <w:t>samuti</w:t>
      </w:r>
      <w:r w:rsidRPr="00104C31">
        <w:rPr>
          <w:sz w:val="22"/>
          <w:szCs w:val="22"/>
          <w:lang w:eastAsia="en-US"/>
        </w:rPr>
        <w:t xml:space="preserve"> käesoleval ajal puudub.</w:t>
      </w:r>
      <w:r>
        <w:rPr>
          <w:sz w:val="22"/>
          <w:szCs w:val="22"/>
          <w:lang w:eastAsia="en-US"/>
        </w:rPr>
        <w:t xml:space="preserve"> Siiski on teada </w:t>
      </w:r>
      <w:proofErr w:type="spellStart"/>
      <w:r>
        <w:rPr>
          <w:sz w:val="22"/>
          <w:szCs w:val="22"/>
          <w:lang w:eastAsia="en-US"/>
        </w:rPr>
        <w:t>krüptovarateenuse</w:t>
      </w:r>
      <w:proofErr w:type="spellEnd"/>
      <w:r>
        <w:rPr>
          <w:sz w:val="22"/>
          <w:szCs w:val="22"/>
          <w:lang w:eastAsia="en-US"/>
        </w:rPr>
        <w:t xml:space="preserve"> osutajate ühe liigi – virtuaalvääringu teenuse osutajate arv:</w:t>
      </w:r>
    </w:p>
    <w:p w14:paraId="30C4F10D" w14:textId="77777777" w:rsidR="005508E5" w:rsidRPr="00D50105" w:rsidRDefault="005508E5" w:rsidP="002B2C7C">
      <w:pPr>
        <w:numPr>
          <w:ilvl w:val="0"/>
          <w:numId w:val="44"/>
        </w:numPr>
        <w:rPr>
          <w:sz w:val="22"/>
          <w:szCs w:val="22"/>
        </w:rPr>
      </w:pPr>
      <w:r w:rsidRPr="00D50105">
        <w:rPr>
          <w:sz w:val="22"/>
          <w:szCs w:val="22"/>
        </w:rPr>
        <w:t xml:space="preserve">2022. a. juuli alguses tegutses hinnanguliselt </w:t>
      </w:r>
      <w:r w:rsidRPr="00D50105">
        <w:rPr>
          <w:b/>
          <w:bCs/>
          <w:sz w:val="22"/>
          <w:szCs w:val="22"/>
        </w:rPr>
        <w:t>ca 200 virtuaalvääringu teenuse osutajat</w:t>
      </w:r>
      <w:r w:rsidRPr="00D50105">
        <w:rPr>
          <w:sz w:val="22"/>
          <w:szCs w:val="22"/>
        </w:rPr>
        <w:t>. Tõenäoliselt see number veel väheneb edaspidi 2022. a. 15. juunil jõustunud rahapesu ja terrorismi rahastamise tõkestamise seaduse muudatuste tõttu.</w:t>
      </w:r>
    </w:p>
    <w:p w14:paraId="0E605166" w14:textId="77777777" w:rsidR="005508E5" w:rsidRPr="00D50105" w:rsidRDefault="005508E5" w:rsidP="002B2C7C">
      <w:pPr>
        <w:numPr>
          <w:ilvl w:val="0"/>
          <w:numId w:val="44"/>
        </w:numPr>
        <w:rPr>
          <w:sz w:val="22"/>
          <w:szCs w:val="22"/>
        </w:rPr>
      </w:pPr>
      <w:r w:rsidRPr="00D50105">
        <w:rPr>
          <w:sz w:val="22"/>
          <w:szCs w:val="22"/>
        </w:rPr>
        <w:t>varasemalt suurenes Eestis tegevusluba taotlenud virtuaalvääringu teenuse osutajate arv väga kiiresti (2017–2019 väljastati virtuaalvääringu teenuste tegevuslubasid enam kui 1300 ettevõttele), sest Eesti oli üks esimesi Euroopa riike, kus virtuaalvääringu teenuste osutamisele kehtestati tegevusloakohustus.</w:t>
      </w:r>
    </w:p>
    <w:p w14:paraId="201F6915" w14:textId="77777777" w:rsidR="005508E5" w:rsidRPr="005D3D7B" w:rsidRDefault="005508E5" w:rsidP="005508E5">
      <w:pPr>
        <w:ind w:left="360"/>
        <w:rPr>
          <w:sz w:val="22"/>
          <w:szCs w:val="22"/>
        </w:rPr>
      </w:pPr>
    </w:p>
    <w:p w14:paraId="700F18DA" w14:textId="77777777" w:rsidR="005508E5" w:rsidRPr="005D3D7B" w:rsidRDefault="005508E5" w:rsidP="005508E5">
      <w:pPr>
        <w:spacing w:before="0"/>
        <w:rPr>
          <w:sz w:val="22"/>
          <w:szCs w:val="22"/>
        </w:rPr>
      </w:pPr>
      <w:r>
        <w:rPr>
          <w:sz w:val="22"/>
          <w:szCs w:val="22"/>
        </w:rPr>
        <w:t xml:space="preserve">Kuidagi ei saa pisendada asjaolu, et virtuaalvääringud on aidanud kaasa ka teatud liiki kuritegevuse kasvule. </w:t>
      </w:r>
      <w:proofErr w:type="spellStart"/>
      <w:r w:rsidRPr="005D3D7B">
        <w:rPr>
          <w:sz w:val="22"/>
          <w:szCs w:val="22"/>
        </w:rPr>
        <w:t>RABi</w:t>
      </w:r>
      <w:proofErr w:type="spellEnd"/>
      <w:r w:rsidRPr="005D3D7B">
        <w:rPr>
          <w:sz w:val="22"/>
          <w:szCs w:val="22"/>
        </w:rPr>
        <w:t xml:space="preserve"> uuringu raames intervjueeritud PPA </w:t>
      </w:r>
      <w:proofErr w:type="spellStart"/>
      <w:r w:rsidRPr="005D3D7B">
        <w:rPr>
          <w:sz w:val="22"/>
          <w:szCs w:val="22"/>
        </w:rPr>
        <w:t>küberkuritegude</w:t>
      </w:r>
      <w:proofErr w:type="spellEnd"/>
      <w:r w:rsidRPr="005D3D7B">
        <w:rPr>
          <w:sz w:val="22"/>
          <w:szCs w:val="22"/>
        </w:rPr>
        <w:t xml:space="preserve"> uurija tõi välja, et virtuaalvääringute kasutamine kuritegelikes skeemides on Eestis levinud, suur osa n-ö kuritegeliku keskkonna arveldamistest toimub virtuaalvääringutes ning ka kuritegude ettevalmistamise faasis kasutatakse palju virtuaalvääringuid. </w:t>
      </w:r>
      <w:proofErr w:type="spellStart"/>
      <w:r w:rsidRPr="005D3D7B">
        <w:rPr>
          <w:sz w:val="22"/>
          <w:szCs w:val="22"/>
        </w:rPr>
        <w:t>Küberkuritegude</w:t>
      </w:r>
      <w:proofErr w:type="spellEnd"/>
      <w:r w:rsidRPr="005D3D7B">
        <w:rPr>
          <w:sz w:val="22"/>
          <w:szCs w:val="22"/>
        </w:rPr>
        <w:t xml:space="preserve"> vaates kasutatakse virtuaalvääringuid peaaegu kõikide kuriteoliikide puhul, üht või paari domineerivat kuriteoliiki ei ole võimalik </w:t>
      </w:r>
      <w:proofErr w:type="spellStart"/>
      <w:r w:rsidRPr="005D3D7B">
        <w:rPr>
          <w:sz w:val="22"/>
          <w:szCs w:val="22"/>
        </w:rPr>
        <w:t>küberkuritegude</w:t>
      </w:r>
      <w:proofErr w:type="spellEnd"/>
      <w:r w:rsidRPr="005D3D7B">
        <w:rPr>
          <w:sz w:val="22"/>
          <w:szCs w:val="22"/>
        </w:rPr>
        <w:t xml:space="preserve"> uurija sõnul võimalik esile tuua, kuid väga levinud on näiteks igasuguse kuritegevuslikuks otstarbeks kasutatava taristu (nt pahavara kontrollserverite) või kuritegelike teenuste (nt varastatud andmete, pahavara lähtekoodide ostmine) eest tasumine </w:t>
      </w:r>
      <w:proofErr w:type="spellStart"/>
      <w:r w:rsidRPr="005D3D7B">
        <w:rPr>
          <w:sz w:val="22"/>
          <w:szCs w:val="22"/>
        </w:rPr>
        <w:t>krüptorahaga</w:t>
      </w:r>
      <w:proofErr w:type="spellEnd"/>
      <w:r w:rsidRPr="005D3D7B">
        <w:rPr>
          <w:sz w:val="22"/>
          <w:szCs w:val="22"/>
        </w:rPr>
        <w:t xml:space="preserve">, aga ka lunaraha nõudmine </w:t>
      </w:r>
      <w:proofErr w:type="spellStart"/>
      <w:r w:rsidRPr="005D3D7B">
        <w:rPr>
          <w:sz w:val="22"/>
          <w:szCs w:val="22"/>
        </w:rPr>
        <w:t>krüptorahas</w:t>
      </w:r>
      <w:proofErr w:type="spellEnd"/>
      <w:r w:rsidRPr="005D3D7B">
        <w:rPr>
          <w:sz w:val="22"/>
          <w:szCs w:val="22"/>
        </w:rPr>
        <w:t>.</w:t>
      </w:r>
      <w:r w:rsidRPr="00067D5A">
        <w:rPr>
          <w:sz w:val="22"/>
          <w:szCs w:val="22"/>
          <w:vertAlign w:val="superscript"/>
        </w:rPr>
        <w:footnoteReference w:id="58"/>
      </w:r>
    </w:p>
    <w:p w14:paraId="0E395551" w14:textId="77777777" w:rsidR="005508E5" w:rsidRDefault="005508E5" w:rsidP="005508E5">
      <w:pPr>
        <w:spacing w:before="0"/>
        <w:rPr>
          <w:sz w:val="22"/>
          <w:szCs w:val="22"/>
          <w:lang w:eastAsia="en-US"/>
        </w:rPr>
      </w:pPr>
    </w:p>
    <w:p w14:paraId="488AAA1D" w14:textId="77777777" w:rsidR="005508E5" w:rsidRDefault="005508E5" w:rsidP="005508E5">
      <w:pPr>
        <w:spacing w:before="0"/>
        <w:rPr>
          <w:sz w:val="22"/>
          <w:szCs w:val="22"/>
          <w:lang w:eastAsia="en-US"/>
        </w:rPr>
      </w:pPr>
      <w:r>
        <w:rPr>
          <w:sz w:val="22"/>
          <w:szCs w:val="22"/>
          <w:lang w:eastAsia="en-US"/>
        </w:rPr>
        <w:t xml:space="preserve">Lisaks avaldas </w:t>
      </w:r>
      <w:proofErr w:type="spellStart"/>
      <w:r>
        <w:rPr>
          <w:sz w:val="22"/>
          <w:szCs w:val="22"/>
          <w:lang w:eastAsia="en-US"/>
        </w:rPr>
        <w:t>TalTech</w:t>
      </w:r>
      <w:proofErr w:type="spellEnd"/>
      <w:r>
        <w:rPr>
          <w:sz w:val="22"/>
          <w:szCs w:val="22"/>
          <w:lang w:eastAsia="en-US"/>
        </w:rPr>
        <w:t xml:space="preserve"> 2021. a. 16. juunil uuringu, milles käsitletakse Eesti nn </w:t>
      </w:r>
      <w:proofErr w:type="spellStart"/>
      <w:r>
        <w:rPr>
          <w:sz w:val="22"/>
          <w:szCs w:val="22"/>
          <w:lang w:eastAsia="en-US"/>
        </w:rPr>
        <w:t>FinTech</w:t>
      </w:r>
      <w:proofErr w:type="spellEnd"/>
      <w:r>
        <w:rPr>
          <w:sz w:val="22"/>
          <w:szCs w:val="22"/>
          <w:lang w:eastAsia="en-US"/>
        </w:rPr>
        <w:t xml:space="preserve"> sektori suurust, sh kui palju ettevõtteid selles valdkonnas tegutseb ja mis on töötajate kogu arv</w:t>
      </w:r>
      <w:r w:rsidRPr="00067D5A">
        <w:rPr>
          <w:sz w:val="22"/>
          <w:szCs w:val="22"/>
          <w:vertAlign w:val="superscript"/>
          <w:lang w:eastAsia="en-US"/>
        </w:rPr>
        <w:footnoteReference w:id="59"/>
      </w:r>
      <w:r>
        <w:rPr>
          <w:sz w:val="22"/>
          <w:szCs w:val="22"/>
          <w:lang w:eastAsia="en-US"/>
        </w:rPr>
        <w:t xml:space="preserve">. Selle uuringu kohaselt tegutses Eestis 2020. a. lõpus 215 </w:t>
      </w:r>
      <w:proofErr w:type="spellStart"/>
      <w:r>
        <w:rPr>
          <w:sz w:val="22"/>
          <w:szCs w:val="22"/>
          <w:lang w:eastAsia="en-US"/>
        </w:rPr>
        <w:t>FinTech</w:t>
      </w:r>
      <w:proofErr w:type="spellEnd"/>
      <w:r>
        <w:rPr>
          <w:sz w:val="22"/>
          <w:szCs w:val="22"/>
          <w:lang w:eastAsia="en-US"/>
        </w:rPr>
        <w:t xml:space="preserve"> suunitlusega ettevõtet, sealhulgas 51 ettevõtet nendest tegeles nn digitaalsete varade kauplemis- või vahetuskohana, 19 ettevõtet pakkus digitaalselt finantsvahendite kaasamise võimalusi ja 43 ettevõtet tegeles digitaalsel kujul laenude vahendamisega.</w:t>
      </w:r>
    </w:p>
    <w:p w14:paraId="29CE8DE4" w14:textId="77777777" w:rsidR="007F70E6" w:rsidRDefault="007F70E6" w:rsidP="005508E5">
      <w:pPr>
        <w:spacing w:before="0"/>
        <w:rPr>
          <w:b/>
          <w:bCs/>
          <w:sz w:val="20"/>
          <w:szCs w:val="20"/>
          <w:lang w:eastAsia="en-US"/>
        </w:rPr>
      </w:pPr>
    </w:p>
    <w:p w14:paraId="0AAD0264" w14:textId="3B859718" w:rsidR="005508E5" w:rsidRDefault="005508E5" w:rsidP="005508E5">
      <w:pPr>
        <w:spacing w:before="0"/>
        <w:rPr>
          <w:b/>
          <w:bCs/>
          <w:sz w:val="20"/>
          <w:szCs w:val="20"/>
          <w:lang w:eastAsia="en-US"/>
        </w:rPr>
      </w:pPr>
      <w:r>
        <w:rPr>
          <w:bCs/>
          <w:sz w:val="20"/>
          <w:szCs w:val="20"/>
          <w:lang w:eastAsia="en-US"/>
        </w:rPr>
        <w:t>Tabel</w:t>
      </w:r>
      <w:r w:rsidRPr="00E332E1">
        <w:rPr>
          <w:bCs/>
          <w:sz w:val="20"/>
          <w:szCs w:val="20"/>
          <w:lang w:eastAsia="en-US"/>
        </w:rPr>
        <w:t xml:space="preserve"> </w:t>
      </w:r>
      <w:r w:rsidR="007F70E6">
        <w:rPr>
          <w:b/>
          <w:bCs/>
          <w:sz w:val="20"/>
          <w:szCs w:val="20"/>
          <w:lang w:eastAsia="en-US"/>
        </w:rPr>
        <w:t>7</w:t>
      </w:r>
      <w:r w:rsidRPr="00E332E1">
        <w:rPr>
          <w:bCs/>
          <w:sz w:val="20"/>
          <w:szCs w:val="20"/>
          <w:lang w:eastAsia="en-US"/>
        </w:rPr>
        <w:t xml:space="preserve">. 2020. a. lõpu seisuga Eestis tegutsevad </w:t>
      </w:r>
      <w:proofErr w:type="spellStart"/>
      <w:r w:rsidRPr="00E332E1">
        <w:rPr>
          <w:bCs/>
          <w:sz w:val="20"/>
          <w:szCs w:val="20"/>
          <w:lang w:eastAsia="en-US"/>
        </w:rPr>
        <w:t>FinTech</w:t>
      </w:r>
      <w:proofErr w:type="spellEnd"/>
      <w:r w:rsidRPr="00E332E1">
        <w:rPr>
          <w:bCs/>
          <w:sz w:val="20"/>
          <w:szCs w:val="20"/>
          <w:lang w:eastAsia="en-US"/>
        </w:rPr>
        <w:t xml:space="preserve"> ettevõtted erinevate teenuste või tegevusvaldkondade järgi</w:t>
      </w:r>
      <w:r w:rsidRPr="00067D5A">
        <w:rPr>
          <w:sz w:val="20"/>
          <w:szCs w:val="20"/>
          <w:vertAlign w:val="superscript"/>
          <w:lang w:eastAsia="en-US"/>
        </w:rPr>
        <w:footnoteReference w:id="60"/>
      </w:r>
    </w:p>
    <w:tbl>
      <w:tblPr>
        <w:tblStyle w:val="GridTable4-Accent5"/>
        <w:tblW w:w="9354" w:type="dxa"/>
        <w:tblLayout w:type="fixed"/>
        <w:tblLook w:val="04A0" w:firstRow="1" w:lastRow="0" w:firstColumn="1" w:lastColumn="0" w:noHBand="0" w:noVBand="1"/>
      </w:tblPr>
      <w:tblGrid>
        <w:gridCol w:w="4900"/>
        <w:gridCol w:w="4454"/>
      </w:tblGrid>
      <w:tr w:rsidR="005508E5" w:rsidRPr="00141EF8" w14:paraId="7E579764" w14:textId="77777777" w:rsidTr="00E672AE">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900" w:type="dxa"/>
          </w:tcPr>
          <w:p w14:paraId="2A41605D" w14:textId="77777777" w:rsidR="005508E5" w:rsidRPr="00141EF8" w:rsidRDefault="005508E5" w:rsidP="00E672AE">
            <w:pPr>
              <w:pBdr>
                <w:top w:val="nil"/>
                <w:left w:val="nil"/>
                <w:bottom w:val="nil"/>
                <w:right w:val="nil"/>
                <w:between w:val="nil"/>
              </w:pBdr>
              <w:spacing w:before="0"/>
              <w:ind w:left="311"/>
              <w:jc w:val="center"/>
              <w:rPr>
                <w:rFonts w:ascii="Bahnschrift" w:eastAsia="Bahnschrift" w:hAnsi="Bahnschrift" w:cs="Bahnschrift"/>
                <w:sz w:val="18"/>
                <w:szCs w:val="18"/>
              </w:rPr>
            </w:pPr>
            <w:r w:rsidRPr="00141EF8">
              <w:rPr>
                <w:rFonts w:ascii="Bahnschrift" w:eastAsia="Bahnschrift" w:hAnsi="Bahnschrift" w:cs="Bahnschrift"/>
                <w:b w:val="0"/>
                <w:sz w:val="18"/>
                <w:szCs w:val="18"/>
              </w:rPr>
              <w:t>VALDKOND</w:t>
            </w:r>
          </w:p>
        </w:tc>
        <w:tc>
          <w:tcPr>
            <w:tcW w:w="4454" w:type="dxa"/>
          </w:tcPr>
          <w:p w14:paraId="291AA5CE" w14:textId="77777777" w:rsidR="005508E5" w:rsidRPr="00141EF8" w:rsidRDefault="005508E5" w:rsidP="00E672AE">
            <w:pPr>
              <w:pBdr>
                <w:top w:val="nil"/>
                <w:left w:val="nil"/>
                <w:bottom w:val="nil"/>
                <w:right w:val="nil"/>
                <w:between w:val="nil"/>
              </w:pBdr>
              <w:spacing w:before="0"/>
              <w:jc w:val="center"/>
              <w:cnfStyle w:val="100000000000" w:firstRow="1" w:lastRow="0" w:firstColumn="0" w:lastColumn="0" w:oddVBand="0" w:evenVBand="0" w:oddHBand="0" w:evenHBand="0" w:firstRowFirstColumn="0" w:firstRowLastColumn="0" w:lastRowFirstColumn="0" w:lastRowLastColumn="0"/>
              <w:rPr>
                <w:rFonts w:ascii="Bahnschrift" w:eastAsia="Bahnschrift" w:hAnsi="Bahnschrift" w:cs="Bahnschrift"/>
                <w:sz w:val="18"/>
                <w:szCs w:val="18"/>
              </w:rPr>
            </w:pPr>
            <w:r>
              <w:rPr>
                <w:rFonts w:ascii="Bahnschrift" w:eastAsia="Bahnschrift" w:hAnsi="Bahnschrift" w:cs="Bahnschrift"/>
                <w:b w:val="0"/>
                <w:sz w:val="18"/>
                <w:szCs w:val="18"/>
              </w:rPr>
              <w:t>Ettevõtete arv (näited</w:t>
            </w:r>
            <w:r w:rsidRPr="00141EF8">
              <w:rPr>
                <w:rFonts w:ascii="Bahnschrift" w:eastAsia="Bahnschrift" w:hAnsi="Bahnschrift" w:cs="Bahnschrift"/>
                <w:b w:val="0"/>
                <w:sz w:val="18"/>
                <w:szCs w:val="18"/>
              </w:rPr>
              <w:t xml:space="preserve"> </w:t>
            </w:r>
            <w:r>
              <w:rPr>
                <w:rFonts w:ascii="Bahnschrift" w:eastAsia="Bahnschrift" w:hAnsi="Bahnschrift" w:cs="Bahnschrift"/>
                <w:b w:val="0"/>
                <w:sz w:val="18"/>
                <w:szCs w:val="18"/>
              </w:rPr>
              <w:t>ettevõtetest)</w:t>
            </w:r>
          </w:p>
        </w:tc>
      </w:tr>
      <w:tr w:rsidR="005508E5" w:rsidRPr="00141EF8" w14:paraId="7C8F2D8B" w14:textId="77777777" w:rsidTr="00E672A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900" w:type="dxa"/>
          </w:tcPr>
          <w:p w14:paraId="0157C314"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sidRPr="00141EF8">
              <w:rPr>
                <w:rFonts w:ascii="Bahnschrift" w:hAnsi="Bahnschrift"/>
                <w:sz w:val="18"/>
                <w:szCs w:val="18"/>
              </w:rPr>
              <w:t xml:space="preserve">Digitaalne </w:t>
            </w:r>
            <w:r>
              <w:rPr>
                <w:rFonts w:ascii="Bahnschrift" w:hAnsi="Bahnschrift"/>
                <w:sz w:val="18"/>
                <w:szCs w:val="18"/>
              </w:rPr>
              <w:t>laenamine/</w:t>
            </w:r>
            <w:r w:rsidRPr="00141EF8">
              <w:rPr>
                <w:rFonts w:ascii="Bahnschrift" w:hAnsi="Bahnschrift"/>
                <w:sz w:val="18"/>
                <w:szCs w:val="18"/>
              </w:rPr>
              <w:t xml:space="preserve">rahastamine </w:t>
            </w:r>
          </w:p>
          <w:p w14:paraId="1EE39189"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lending</w:t>
            </w:r>
            <w:proofErr w:type="spellEnd"/>
            <w:r>
              <w:rPr>
                <w:rFonts w:ascii="Bahnschrift" w:eastAsia="Bahnschrift" w:hAnsi="Bahnschrift" w:cs="Bahnschrift"/>
                <w:b w:val="0"/>
                <w:color w:val="000000"/>
                <w:sz w:val="18"/>
                <w:szCs w:val="18"/>
              </w:rPr>
              <w:t>]</w:t>
            </w:r>
          </w:p>
        </w:tc>
        <w:tc>
          <w:tcPr>
            <w:tcW w:w="4454" w:type="dxa"/>
          </w:tcPr>
          <w:p w14:paraId="1B530240" w14:textId="77777777" w:rsidR="005508E5" w:rsidRDefault="005508E5" w:rsidP="00E672AE">
            <w:pP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sz w:val="18"/>
                <w:szCs w:val="18"/>
              </w:rPr>
            </w:pPr>
            <w:r>
              <w:rPr>
                <w:rFonts w:ascii="Bahnschrift" w:eastAsia="Bahnschrift" w:hAnsi="Bahnschrift" w:cs="Bahnschrift"/>
                <w:i/>
                <w:sz w:val="18"/>
                <w:szCs w:val="18"/>
              </w:rPr>
              <w:t>43</w:t>
            </w:r>
          </w:p>
          <w:p w14:paraId="5A8A092F" w14:textId="77777777" w:rsidR="005508E5" w:rsidRPr="00141EF8" w:rsidRDefault="005508E5" w:rsidP="00E672AE">
            <w:pP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sz w:val="18"/>
                <w:szCs w:val="18"/>
              </w:rPr>
            </w:pPr>
            <w:r>
              <w:rPr>
                <w:rFonts w:ascii="Bahnschrift" w:eastAsia="Bahnschrift" w:hAnsi="Bahnschrift" w:cs="Bahnschrift"/>
                <w:i/>
                <w:sz w:val="18"/>
                <w:szCs w:val="18"/>
              </w:rPr>
              <w:t>(</w:t>
            </w:r>
            <w:r w:rsidRPr="00141EF8">
              <w:rPr>
                <w:rFonts w:ascii="Bahnschrift" w:eastAsia="Bahnschrift" w:hAnsi="Bahnschrift" w:cs="Bahnschrift"/>
                <w:i/>
                <w:sz w:val="18"/>
                <w:szCs w:val="18"/>
              </w:rPr>
              <w:t xml:space="preserve">Bondora, </w:t>
            </w:r>
            <w:proofErr w:type="spellStart"/>
            <w:r w:rsidRPr="00141EF8">
              <w:rPr>
                <w:rFonts w:ascii="Bahnschrift" w:eastAsia="Bahnschrift" w:hAnsi="Bahnschrift" w:cs="Bahnschrift"/>
                <w:i/>
                <w:sz w:val="18"/>
                <w:szCs w:val="18"/>
              </w:rPr>
              <w:t>EstateGuru</w:t>
            </w:r>
            <w:proofErr w:type="spellEnd"/>
            <w:sdt>
              <w:sdtPr>
                <w:rPr>
                  <w:rFonts w:ascii="Bahnschrift" w:hAnsi="Bahnschrift"/>
                  <w:sz w:val="18"/>
                  <w:szCs w:val="18"/>
                </w:rPr>
                <w:tag w:val="goog_rdk_18"/>
                <w:id w:val="1143936001"/>
              </w:sdtPr>
              <w:sdtEndPr/>
              <w:sdtContent>
                <w:r w:rsidRPr="00141EF8">
                  <w:rPr>
                    <w:rFonts w:ascii="Bahnschrift" w:eastAsia="Bahnschrift" w:hAnsi="Bahnschrift" w:cs="Bahnschrift"/>
                    <w:i/>
                    <w:sz w:val="18"/>
                    <w:szCs w:val="18"/>
                  </w:rPr>
                  <w:t xml:space="preserve">, </w:t>
                </w:r>
                <w:proofErr w:type="spellStart"/>
                <w:r w:rsidRPr="00141EF8">
                  <w:rPr>
                    <w:rFonts w:ascii="Bahnschrift" w:eastAsia="Bahnschrift" w:hAnsi="Bahnschrift" w:cs="Bahnschrift"/>
                    <w:i/>
                    <w:sz w:val="18"/>
                    <w:szCs w:val="18"/>
                  </w:rPr>
                  <w:t>Crowdestate</w:t>
                </w:r>
                <w:proofErr w:type="spellEnd"/>
                <w:r>
                  <w:rPr>
                    <w:rFonts w:ascii="Bahnschrift" w:eastAsia="Bahnschrift" w:hAnsi="Bahnschrift" w:cs="Bahnschrift"/>
                    <w:i/>
                    <w:sz w:val="18"/>
                    <w:szCs w:val="18"/>
                  </w:rPr>
                  <w:t>)</w:t>
                </w:r>
              </w:sdtContent>
            </w:sdt>
          </w:p>
        </w:tc>
      </w:tr>
      <w:tr w:rsidR="005508E5" w:rsidRPr="00141EF8" w14:paraId="6BC8DBEA" w14:textId="77777777" w:rsidTr="00E672AE">
        <w:trPr>
          <w:trHeight w:val="420"/>
        </w:trPr>
        <w:tc>
          <w:tcPr>
            <w:cnfStyle w:val="001000000000" w:firstRow="0" w:lastRow="0" w:firstColumn="1" w:lastColumn="0" w:oddVBand="0" w:evenVBand="0" w:oddHBand="0" w:evenHBand="0" w:firstRowFirstColumn="0" w:firstRowLastColumn="0" w:lastRowFirstColumn="0" w:lastRowLastColumn="0"/>
            <w:tcW w:w="4900" w:type="dxa"/>
          </w:tcPr>
          <w:p w14:paraId="1BD3315F"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Digitaalne kapitaline kaasamine</w:t>
            </w:r>
          </w:p>
          <w:p w14:paraId="1019D75E"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capital</w:t>
            </w:r>
            <w:proofErr w:type="spellEnd"/>
            <w:r w:rsidRPr="00141EF8">
              <w:rPr>
                <w:rFonts w:ascii="Bahnschrift" w:eastAsia="Bahnschrift" w:hAnsi="Bahnschrift" w:cs="Bahnschrift"/>
                <w:b w:val="0"/>
                <w:color w:val="000000"/>
                <w:sz w:val="18"/>
                <w:szCs w:val="18"/>
              </w:rPr>
              <w:t xml:space="preserve"> </w:t>
            </w:r>
            <w:proofErr w:type="spellStart"/>
            <w:r w:rsidRPr="00141EF8">
              <w:rPr>
                <w:rFonts w:ascii="Bahnschrift" w:eastAsia="Bahnschrift" w:hAnsi="Bahnschrift" w:cs="Bahnschrift"/>
                <w:b w:val="0"/>
                <w:color w:val="000000"/>
                <w:sz w:val="18"/>
                <w:szCs w:val="18"/>
              </w:rPr>
              <w:t>raising</w:t>
            </w:r>
            <w:proofErr w:type="spellEnd"/>
            <w:r>
              <w:rPr>
                <w:rFonts w:ascii="Bahnschrift" w:eastAsia="Bahnschrift" w:hAnsi="Bahnschrift" w:cs="Bahnschrift"/>
                <w:b w:val="0"/>
                <w:color w:val="000000"/>
                <w:sz w:val="18"/>
                <w:szCs w:val="18"/>
              </w:rPr>
              <w:t>]</w:t>
            </w:r>
          </w:p>
        </w:tc>
        <w:tc>
          <w:tcPr>
            <w:tcW w:w="4454" w:type="dxa"/>
          </w:tcPr>
          <w:p w14:paraId="4A67DA0F" w14:textId="77777777" w:rsidR="005508E5" w:rsidRDefault="005508E5" w:rsidP="00E672AE">
            <w:pP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sz w:val="18"/>
                <w:szCs w:val="18"/>
              </w:rPr>
            </w:pPr>
            <w:r>
              <w:rPr>
                <w:rFonts w:ascii="Bahnschrift" w:eastAsia="Bahnschrift" w:hAnsi="Bahnschrift" w:cs="Bahnschrift"/>
                <w:i/>
                <w:sz w:val="18"/>
                <w:szCs w:val="18"/>
              </w:rPr>
              <w:t>19</w:t>
            </w:r>
          </w:p>
          <w:p w14:paraId="0D255209" w14:textId="77777777" w:rsidR="005508E5" w:rsidRPr="00141EF8" w:rsidRDefault="005508E5" w:rsidP="00E672AE">
            <w:pP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sz w:val="18"/>
                <w:szCs w:val="18"/>
              </w:rPr>
            </w:pPr>
            <w:r>
              <w:rPr>
                <w:rFonts w:ascii="Bahnschrift" w:eastAsia="Bahnschrift" w:hAnsi="Bahnschrift" w:cs="Bahnschrift"/>
                <w:i/>
                <w:sz w:val="18"/>
                <w:szCs w:val="18"/>
              </w:rPr>
              <w:t>(</w:t>
            </w:r>
            <w:proofErr w:type="spellStart"/>
            <w:r w:rsidRPr="00141EF8">
              <w:rPr>
                <w:rFonts w:ascii="Bahnschrift" w:eastAsia="Bahnschrift" w:hAnsi="Bahnschrift" w:cs="Bahnschrift"/>
                <w:i/>
                <w:sz w:val="18"/>
                <w:szCs w:val="18"/>
              </w:rPr>
              <w:t>Funderbeam</w:t>
            </w:r>
            <w:proofErr w:type="spellEnd"/>
            <w:r w:rsidRPr="00141EF8">
              <w:rPr>
                <w:rFonts w:ascii="Bahnschrift" w:eastAsia="Bahnschrift" w:hAnsi="Bahnschrift" w:cs="Bahnschrift"/>
                <w:i/>
                <w:sz w:val="18"/>
                <w:szCs w:val="18"/>
              </w:rPr>
              <w:t xml:space="preserve">, </w:t>
            </w:r>
            <w:proofErr w:type="spellStart"/>
            <w:r w:rsidRPr="00141EF8">
              <w:rPr>
                <w:rFonts w:ascii="Bahnschrift" w:eastAsia="Bahnschrift" w:hAnsi="Bahnschrift" w:cs="Bahnschrift"/>
                <w:i/>
                <w:sz w:val="18"/>
                <w:szCs w:val="18"/>
              </w:rPr>
              <w:t>Raison</w:t>
            </w:r>
            <w:proofErr w:type="spellEnd"/>
            <w:sdt>
              <w:sdtPr>
                <w:rPr>
                  <w:rFonts w:ascii="Bahnschrift" w:hAnsi="Bahnschrift"/>
                  <w:sz w:val="18"/>
                  <w:szCs w:val="18"/>
                </w:rPr>
                <w:tag w:val="goog_rdk_20"/>
                <w:id w:val="-1250026993"/>
              </w:sdtPr>
              <w:sdtEndPr/>
              <w:sdtContent>
                <w:r w:rsidRPr="00141EF8">
                  <w:rPr>
                    <w:rFonts w:ascii="Bahnschrift" w:eastAsia="Bahnschrift" w:hAnsi="Bahnschrift" w:cs="Bahnschrift"/>
                    <w:i/>
                    <w:sz w:val="18"/>
                    <w:szCs w:val="18"/>
                  </w:rPr>
                  <w:t xml:space="preserve">, </w:t>
                </w:r>
                <w:proofErr w:type="spellStart"/>
                <w:r w:rsidRPr="00141EF8">
                  <w:rPr>
                    <w:rFonts w:ascii="Bahnschrift" w:eastAsia="Bahnschrift" w:hAnsi="Bahnschrift" w:cs="Bahnschrift"/>
                    <w:i/>
                    <w:sz w:val="18"/>
                    <w:szCs w:val="18"/>
                  </w:rPr>
                  <w:t>Landex</w:t>
                </w:r>
                <w:proofErr w:type="spellEnd"/>
                <w:r>
                  <w:rPr>
                    <w:rFonts w:ascii="Bahnschrift" w:eastAsia="Bahnschrift" w:hAnsi="Bahnschrift" w:cs="Bahnschrift"/>
                    <w:i/>
                    <w:sz w:val="18"/>
                    <w:szCs w:val="18"/>
                  </w:rPr>
                  <w:t>)</w:t>
                </w:r>
              </w:sdtContent>
            </w:sdt>
          </w:p>
        </w:tc>
      </w:tr>
      <w:tr w:rsidR="005508E5" w:rsidRPr="00141EF8" w14:paraId="1FAD6094" w14:textId="77777777" w:rsidTr="00E672A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00" w:type="dxa"/>
          </w:tcPr>
          <w:p w14:paraId="13A98623"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Digitaalne pangandus ja pangandustarkvara arendus</w:t>
            </w:r>
          </w:p>
          <w:p w14:paraId="698BB65E"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banking</w:t>
            </w:r>
            <w:proofErr w:type="spellEnd"/>
            <w:r w:rsidRPr="00141EF8">
              <w:rPr>
                <w:rFonts w:ascii="Bahnschrift" w:eastAsia="Bahnschrift" w:hAnsi="Bahnschrift" w:cs="Bahnschrift"/>
                <w:b w:val="0"/>
                <w:color w:val="000000"/>
                <w:sz w:val="18"/>
                <w:szCs w:val="18"/>
              </w:rPr>
              <w:t xml:space="preserve"> and </w:t>
            </w:r>
            <w:proofErr w:type="spellStart"/>
            <w:r w:rsidRPr="00141EF8">
              <w:rPr>
                <w:rFonts w:ascii="Bahnschrift" w:eastAsia="Bahnschrift" w:hAnsi="Bahnschrift" w:cs="Bahnschrift"/>
                <w:b w:val="0"/>
                <w:color w:val="000000"/>
                <w:sz w:val="18"/>
                <w:szCs w:val="18"/>
              </w:rPr>
              <w:t>banking</w:t>
            </w:r>
            <w:proofErr w:type="spellEnd"/>
            <w:r w:rsidRPr="00141EF8">
              <w:rPr>
                <w:rFonts w:ascii="Bahnschrift" w:eastAsia="Bahnschrift" w:hAnsi="Bahnschrift" w:cs="Bahnschrift"/>
                <w:b w:val="0"/>
                <w:color w:val="000000"/>
                <w:sz w:val="18"/>
                <w:szCs w:val="18"/>
              </w:rPr>
              <w:t xml:space="preserve"> </w:t>
            </w:r>
            <w:proofErr w:type="spellStart"/>
            <w:r w:rsidRPr="00141EF8">
              <w:rPr>
                <w:rFonts w:ascii="Bahnschrift" w:eastAsia="Bahnschrift" w:hAnsi="Bahnschrift" w:cs="Bahnschrift"/>
                <w:b w:val="0"/>
                <w:color w:val="000000"/>
                <w:sz w:val="18"/>
                <w:szCs w:val="18"/>
              </w:rPr>
              <w:t>software</w:t>
            </w:r>
            <w:proofErr w:type="spellEnd"/>
            <w:r>
              <w:rPr>
                <w:rFonts w:ascii="Bahnschrift" w:eastAsia="Bahnschrift" w:hAnsi="Bahnschrift" w:cs="Bahnschrift"/>
                <w:b w:val="0"/>
                <w:color w:val="000000"/>
                <w:sz w:val="18"/>
                <w:szCs w:val="18"/>
              </w:rPr>
              <w:t>]</w:t>
            </w:r>
          </w:p>
        </w:tc>
        <w:tc>
          <w:tcPr>
            <w:tcW w:w="4454" w:type="dxa"/>
          </w:tcPr>
          <w:p w14:paraId="2FE02332" w14:textId="77777777" w:rsidR="005508E5"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sz w:val="18"/>
                <w:szCs w:val="18"/>
              </w:rPr>
            </w:pPr>
            <w:r>
              <w:rPr>
                <w:rFonts w:ascii="Bahnschrift" w:eastAsia="Bahnschrift" w:hAnsi="Bahnschrift" w:cs="Bahnschrift"/>
                <w:i/>
                <w:sz w:val="18"/>
                <w:szCs w:val="18"/>
              </w:rPr>
              <w:t>24</w:t>
            </w:r>
          </w:p>
          <w:p w14:paraId="44B2EFFC" w14:textId="77777777" w:rsidR="005508E5" w:rsidRPr="00141EF8"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sz w:val="18"/>
                <w:szCs w:val="18"/>
              </w:rPr>
              <w:t>(</w:t>
            </w:r>
            <w:proofErr w:type="spellStart"/>
            <w:r w:rsidRPr="00141EF8">
              <w:rPr>
                <w:rFonts w:ascii="Bahnschrift" w:eastAsia="Bahnschrift" w:hAnsi="Bahnschrift" w:cs="Bahnschrift"/>
                <w:i/>
                <w:sz w:val="18"/>
                <w:szCs w:val="18"/>
              </w:rPr>
              <w:t>Monese</w:t>
            </w:r>
            <w:proofErr w:type="spellEnd"/>
            <w:r w:rsidRPr="00141EF8">
              <w:rPr>
                <w:rFonts w:ascii="Bahnschrift" w:eastAsia="Bahnschrift" w:hAnsi="Bahnschrift" w:cs="Bahnschrift"/>
                <w:i/>
                <w:sz w:val="18"/>
                <w:szCs w:val="18"/>
              </w:rPr>
              <w:t>, Tuum</w:t>
            </w:r>
            <w:sdt>
              <w:sdtPr>
                <w:rPr>
                  <w:rFonts w:ascii="Bahnschrift" w:hAnsi="Bahnschrift"/>
                  <w:sz w:val="18"/>
                  <w:szCs w:val="18"/>
                </w:rPr>
                <w:tag w:val="goog_rdk_22"/>
                <w:id w:val="1049724178"/>
              </w:sdtPr>
              <w:sdtEndPr/>
              <w:sdtContent>
                <w:r w:rsidRPr="00141EF8">
                  <w:rPr>
                    <w:rFonts w:ascii="Bahnschrift" w:eastAsia="Bahnschrift" w:hAnsi="Bahnschrift" w:cs="Bahnschrift"/>
                    <w:i/>
                    <w:sz w:val="18"/>
                    <w:szCs w:val="18"/>
                  </w:rPr>
                  <w:t xml:space="preserve">, </w:t>
                </w:r>
                <w:proofErr w:type="spellStart"/>
                <w:r w:rsidRPr="00141EF8">
                  <w:rPr>
                    <w:rFonts w:ascii="Bahnschrift" w:eastAsia="Bahnschrift" w:hAnsi="Bahnschrift" w:cs="Bahnschrift"/>
                    <w:i/>
                    <w:sz w:val="18"/>
                    <w:szCs w:val="18"/>
                  </w:rPr>
                  <w:t>Bankish</w:t>
                </w:r>
                <w:proofErr w:type="spellEnd"/>
                <w:r>
                  <w:rPr>
                    <w:rFonts w:ascii="Bahnschrift" w:eastAsia="Bahnschrift" w:hAnsi="Bahnschrift" w:cs="Bahnschrift"/>
                    <w:i/>
                    <w:sz w:val="18"/>
                    <w:szCs w:val="18"/>
                  </w:rPr>
                  <w:t>)</w:t>
                </w:r>
              </w:sdtContent>
            </w:sdt>
          </w:p>
        </w:tc>
      </w:tr>
      <w:tr w:rsidR="005508E5" w:rsidRPr="00141EF8" w14:paraId="547361AA" w14:textId="77777777" w:rsidTr="00E672AE">
        <w:trPr>
          <w:trHeight w:val="565"/>
        </w:trPr>
        <w:tc>
          <w:tcPr>
            <w:cnfStyle w:val="001000000000" w:firstRow="0" w:lastRow="0" w:firstColumn="1" w:lastColumn="0" w:oddVBand="0" w:evenVBand="0" w:oddHBand="0" w:evenHBand="0" w:firstRowFirstColumn="0" w:firstRowLastColumn="0" w:lastRowFirstColumn="0" w:lastRowLastColumn="0"/>
            <w:tcW w:w="4900" w:type="dxa"/>
          </w:tcPr>
          <w:p w14:paraId="595ED2EC"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Digitaalne säästmine/raha kogumine</w:t>
            </w:r>
          </w:p>
          <w:p w14:paraId="25CE9AAD"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savings</w:t>
            </w:r>
            <w:proofErr w:type="spellEnd"/>
            <w:r>
              <w:rPr>
                <w:rFonts w:ascii="Bahnschrift" w:eastAsia="Bahnschrift" w:hAnsi="Bahnschrift" w:cs="Bahnschrift"/>
                <w:b w:val="0"/>
                <w:color w:val="000000"/>
                <w:sz w:val="18"/>
                <w:szCs w:val="18"/>
              </w:rPr>
              <w:t>]</w:t>
            </w:r>
          </w:p>
        </w:tc>
        <w:tc>
          <w:tcPr>
            <w:tcW w:w="4454" w:type="dxa"/>
          </w:tcPr>
          <w:p w14:paraId="0210AAC1" w14:textId="77777777" w:rsidR="005508E5" w:rsidRPr="00141EF8" w:rsidRDefault="005508E5" w:rsidP="00E672AE">
            <w:pPr>
              <w:pBdr>
                <w:top w:val="nil"/>
                <w:left w:val="nil"/>
                <w:bottom w:val="nil"/>
                <w:right w:val="nil"/>
                <w:between w:val="nil"/>
              </w:pBd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w:t>
            </w:r>
          </w:p>
        </w:tc>
      </w:tr>
      <w:tr w:rsidR="005508E5" w:rsidRPr="00141EF8" w14:paraId="3064A2F4" w14:textId="77777777" w:rsidTr="00E672A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900" w:type="dxa"/>
          </w:tcPr>
          <w:p w14:paraId="69768F66"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Digitaalsed maksed/makseteenused</w:t>
            </w:r>
          </w:p>
          <w:p w14:paraId="04682854"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payments</w:t>
            </w:r>
            <w:proofErr w:type="spellEnd"/>
            <w:r>
              <w:rPr>
                <w:rFonts w:ascii="Bahnschrift" w:eastAsia="Bahnschrift" w:hAnsi="Bahnschrift" w:cs="Bahnschrift"/>
                <w:b w:val="0"/>
                <w:color w:val="000000"/>
                <w:sz w:val="18"/>
                <w:szCs w:val="18"/>
              </w:rPr>
              <w:t>]</w:t>
            </w:r>
          </w:p>
        </w:tc>
        <w:tc>
          <w:tcPr>
            <w:tcW w:w="4454" w:type="dxa"/>
          </w:tcPr>
          <w:p w14:paraId="2ADFE40D" w14:textId="77777777" w:rsidR="005508E5"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27</w:t>
            </w:r>
          </w:p>
          <w:p w14:paraId="6A3C8FC7" w14:textId="77777777" w:rsidR="005508E5" w:rsidRPr="00141EF8"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w:t>
            </w:r>
            <w:proofErr w:type="spellStart"/>
            <w:r w:rsidRPr="00141EF8">
              <w:rPr>
                <w:rFonts w:ascii="Bahnschrift" w:eastAsia="Bahnschrift" w:hAnsi="Bahnschrift" w:cs="Bahnschrift"/>
                <w:i/>
                <w:color w:val="000000"/>
                <w:sz w:val="18"/>
                <w:szCs w:val="18"/>
              </w:rPr>
              <w:t>Wise</w:t>
            </w:r>
            <w:proofErr w:type="spellEnd"/>
            <w:r w:rsidRPr="00141EF8">
              <w:rPr>
                <w:rFonts w:ascii="Bahnschrift" w:eastAsia="Bahnschrift" w:hAnsi="Bahnschrift" w:cs="Bahnschrift"/>
                <w:i/>
                <w:color w:val="000000"/>
                <w:sz w:val="18"/>
                <w:szCs w:val="18"/>
              </w:rPr>
              <w:t xml:space="preserve">, Ridango, </w:t>
            </w:r>
            <w:proofErr w:type="spellStart"/>
            <w:r w:rsidRPr="00141EF8">
              <w:rPr>
                <w:rFonts w:ascii="Bahnschrift" w:eastAsia="Bahnschrift" w:hAnsi="Bahnschrift" w:cs="Bahnschrift"/>
                <w:i/>
                <w:color w:val="000000"/>
                <w:sz w:val="18"/>
                <w:szCs w:val="18"/>
              </w:rPr>
              <w:t>EveryPay</w:t>
            </w:r>
            <w:proofErr w:type="spellEnd"/>
            <w:r>
              <w:rPr>
                <w:rFonts w:ascii="Bahnschrift" w:eastAsia="Bahnschrift" w:hAnsi="Bahnschrift" w:cs="Bahnschrift"/>
                <w:i/>
                <w:color w:val="000000"/>
                <w:sz w:val="18"/>
                <w:szCs w:val="18"/>
              </w:rPr>
              <w:t>)</w:t>
            </w:r>
          </w:p>
        </w:tc>
      </w:tr>
      <w:tr w:rsidR="005508E5" w:rsidRPr="00141EF8" w14:paraId="46DE7395" w14:textId="77777777" w:rsidTr="00E672AE">
        <w:trPr>
          <w:trHeight w:val="550"/>
        </w:trPr>
        <w:tc>
          <w:tcPr>
            <w:cnfStyle w:val="001000000000" w:firstRow="0" w:lastRow="0" w:firstColumn="1" w:lastColumn="0" w:oddVBand="0" w:evenVBand="0" w:oddHBand="0" w:evenHBand="0" w:firstRowFirstColumn="0" w:firstRowLastColumn="0" w:lastRowFirstColumn="0" w:lastRowLastColumn="0"/>
            <w:tcW w:w="4900" w:type="dxa"/>
          </w:tcPr>
          <w:p w14:paraId="1FCC466E"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Digitaalne varade kauplemine/kauplemisplatvorm</w:t>
            </w:r>
          </w:p>
          <w:p w14:paraId="7AB6B0FD"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asset</w:t>
            </w:r>
            <w:proofErr w:type="spellEnd"/>
            <w:r w:rsidRPr="00141EF8">
              <w:rPr>
                <w:rFonts w:ascii="Bahnschrift" w:eastAsia="Bahnschrift" w:hAnsi="Bahnschrift" w:cs="Bahnschrift"/>
                <w:b w:val="0"/>
                <w:color w:val="000000"/>
                <w:sz w:val="18"/>
                <w:szCs w:val="18"/>
              </w:rPr>
              <w:t xml:space="preserve"> </w:t>
            </w:r>
            <w:proofErr w:type="spellStart"/>
            <w:r w:rsidRPr="00141EF8">
              <w:rPr>
                <w:rFonts w:ascii="Bahnschrift" w:eastAsia="Bahnschrift" w:hAnsi="Bahnschrift" w:cs="Bahnschrift"/>
                <w:b w:val="0"/>
                <w:color w:val="000000"/>
                <w:sz w:val="18"/>
                <w:szCs w:val="18"/>
              </w:rPr>
              <w:t>exchange</w:t>
            </w:r>
            <w:proofErr w:type="spellEnd"/>
            <w:r w:rsidRPr="00141EF8">
              <w:rPr>
                <w:rFonts w:ascii="Bahnschrift" w:eastAsia="Bahnschrift" w:hAnsi="Bahnschrift" w:cs="Bahnschrift"/>
                <w:b w:val="0"/>
                <w:color w:val="000000"/>
                <w:sz w:val="18"/>
                <w:szCs w:val="18"/>
              </w:rPr>
              <w:t xml:space="preserve"> and </w:t>
            </w:r>
            <w:proofErr w:type="spellStart"/>
            <w:r w:rsidRPr="00141EF8">
              <w:rPr>
                <w:rFonts w:ascii="Bahnschrift" w:eastAsia="Bahnschrift" w:hAnsi="Bahnschrift" w:cs="Bahnschrift"/>
                <w:b w:val="0"/>
                <w:color w:val="000000"/>
                <w:sz w:val="18"/>
                <w:szCs w:val="18"/>
              </w:rPr>
              <w:t>trading</w:t>
            </w:r>
            <w:proofErr w:type="spellEnd"/>
            <w:r w:rsidRPr="00141EF8">
              <w:rPr>
                <w:rFonts w:ascii="Bahnschrift" w:eastAsia="Bahnschrift" w:hAnsi="Bahnschrift" w:cs="Bahnschrift"/>
                <w:b w:val="0"/>
                <w:color w:val="000000"/>
                <w:sz w:val="18"/>
                <w:szCs w:val="18"/>
              </w:rPr>
              <w:t xml:space="preserve"> </w:t>
            </w:r>
            <w:proofErr w:type="spellStart"/>
            <w:r w:rsidRPr="00141EF8">
              <w:rPr>
                <w:rFonts w:ascii="Bahnschrift" w:eastAsia="Bahnschrift" w:hAnsi="Bahnschrift" w:cs="Bahnschrift"/>
                <w:b w:val="0"/>
                <w:color w:val="000000"/>
                <w:sz w:val="18"/>
                <w:szCs w:val="18"/>
              </w:rPr>
              <w:t>platforms</w:t>
            </w:r>
            <w:proofErr w:type="spellEnd"/>
            <w:r>
              <w:rPr>
                <w:rFonts w:ascii="Bahnschrift" w:eastAsia="Bahnschrift" w:hAnsi="Bahnschrift" w:cs="Bahnschrift"/>
                <w:b w:val="0"/>
                <w:color w:val="000000"/>
                <w:sz w:val="18"/>
                <w:szCs w:val="18"/>
              </w:rPr>
              <w:t>]</w:t>
            </w:r>
          </w:p>
        </w:tc>
        <w:tc>
          <w:tcPr>
            <w:tcW w:w="4454" w:type="dxa"/>
          </w:tcPr>
          <w:p w14:paraId="4DB0E19B" w14:textId="77777777" w:rsidR="005508E5" w:rsidRDefault="005508E5" w:rsidP="00E672AE">
            <w:pPr>
              <w:pBdr>
                <w:top w:val="nil"/>
                <w:left w:val="nil"/>
                <w:bottom w:val="nil"/>
                <w:right w:val="nil"/>
                <w:between w:val="nil"/>
              </w:pBd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51</w:t>
            </w:r>
          </w:p>
          <w:p w14:paraId="15CBCF5A" w14:textId="77777777" w:rsidR="005508E5" w:rsidRPr="00141EF8" w:rsidRDefault="005508E5" w:rsidP="00E672AE">
            <w:pPr>
              <w:pBdr>
                <w:top w:val="nil"/>
                <w:left w:val="nil"/>
                <w:bottom w:val="nil"/>
                <w:right w:val="nil"/>
                <w:between w:val="nil"/>
              </w:pBd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w:t>
            </w:r>
            <w:proofErr w:type="spellStart"/>
            <w:r w:rsidRPr="00141EF8">
              <w:rPr>
                <w:rFonts w:ascii="Bahnschrift" w:eastAsia="Bahnschrift" w:hAnsi="Bahnschrift" w:cs="Bahnschrift"/>
                <w:i/>
                <w:color w:val="000000"/>
                <w:sz w:val="18"/>
                <w:szCs w:val="18"/>
              </w:rPr>
              <w:t>Change</w:t>
            </w:r>
            <w:proofErr w:type="spellEnd"/>
            <w:r w:rsidRPr="00141EF8">
              <w:rPr>
                <w:rFonts w:ascii="Bahnschrift" w:eastAsia="Bahnschrift" w:hAnsi="Bahnschrift" w:cs="Bahnschrift"/>
                <w:i/>
                <w:color w:val="000000"/>
                <w:sz w:val="18"/>
                <w:szCs w:val="18"/>
              </w:rPr>
              <w:t xml:space="preserve">, </w:t>
            </w:r>
            <w:proofErr w:type="spellStart"/>
            <w:r w:rsidRPr="00141EF8">
              <w:rPr>
                <w:rFonts w:ascii="Bahnschrift" w:eastAsia="Bahnschrift" w:hAnsi="Bahnschrift" w:cs="Bahnschrift"/>
                <w:i/>
                <w:color w:val="000000"/>
                <w:sz w:val="18"/>
                <w:szCs w:val="18"/>
              </w:rPr>
              <w:t>Single</w:t>
            </w:r>
            <w:proofErr w:type="spellEnd"/>
            <w:r w:rsidRPr="00141EF8">
              <w:rPr>
                <w:rFonts w:ascii="Bahnschrift" w:eastAsia="Bahnschrift" w:hAnsi="Bahnschrift" w:cs="Bahnschrift"/>
                <w:i/>
                <w:color w:val="000000"/>
                <w:sz w:val="18"/>
                <w:szCs w:val="18"/>
              </w:rPr>
              <w:t xml:space="preserve"> </w:t>
            </w:r>
            <w:proofErr w:type="spellStart"/>
            <w:r w:rsidRPr="00141EF8">
              <w:rPr>
                <w:rFonts w:ascii="Bahnschrift" w:eastAsia="Bahnschrift" w:hAnsi="Bahnschrift" w:cs="Bahnschrift"/>
                <w:i/>
                <w:color w:val="000000"/>
                <w:sz w:val="18"/>
                <w:szCs w:val="18"/>
              </w:rPr>
              <w:t>Earth</w:t>
            </w:r>
            <w:proofErr w:type="spellEnd"/>
            <w:sdt>
              <w:sdtPr>
                <w:rPr>
                  <w:rFonts w:ascii="Bahnschrift" w:hAnsi="Bahnschrift"/>
                  <w:sz w:val="18"/>
                  <w:szCs w:val="18"/>
                </w:rPr>
                <w:tag w:val="goog_rdk_25"/>
                <w:id w:val="-663927099"/>
              </w:sdtPr>
              <w:sdtEndPr/>
              <w:sdtContent>
                <w:r w:rsidRPr="00141EF8">
                  <w:rPr>
                    <w:rFonts w:ascii="Bahnschrift" w:eastAsia="Bahnschrift" w:hAnsi="Bahnschrift" w:cs="Bahnschrift"/>
                    <w:i/>
                    <w:color w:val="000000"/>
                    <w:sz w:val="18"/>
                    <w:szCs w:val="18"/>
                  </w:rPr>
                  <w:t xml:space="preserve">, </w:t>
                </w:r>
                <w:proofErr w:type="spellStart"/>
                <w:r w:rsidRPr="00141EF8">
                  <w:rPr>
                    <w:rFonts w:ascii="Bahnschrift" w:eastAsia="Bahnschrift" w:hAnsi="Bahnschrift" w:cs="Bahnschrift"/>
                    <w:i/>
                    <w:color w:val="000000"/>
                    <w:sz w:val="18"/>
                    <w:szCs w:val="18"/>
                  </w:rPr>
                  <w:t>Funderbeam</w:t>
                </w:r>
                <w:proofErr w:type="spellEnd"/>
                <w:r w:rsidRPr="00141EF8">
                  <w:rPr>
                    <w:rFonts w:ascii="Bahnschrift" w:eastAsia="Bahnschrift" w:hAnsi="Bahnschrift" w:cs="Bahnschrift"/>
                    <w:i/>
                    <w:color w:val="000000"/>
                    <w:sz w:val="18"/>
                    <w:szCs w:val="18"/>
                  </w:rPr>
                  <w:t xml:space="preserve">, </w:t>
                </w:r>
                <w:proofErr w:type="spellStart"/>
                <w:r w:rsidRPr="00141EF8">
                  <w:rPr>
                    <w:rFonts w:ascii="Bahnschrift" w:eastAsia="Bahnschrift" w:hAnsi="Bahnschrift" w:cs="Bahnschrift"/>
                    <w:i/>
                    <w:color w:val="000000"/>
                    <w:sz w:val="18"/>
                    <w:szCs w:val="18"/>
                  </w:rPr>
                  <w:t>Ignium</w:t>
                </w:r>
                <w:proofErr w:type="spellEnd"/>
                <w:r>
                  <w:rPr>
                    <w:rFonts w:ascii="Bahnschrift" w:eastAsia="Bahnschrift" w:hAnsi="Bahnschrift" w:cs="Bahnschrift"/>
                    <w:i/>
                    <w:color w:val="000000"/>
                    <w:sz w:val="18"/>
                    <w:szCs w:val="18"/>
                  </w:rPr>
                  <w:t>)</w:t>
                </w:r>
              </w:sdtContent>
            </w:sdt>
          </w:p>
        </w:tc>
      </w:tr>
      <w:tr w:rsidR="005508E5" w:rsidRPr="00141EF8" w14:paraId="3CE2376E" w14:textId="77777777" w:rsidTr="00E672A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900" w:type="dxa"/>
          </w:tcPr>
          <w:p w14:paraId="5F04E455"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lastRenderedPageBreak/>
              <w:t>Digitaalne varade haldamine</w:t>
            </w:r>
          </w:p>
          <w:p w14:paraId="59B87C7A"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r w:rsidRPr="00141EF8">
              <w:rPr>
                <w:rFonts w:ascii="Bahnschrift" w:eastAsia="Bahnschrift" w:hAnsi="Bahnschrift" w:cs="Bahnschrift"/>
                <w:b w:val="0"/>
                <w:color w:val="000000"/>
                <w:sz w:val="18"/>
                <w:szCs w:val="18"/>
              </w:rPr>
              <w:t xml:space="preserve">Digital </w:t>
            </w:r>
            <w:proofErr w:type="spellStart"/>
            <w:r w:rsidRPr="00141EF8">
              <w:rPr>
                <w:rFonts w:ascii="Bahnschrift" w:eastAsia="Bahnschrift" w:hAnsi="Bahnschrift" w:cs="Bahnschrift"/>
                <w:b w:val="0"/>
                <w:color w:val="000000"/>
                <w:sz w:val="18"/>
                <w:szCs w:val="18"/>
              </w:rPr>
              <w:t>custody</w:t>
            </w:r>
            <w:proofErr w:type="spellEnd"/>
            <w:r>
              <w:rPr>
                <w:rFonts w:ascii="Bahnschrift" w:eastAsia="Bahnschrift" w:hAnsi="Bahnschrift" w:cs="Bahnschrift"/>
                <w:b w:val="0"/>
                <w:color w:val="000000"/>
                <w:sz w:val="18"/>
                <w:szCs w:val="18"/>
              </w:rPr>
              <w:t>]</w:t>
            </w:r>
          </w:p>
        </w:tc>
        <w:tc>
          <w:tcPr>
            <w:tcW w:w="4454" w:type="dxa"/>
          </w:tcPr>
          <w:p w14:paraId="158C27DE" w14:textId="77777777" w:rsidR="005508E5" w:rsidRPr="00141EF8"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6</w:t>
            </w:r>
          </w:p>
        </w:tc>
      </w:tr>
      <w:tr w:rsidR="005508E5" w:rsidRPr="00141EF8" w14:paraId="4958D8D2" w14:textId="77777777" w:rsidTr="00E672AE">
        <w:trPr>
          <w:trHeight w:val="420"/>
        </w:trPr>
        <w:tc>
          <w:tcPr>
            <w:cnfStyle w:val="001000000000" w:firstRow="0" w:lastRow="0" w:firstColumn="1" w:lastColumn="0" w:oddVBand="0" w:evenVBand="0" w:oddHBand="0" w:evenHBand="0" w:firstRowFirstColumn="0" w:firstRowLastColumn="0" w:lastRowFirstColumn="0" w:lastRowLastColumn="0"/>
            <w:tcW w:w="4900" w:type="dxa"/>
          </w:tcPr>
          <w:p w14:paraId="4D755140" w14:textId="77777777" w:rsidR="005508E5" w:rsidRPr="00141EF8"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sidRPr="00806264">
              <w:rPr>
                <w:rFonts w:ascii="Bahnschrift" w:eastAsia="Bahnschrift" w:hAnsi="Bahnschrift" w:cs="Bahnschrift"/>
                <w:bCs w:val="0"/>
                <w:color w:val="000000"/>
                <w:sz w:val="18"/>
                <w:szCs w:val="18"/>
              </w:rPr>
              <w:t>Digitaalne nõustamine</w:t>
            </w:r>
            <w:r>
              <w:rPr>
                <w:rFonts w:ascii="Bahnschrift" w:eastAsia="Bahnschrift" w:hAnsi="Bahnschrift" w:cs="Bahnschrift"/>
                <w:b w:val="0"/>
                <w:color w:val="000000"/>
                <w:sz w:val="18"/>
                <w:szCs w:val="18"/>
              </w:rPr>
              <w:t xml:space="preserve"> [</w:t>
            </w:r>
            <w:proofErr w:type="spellStart"/>
            <w:r w:rsidRPr="00141EF8">
              <w:rPr>
                <w:rFonts w:ascii="Bahnschrift" w:eastAsia="Bahnschrift" w:hAnsi="Bahnschrift" w:cs="Bahnschrift"/>
                <w:b w:val="0"/>
                <w:color w:val="000000"/>
                <w:sz w:val="18"/>
                <w:szCs w:val="18"/>
              </w:rPr>
              <w:t>WealthTech</w:t>
            </w:r>
            <w:proofErr w:type="spellEnd"/>
            <w:r>
              <w:rPr>
                <w:rFonts w:ascii="Bahnschrift" w:eastAsia="Bahnschrift" w:hAnsi="Bahnschrift" w:cs="Bahnschrift"/>
                <w:b w:val="0"/>
                <w:color w:val="000000"/>
                <w:sz w:val="18"/>
                <w:szCs w:val="18"/>
              </w:rPr>
              <w:t>]</w:t>
            </w:r>
          </w:p>
        </w:tc>
        <w:tc>
          <w:tcPr>
            <w:tcW w:w="4454" w:type="dxa"/>
          </w:tcPr>
          <w:p w14:paraId="28BAD95F" w14:textId="77777777" w:rsidR="005508E5" w:rsidRDefault="005508E5" w:rsidP="00E672AE">
            <w:pPr>
              <w:pBdr>
                <w:top w:val="nil"/>
                <w:left w:val="nil"/>
                <w:bottom w:val="nil"/>
                <w:right w:val="nil"/>
                <w:between w:val="nil"/>
              </w:pBd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20</w:t>
            </w:r>
          </w:p>
          <w:p w14:paraId="2331D22D" w14:textId="77777777" w:rsidR="005508E5" w:rsidRPr="00141EF8" w:rsidRDefault="005508E5" w:rsidP="00E672AE">
            <w:pPr>
              <w:pBdr>
                <w:top w:val="nil"/>
                <w:left w:val="nil"/>
                <w:bottom w:val="nil"/>
                <w:right w:val="nil"/>
                <w:between w:val="nil"/>
              </w:pBdr>
              <w:spacing w:before="0"/>
              <w:jc w:val="center"/>
              <w:cnfStyle w:val="000000000000" w:firstRow="0" w:lastRow="0" w:firstColumn="0" w:lastColumn="0" w:oddVBand="0" w:evenVBand="0" w:oddHBand="0"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w:t>
            </w:r>
            <w:proofErr w:type="spellStart"/>
            <w:r w:rsidRPr="00141EF8">
              <w:rPr>
                <w:rFonts w:ascii="Bahnschrift" w:eastAsia="Bahnschrift" w:hAnsi="Bahnschrift" w:cs="Bahnschrift"/>
                <w:i/>
                <w:color w:val="000000"/>
                <w:sz w:val="18"/>
                <w:szCs w:val="18"/>
              </w:rPr>
              <w:t>MyFinancier</w:t>
            </w:r>
            <w:proofErr w:type="spellEnd"/>
            <w:r>
              <w:rPr>
                <w:rFonts w:ascii="Bahnschrift" w:eastAsia="Bahnschrift" w:hAnsi="Bahnschrift" w:cs="Bahnschrift"/>
                <w:i/>
                <w:color w:val="000000"/>
                <w:sz w:val="18"/>
                <w:szCs w:val="18"/>
              </w:rPr>
              <w:t>)</w:t>
            </w:r>
          </w:p>
        </w:tc>
      </w:tr>
      <w:tr w:rsidR="005508E5" w:rsidRPr="00141EF8" w14:paraId="1D71F024" w14:textId="77777777" w:rsidTr="00E672AE">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900" w:type="dxa"/>
          </w:tcPr>
          <w:p w14:paraId="7082CD46" w14:textId="77777777" w:rsidR="005508E5" w:rsidRPr="00806264" w:rsidRDefault="005508E5" w:rsidP="002B2C7C">
            <w:pPr>
              <w:numPr>
                <w:ilvl w:val="0"/>
                <w:numId w:val="43"/>
              </w:numPr>
              <w:pBdr>
                <w:top w:val="nil"/>
                <w:left w:val="nil"/>
                <w:bottom w:val="nil"/>
                <w:right w:val="nil"/>
                <w:between w:val="nil"/>
              </w:pBdr>
              <w:spacing w:before="0"/>
              <w:ind w:left="311" w:hanging="284"/>
              <w:rPr>
                <w:rFonts w:ascii="Bahnschrift" w:eastAsia="Bahnschrift" w:hAnsi="Bahnschrift" w:cs="Bahnschrift"/>
                <w:color w:val="000000"/>
                <w:sz w:val="18"/>
                <w:szCs w:val="18"/>
              </w:rPr>
            </w:pPr>
            <w:r>
              <w:rPr>
                <w:rFonts w:ascii="Bahnschrift" w:eastAsia="Bahnschrift" w:hAnsi="Bahnschrift" w:cs="Bahnschrift"/>
                <w:color w:val="000000"/>
                <w:sz w:val="18"/>
                <w:szCs w:val="18"/>
              </w:rPr>
              <w:t>Digitaalne kindlustus</w:t>
            </w:r>
          </w:p>
          <w:p w14:paraId="6509E03A" w14:textId="77777777" w:rsidR="005508E5" w:rsidRPr="00141EF8" w:rsidRDefault="005508E5" w:rsidP="00E672AE">
            <w:pPr>
              <w:pBdr>
                <w:top w:val="nil"/>
                <w:left w:val="nil"/>
                <w:bottom w:val="nil"/>
                <w:right w:val="nil"/>
                <w:between w:val="nil"/>
              </w:pBdr>
              <w:spacing w:before="0"/>
              <w:ind w:left="311"/>
              <w:rPr>
                <w:rFonts w:ascii="Bahnschrift" w:eastAsia="Bahnschrift" w:hAnsi="Bahnschrift" w:cs="Bahnschrift"/>
                <w:color w:val="000000"/>
                <w:sz w:val="18"/>
                <w:szCs w:val="18"/>
              </w:rPr>
            </w:pPr>
            <w:r>
              <w:rPr>
                <w:rFonts w:ascii="Bahnschrift" w:eastAsia="Bahnschrift" w:hAnsi="Bahnschrift" w:cs="Bahnschrift"/>
                <w:b w:val="0"/>
                <w:color w:val="000000"/>
                <w:sz w:val="18"/>
                <w:szCs w:val="18"/>
              </w:rPr>
              <w:t>[</w:t>
            </w:r>
            <w:proofErr w:type="spellStart"/>
            <w:r w:rsidRPr="00141EF8">
              <w:rPr>
                <w:rFonts w:ascii="Bahnschrift" w:eastAsia="Bahnschrift" w:hAnsi="Bahnschrift" w:cs="Bahnschrift"/>
                <w:b w:val="0"/>
                <w:color w:val="000000"/>
                <w:sz w:val="18"/>
                <w:szCs w:val="18"/>
              </w:rPr>
              <w:t>InsurTech</w:t>
            </w:r>
            <w:proofErr w:type="spellEnd"/>
            <w:r>
              <w:rPr>
                <w:rFonts w:ascii="Bahnschrift" w:eastAsia="Bahnschrift" w:hAnsi="Bahnschrift" w:cs="Bahnschrift"/>
                <w:b w:val="0"/>
                <w:color w:val="000000"/>
                <w:sz w:val="18"/>
                <w:szCs w:val="18"/>
              </w:rPr>
              <w:t>]</w:t>
            </w:r>
          </w:p>
        </w:tc>
        <w:tc>
          <w:tcPr>
            <w:tcW w:w="4454" w:type="dxa"/>
          </w:tcPr>
          <w:p w14:paraId="46EBFD31" w14:textId="77777777" w:rsidR="005508E5"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8</w:t>
            </w:r>
          </w:p>
          <w:p w14:paraId="665D1EC2" w14:textId="77777777" w:rsidR="005508E5" w:rsidRPr="00141EF8" w:rsidRDefault="005508E5" w:rsidP="00E672A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rFonts w:ascii="Bahnschrift" w:eastAsia="Bahnschrift" w:hAnsi="Bahnschrift" w:cs="Bahnschrift"/>
                <w:i/>
                <w:color w:val="000000"/>
                <w:sz w:val="18"/>
                <w:szCs w:val="18"/>
              </w:rPr>
            </w:pPr>
            <w:r>
              <w:rPr>
                <w:rFonts w:ascii="Bahnschrift" w:eastAsia="Bahnschrift" w:hAnsi="Bahnschrift" w:cs="Bahnschrift"/>
                <w:i/>
                <w:color w:val="000000"/>
                <w:sz w:val="18"/>
                <w:szCs w:val="18"/>
              </w:rPr>
              <w:t>(</w:t>
            </w:r>
            <w:proofErr w:type="spellStart"/>
            <w:r w:rsidRPr="00141EF8">
              <w:rPr>
                <w:rFonts w:ascii="Bahnschrift" w:eastAsia="Bahnschrift" w:hAnsi="Bahnschrift" w:cs="Bahnschrift"/>
                <w:i/>
                <w:color w:val="000000"/>
                <w:sz w:val="18"/>
                <w:szCs w:val="18"/>
              </w:rPr>
              <w:t>Zego</w:t>
            </w:r>
            <w:proofErr w:type="spellEnd"/>
            <w:r w:rsidRPr="00141EF8">
              <w:rPr>
                <w:rFonts w:ascii="Bahnschrift" w:eastAsia="Bahnschrift" w:hAnsi="Bahnschrift" w:cs="Bahnschrift"/>
                <w:i/>
                <w:color w:val="000000"/>
                <w:sz w:val="18"/>
                <w:szCs w:val="18"/>
              </w:rPr>
              <w:t xml:space="preserve">, </w:t>
            </w:r>
            <w:proofErr w:type="spellStart"/>
            <w:r w:rsidRPr="00141EF8">
              <w:rPr>
                <w:rFonts w:ascii="Bahnschrift" w:eastAsia="Bahnschrift" w:hAnsi="Bahnschrift" w:cs="Bahnschrift"/>
                <w:i/>
                <w:color w:val="000000"/>
                <w:sz w:val="18"/>
                <w:szCs w:val="18"/>
              </w:rPr>
              <w:t>Cache</w:t>
            </w:r>
            <w:sdt>
              <w:sdtPr>
                <w:rPr>
                  <w:rFonts w:ascii="Bahnschrift" w:hAnsi="Bahnschrift"/>
                  <w:sz w:val="18"/>
                  <w:szCs w:val="18"/>
                </w:rPr>
                <w:tag w:val="goog_rdk_26"/>
                <w:id w:val="1759942518"/>
              </w:sdtPr>
              <w:sdtEndPr/>
              <w:sdtContent>
                <w:r w:rsidRPr="00141EF8">
                  <w:rPr>
                    <w:rFonts w:ascii="Bahnschrift" w:eastAsia="Bahnschrift" w:hAnsi="Bahnschrift" w:cs="Bahnschrift"/>
                    <w:i/>
                    <w:color w:val="000000"/>
                    <w:sz w:val="18"/>
                    <w:szCs w:val="18"/>
                  </w:rPr>
                  <w:t>t</w:t>
                </w:r>
                <w:proofErr w:type="spellEnd"/>
              </w:sdtContent>
            </w:sdt>
            <w:sdt>
              <w:sdtPr>
                <w:rPr>
                  <w:rFonts w:ascii="Bahnschrift" w:hAnsi="Bahnschrift"/>
                  <w:sz w:val="18"/>
                  <w:szCs w:val="18"/>
                </w:rPr>
                <w:tag w:val="goog_rdk_27"/>
                <w:id w:val="-651985708"/>
              </w:sdtPr>
              <w:sdtEndPr/>
              <w:sdtContent>
                <w:r w:rsidRPr="00141EF8">
                  <w:rPr>
                    <w:rFonts w:ascii="Bahnschrift" w:eastAsia="Bahnschrift" w:hAnsi="Bahnschrift" w:cs="Bahnschrift"/>
                    <w:i/>
                    <w:color w:val="000000"/>
                    <w:sz w:val="18"/>
                    <w:szCs w:val="18"/>
                  </w:rPr>
                  <w:t>, IIZI</w:t>
                </w:r>
              </w:sdtContent>
            </w:sdt>
            <w:r>
              <w:rPr>
                <w:rFonts w:ascii="Bahnschrift" w:eastAsia="Bahnschrift" w:hAnsi="Bahnschrift" w:cs="Bahnschrift"/>
                <w:i/>
                <w:color w:val="000000"/>
                <w:sz w:val="18"/>
                <w:szCs w:val="18"/>
              </w:rPr>
              <w:t>)</w:t>
            </w:r>
          </w:p>
        </w:tc>
      </w:tr>
    </w:tbl>
    <w:p w14:paraId="37164BA0" w14:textId="77777777" w:rsidR="005508E5" w:rsidRDefault="005508E5" w:rsidP="005508E5">
      <w:pPr>
        <w:spacing w:before="0"/>
        <w:rPr>
          <w:sz w:val="22"/>
          <w:szCs w:val="22"/>
          <w:lang w:eastAsia="en-US"/>
        </w:rPr>
      </w:pPr>
    </w:p>
    <w:p w14:paraId="6D601BF4" w14:textId="77777777" w:rsidR="005508E5" w:rsidRPr="00104C31" w:rsidRDefault="005508E5" w:rsidP="005508E5">
      <w:pPr>
        <w:spacing w:before="0"/>
        <w:rPr>
          <w:sz w:val="22"/>
          <w:szCs w:val="22"/>
        </w:rPr>
      </w:pPr>
      <w:r>
        <w:rPr>
          <w:sz w:val="22"/>
          <w:szCs w:val="22"/>
          <w:lang w:eastAsia="en-US"/>
        </w:rPr>
        <w:t xml:space="preserve">Nimetatud uuringu kohaselt oli </w:t>
      </w:r>
      <w:proofErr w:type="spellStart"/>
      <w:r>
        <w:rPr>
          <w:sz w:val="22"/>
          <w:szCs w:val="22"/>
          <w:lang w:eastAsia="en-US"/>
        </w:rPr>
        <w:t>FinTech</w:t>
      </w:r>
      <w:proofErr w:type="spellEnd"/>
      <w:r>
        <w:rPr>
          <w:sz w:val="22"/>
          <w:szCs w:val="22"/>
          <w:lang w:eastAsia="en-US"/>
        </w:rPr>
        <w:t xml:space="preserve"> ettevõtete varade suurus 2019. a. lõpus ca 1 mlrd eurot ja tulud küündisid 235 miljoni euroni. Siiski on keeruline hinnata, kui palju selles uuringus käsitletud ettevõtetest võiksid kuuluda eelnõu kohaldumisalasse. Tõenäoliselt teatud osa eelnimetatud sektorites (digitaalsete varade kauplemiskohad, digitaalsel kujul vahendite kaasamine, digitaalsel kujul laenude vahendajad) tegutsevad ettevõtted käesoleva seaduse </w:t>
      </w:r>
      <w:proofErr w:type="spellStart"/>
      <w:r>
        <w:rPr>
          <w:sz w:val="22"/>
          <w:szCs w:val="22"/>
          <w:lang w:eastAsia="en-US"/>
        </w:rPr>
        <w:t>kohaldusmisalasse</w:t>
      </w:r>
      <w:proofErr w:type="spellEnd"/>
      <w:r>
        <w:rPr>
          <w:sz w:val="22"/>
          <w:szCs w:val="22"/>
          <w:lang w:eastAsia="en-US"/>
        </w:rPr>
        <w:t xml:space="preserve"> kuuluvad. Uuringus tuli veel välja ka see, et kõige rohkem töötajaid töötas digitaalsel kujul laenude vahendajates ja digitaalsete varade kauplemiskohtades – kokku ca 900 isikut (kogu käsitletud </w:t>
      </w:r>
      <w:proofErr w:type="spellStart"/>
      <w:r>
        <w:rPr>
          <w:sz w:val="22"/>
          <w:szCs w:val="22"/>
          <w:lang w:eastAsia="en-US"/>
        </w:rPr>
        <w:t>FinTech</w:t>
      </w:r>
      <w:proofErr w:type="spellEnd"/>
      <w:r>
        <w:rPr>
          <w:sz w:val="22"/>
          <w:szCs w:val="22"/>
          <w:lang w:eastAsia="en-US"/>
        </w:rPr>
        <w:t xml:space="preserve"> sektoris kokku oli veidi alla 2000 töötaja). </w:t>
      </w:r>
    </w:p>
    <w:p w14:paraId="1B1D4FE3" w14:textId="77777777" w:rsidR="005508E5" w:rsidRPr="005D3D7B" w:rsidRDefault="005508E5" w:rsidP="005508E5">
      <w:pPr>
        <w:spacing w:before="0"/>
        <w:rPr>
          <w:sz w:val="22"/>
          <w:szCs w:val="22"/>
          <w:u w:val="single"/>
        </w:rPr>
      </w:pPr>
    </w:p>
    <w:p w14:paraId="4E8E6ED6" w14:textId="77777777" w:rsidR="005508E5" w:rsidRDefault="005508E5" w:rsidP="005508E5">
      <w:pPr>
        <w:spacing w:before="0"/>
        <w:rPr>
          <w:b/>
          <w:sz w:val="22"/>
          <w:szCs w:val="22"/>
        </w:rPr>
      </w:pPr>
      <w:r w:rsidRPr="005D3D7B">
        <w:rPr>
          <w:b/>
          <w:sz w:val="22"/>
          <w:szCs w:val="22"/>
          <w:u w:val="single"/>
        </w:rPr>
        <w:t>Mõju ulatus:</w:t>
      </w:r>
      <w:r w:rsidRPr="005D3D7B">
        <w:rPr>
          <w:b/>
          <w:sz w:val="22"/>
          <w:szCs w:val="22"/>
        </w:rPr>
        <w:t xml:space="preserve"> </w:t>
      </w:r>
    </w:p>
    <w:p w14:paraId="493EEA7F" w14:textId="77777777" w:rsidR="005508E5" w:rsidRPr="005D3D7B" w:rsidRDefault="005508E5" w:rsidP="005508E5">
      <w:pPr>
        <w:spacing w:before="0"/>
        <w:rPr>
          <w:sz w:val="22"/>
          <w:szCs w:val="22"/>
        </w:rPr>
      </w:pPr>
      <w:proofErr w:type="spellStart"/>
      <w:r>
        <w:rPr>
          <w:bCs/>
          <w:sz w:val="22"/>
          <w:szCs w:val="22"/>
        </w:rPr>
        <w:t>Krüptovara</w:t>
      </w:r>
      <w:proofErr w:type="spellEnd"/>
      <w:r>
        <w:rPr>
          <w:bCs/>
          <w:sz w:val="22"/>
          <w:szCs w:val="22"/>
        </w:rPr>
        <w:t xml:space="preserve">- või </w:t>
      </w:r>
      <w:proofErr w:type="spellStart"/>
      <w:r>
        <w:rPr>
          <w:bCs/>
          <w:sz w:val="22"/>
          <w:szCs w:val="22"/>
        </w:rPr>
        <w:t>ü</w:t>
      </w:r>
      <w:r w:rsidRPr="002A063D">
        <w:rPr>
          <w:bCs/>
          <w:sz w:val="22"/>
          <w:szCs w:val="22"/>
        </w:rPr>
        <w:t>hisrahastuseteenuse</w:t>
      </w:r>
      <w:proofErr w:type="spellEnd"/>
      <w:r w:rsidRPr="00501C00">
        <w:rPr>
          <w:bCs/>
          <w:sz w:val="22"/>
          <w:szCs w:val="22"/>
        </w:rPr>
        <w:t xml:space="preserve"> </w:t>
      </w:r>
      <w:r w:rsidRPr="005D3D7B">
        <w:rPr>
          <w:sz w:val="22"/>
          <w:szCs w:val="22"/>
        </w:rPr>
        <w:t>osutaja</w:t>
      </w:r>
      <w:r>
        <w:rPr>
          <w:sz w:val="22"/>
          <w:szCs w:val="22"/>
        </w:rPr>
        <w:t xml:space="preserve"> </w:t>
      </w:r>
      <w:r w:rsidRPr="005D3D7B">
        <w:rPr>
          <w:sz w:val="22"/>
          <w:szCs w:val="22"/>
        </w:rPr>
        <w:t>peab oma tegevuse vastavusse viima seadusest</w:t>
      </w:r>
      <w:r>
        <w:rPr>
          <w:sz w:val="22"/>
          <w:szCs w:val="22"/>
        </w:rPr>
        <w:t xml:space="preserve"> (ja asjakohasel juhul ka EL </w:t>
      </w:r>
      <w:proofErr w:type="spellStart"/>
      <w:r>
        <w:rPr>
          <w:sz w:val="22"/>
          <w:szCs w:val="22"/>
        </w:rPr>
        <w:t>ühisrahastusmäärusest</w:t>
      </w:r>
      <w:proofErr w:type="spellEnd"/>
      <w:r>
        <w:rPr>
          <w:sz w:val="22"/>
          <w:szCs w:val="22"/>
        </w:rPr>
        <w:t>)</w:t>
      </w:r>
      <w:r w:rsidRPr="005D3D7B">
        <w:rPr>
          <w:sz w:val="22"/>
          <w:szCs w:val="22"/>
        </w:rPr>
        <w:t xml:space="preserve"> tulenevate nõuetega, sealhulgas:</w:t>
      </w:r>
    </w:p>
    <w:p w14:paraId="0DB6F36A" w14:textId="77777777" w:rsidR="005508E5" w:rsidRPr="005D3D7B" w:rsidRDefault="005508E5" w:rsidP="002B2C7C">
      <w:pPr>
        <w:numPr>
          <w:ilvl w:val="0"/>
          <w:numId w:val="19"/>
        </w:numPr>
        <w:rPr>
          <w:sz w:val="22"/>
          <w:szCs w:val="22"/>
        </w:rPr>
      </w:pPr>
      <w:r w:rsidRPr="005D3D7B">
        <w:rPr>
          <w:sz w:val="22"/>
          <w:szCs w:val="22"/>
        </w:rPr>
        <w:t>taotlema tegevusloa;</w:t>
      </w:r>
    </w:p>
    <w:p w14:paraId="3EA4E4DA" w14:textId="77777777" w:rsidR="005508E5" w:rsidRPr="005D3D7B" w:rsidRDefault="005508E5" w:rsidP="002B2C7C">
      <w:pPr>
        <w:numPr>
          <w:ilvl w:val="0"/>
          <w:numId w:val="19"/>
        </w:numPr>
        <w:rPr>
          <w:sz w:val="22"/>
          <w:szCs w:val="22"/>
        </w:rPr>
      </w:pPr>
      <w:r w:rsidRPr="005D3D7B">
        <w:rPr>
          <w:sz w:val="22"/>
          <w:szCs w:val="22"/>
        </w:rPr>
        <w:t>omama nõuetekohaseid omavahendeid;</w:t>
      </w:r>
    </w:p>
    <w:p w14:paraId="56EC53A3" w14:textId="77777777" w:rsidR="005508E5" w:rsidRPr="005D3D7B" w:rsidRDefault="005508E5" w:rsidP="002B2C7C">
      <w:pPr>
        <w:numPr>
          <w:ilvl w:val="0"/>
          <w:numId w:val="19"/>
        </w:numPr>
        <w:rPr>
          <w:sz w:val="22"/>
          <w:szCs w:val="22"/>
        </w:rPr>
      </w:pPr>
      <w:r w:rsidRPr="005D3D7B">
        <w:rPr>
          <w:sz w:val="22"/>
          <w:szCs w:val="22"/>
        </w:rPr>
        <w:t>viima organisatsiooni ja selle juhtimissüsteemi vastavusse seadusest tulenevate nõuetega;</w:t>
      </w:r>
    </w:p>
    <w:p w14:paraId="43518941" w14:textId="77777777" w:rsidR="005508E5" w:rsidRPr="005D3D7B" w:rsidRDefault="005508E5" w:rsidP="002B2C7C">
      <w:pPr>
        <w:numPr>
          <w:ilvl w:val="0"/>
          <w:numId w:val="19"/>
        </w:numPr>
        <w:rPr>
          <w:sz w:val="22"/>
          <w:szCs w:val="22"/>
        </w:rPr>
      </w:pPr>
      <w:r w:rsidRPr="005D3D7B">
        <w:rPr>
          <w:sz w:val="22"/>
          <w:szCs w:val="22"/>
        </w:rPr>
        <w:t>osutama teenust vastavalt seadusest tulenevatele nõuetele;</w:t>
      </w:r>
    </w:p>
    <w:p w14:paraId="2A0B51D0" w14:textId="77777777" w:rsidR="005508E5" w:rsidRPr="005D3D7B" w:rsidRDefault="005508E5" w:rsidP="002B2C7C">
      <w:pPr>
        <w:numPr>
          <w:ilvl w:val="0"/>
          <w:numId w:val="19"/>
        </w:numPr>
        <w:rPr>
          <w:sz w:val="22"/>
          <w:szCs w:val="22"/>
        </w:rPr>
      </w:pPr>
      <w:r w:rsidRPr="005D3D7B">
        <w:rPr>
          <w:sz w:val="22"/>
          <w:szCs w:val="22"/>
        </w:rPr>
        <w:t>alluma Finantsinspektsiooni järelevalvele, sh esitama oma tegevuse kohta aruandlust;</w:t>
      </w:r>
    </w:p>
    <w:p w14:paraId="0F4E722E" w14:textId="77777777" w:rsidR="005508E5" w:rsidRPr="005D3D7B" w:rsidRDefault="005508E5" w:rsidP="002B2C7C">
      <w:pPr>
        <w:numPr>
          <w:ilvl w:val="0"/>
          <w:numId w:val="19"/>
        </w:numPr>
        <w:rPr>
          <w:sz w:val="22"/>
          <w:szCs w:val="22"/>
        </w:rPr>
      </w:pPr>
      <w:r w:rsidRPr="005D3D7B">
        <w:rPr>
          <w:sz w:val="22"/>
          <w:szCs w:val="22"/>
        </w:rPr>
        <w:t>kandma vastutust, kui toimub kehtestatud nõuete rikkumine;</w:t>
      </w:r>
    </w:p>
    <w:p w14:paraId="4F7F0B7A" w14:textId="77777777" w:rsidR="005508E5" w:rsidRPr="005D3D7B" w:rsidRDefault="005508E5" w:rsidP="002B2C7C">
      <w:pPr>
        <w:numPr>
          <w:ilvl w:val="0"/>
          <w:numId w:val="19"/>
        </w:numPr>
        <w:rPr>
          <w:sz w:val="22"/>
          <w:szCs w:val="22"/>
        </w:rPr>
      </w:pPr>
      <w:r w:rsidRPr="005D3D7B">
        <w:rPr>
          <w:sz w:val="22"/>
          <w:szCs w:val="22"/>
        </w:rPr>
        <w:t>maksma järelevalvetasu.</w:t>
      </w:r>
    </w:p>
    <w:p w14:paraId="57E82D12" w14:textId="77777777" w:rsidR="005508E5" w:rsidRPr="005D3D7B" w:rsidRDefault="005508E5" w:rsidP="005508E5">
      <w:pPr>
        <w:rPr>
          <w:sz w:val="22"/>
          <w:szCs w:val="22"/>
        </w:rPr>
      </w:pPr>
    </w:p>
    <w:p w14:paraId="0115FF02" w14:textId="77777777" w:rsidR="005508E5" w:rsidRPr="005D3D7B" w:rsidRDefault="005508E5" w:rsidP="005508E5">
      <w:pPr>
        <w:spacing w:before="0"/>
        <w:rPr>
          <w:sz w:val="22"/>
          <w:szCs w:val="22"/>
        </w:rPr>
      </w:pPr>
      <w:r w:rsidRPr="005D3D7B">
        <w:rPr>
          <w:sz w:val="22"/>
          <w:szCs w:val="22"/>
        </w:rPr>
        <w:t xml:space="preserve">Siia alla kuuluvad teenuseosutajad, kes juba käesoleval ajal teenust pakuvad kui ka uued ettevõtjad, kes soovivad turule tulla. </w:t>
      </w:r>
    </w:p>
    <w:p w14:paraId="43E49FAE" w14:textId="77777777" w:rsidR="005508E5" w:rsidRPr="005D3D7B" w:rsidRDefault="005508E5" w:rsidP="005508E5">
      <w:pPr>
        <w:spacing w:before="0"/>
        <w:rPr>
          <w:sz w:val="22"/>
          <w:szCs w:val="22"/>
        </w:rPr>
      </w:pPr>
    </w:p>
    <w:p w14:paraId="34CEB9A5" w14:textId="77777777" w:rsidR="005508E5" w:rsidRPr="005D3D7B" w:rsidRDefault="005508E5" w:rsidP="005508E5">
      <w:pPr>
        <w:spacing w:before="0"/>
        <w:rPr>
          <w:sz w:val="22"/>
          <w:szCs w:val="22"/>
        </w:rPr>
      </w:pPr>
      <w:r w:rsidRPr="005D3D7B">
        <w:rPr>
          <w:sz w:val="22"/>
          <w:szCs w:val="22"/>
        </w:rPr>
        <w:t>Teenuseosutajatele, kes käesoleval ajal tegutsevad krediidivahendaja tegevusloaga (KAVS § 2 lg 2), pakkudes mh krediiti investeerimise võimalust, tuleb oma tegevus mõnevõrra ümber korraldada, sh taotleda uut tegevusluba ja viia oma tegevus vastavusse uute nõuetega. Samas on neile ette nähtud ka üleminekuperiood, mille jooksul tuleb ettevõtte tegevus uute nõuetega vastavusse viia. Kuna viidatud teenuseosutajatel on juba käesoleval ajal tegevusluba, alluvad finantsjärelevalvele, täidavad neile kehtestatud tegevusnõudeid, siis suures plaanis võib öelda, et mõjud neile on mõnevõrra väiksemad, kui teenuseosutajatele, kes alles tegevust alustavad ja tegevusluba taotlema hakkavad.</w:t>
      </w:r>
    </w:p>
    <w:p w14:paraId="79B4AF4D" w14:textId="77777777" w:rsidR="005508E5" w:rsidRPr="005D3D7B" w:rsidRDefault="005508E5" w:rsidP="005508E5">
      <w:pPr>
        <w:spacing w:before="0"/>
        <w:rPr>
          <w:sz w:val="22"/>
          <w:szCs w:val="22"/>
        </w:rPr>
      </w:pPr>
    </w:p>
    <w:p w14:paraId="23B61E4D" w14:textId="77777777" w:rsidR="005508E5" w:rsidRDefault="005508E5" w:rsidP="005508E5">
      <w:pPr>
        <w:spacing w:before="0"/>
        <w:rPr>
          <w:sz w:val="22"/>
          <w:szCs w:val="22"/>
        </w:rPr>
      </w:pPr>
      <w:r w:rsidRPr="005D3D7B">
        <w:rPr>
          <w:sz w:val="22"/>
          <w:szCs w:val="22"/>
        </w:rPr>
        <w:t xml:space="preserve">Seadusest tulenevate nõuetega kooskõlla viimine võib eeldada ka IT lahenduste, tehniliste töökorralduste ja süsteemide muutmist, et tagada teenuseosutaja tegevus, sh finantsvahendusplatvormi vastavus nõuetele. Samuti võib tekkida vajadus võtta tööle uusi isikuid ja </w:t>
      </w:r>
      <w:r>
        <w:rPr>
          <w:sz w:val="22"/>
          <w:szCs w:val="22"/>
        </w:rPr>
        <w:t>tuleb tagada, et</w:t>
      </w:r>
      <w:r w:rsidRPr="005D3D7B">
        <w:rPr>
          <w:sz w:val="22"/>
          <w:szCs w:val="22"/>
        </w:rPr>
        <w:t xml:space="preserve"> </w:t>
      </w:r>
      <w:r>
        <w:rPr>
          <w:sz w:val="22"/>
          <w:szCs w:val="22"/>
        </w:rPr>
        <w:t>juhid (</w:t>
      </w:r>
      <w:r w:rsidRPr="005D3D7B">
        <w:rPr>
          <w:sz w:val="22"/>
          <w:szCs w:val="22"/>
        </w:rPr>
        <w:t xml:space="preserve">juhatuse </w:t>
      </w:r>
      <w:r>
        <w:rPr>
          <w:sz w:val="22"/>
          <w:szCs w:val="22"/>
        </w:rPr>
        <w:t xml:space="preserve">ja nõukogu </w:t>
      </w:r>
      <w:r w:rsidRPr="005D3D7B">
        <w:rPr>
          <w:sz w:val="22"/>
          <w:szCs w:val="22"/>
        </w:rPr>
        <w:t>liikme</w:t>
      </w:r>
      <w:r>
        <w:rPr>
          <w:sz w:val="22"/>
          <w:szCs w:val="22"/>
        </w:rPr>
        <w:t xml:space="preserve">d) vastaksid nn kutse- ja sobivusnõuetele.  Eeltoodu võib tähendada, et töötajaid on vaja ka koolitada, et nad uue seaduse nõuetest teadlikud oleksid (s.t. võrreldes varasemaga võivad suureneda koolituskulud). </w:t>
      </w:r>
    </w:p>
    <w:p w14:paraId="1CB5373B" w14:textId="77777777" w:rsidR="005508E5" w:rsidRDefault="005508E5" w:rsidP="005508E5">
      <w:pPr>
        <w:spacing w:before="0"/>
        <w:rPr>
          <w:sz w:val="22"/>
          <w:szCs w:val="22"/>
        </w:rPr>
      </w:pPr>
    </w:p>
    <w:p w14:paraId="6F14A24E" w14:textId="77777777" w:rsidR="005508E5" w:rsidRPr="005D3D7B" w:rsidRDefault="005508E5" w:rsidP="005508E5">
      <w:pPr>
        <w:spacing w:before="0"/>
        <w:rPr>
          <w:sz w:val="22"/>
          <w:szCs w:val="22"/>
        </w:rPr>
      </w:pPr>
      <w:r>
        <w:rPr>
          <w:sz w:val="22"/>
          <w:szCs w:val="22"/>
        </w:rPr>
        <w:t xml:space="preserve">Juhul kui tegemist on täiesti uue ettevõttega, siis tuleb arvestada, et eeltoodud kulud võivad veelgi suuremad olla. Kokkuvõttes on keeruline hinnata, kas eelnõuga kaasnevad kulud võivad tõsta ka teenuse hinda klientidele, kuid loodetavasti ei ole see tõus </w:t>
      </w:r>
      <w:proofErr w:type="spellStart"/>
      <w:r>
        <w:rPr>
          <w:sz w:val="22"/>
          <w:szCs w:val="22"/>
        </w:rPr>
        <w:t>märkismiväärne</w:t>
      </w:r>
      <w:proofErr w:type="spellEnd"/>
      <w:r>
        <w:rPr>
          <w:sz w:val="22"/>
          <w:szCs w:val="22"/>
        </w:rPr>
        <w:t xml:space="preserve"> ja piisav konkurents antud sektoris hoiab hinnad mõistlikul tasemel.</w:t>
      </w:r>
    </w:p>
    <w:p w14:paraId="05A37C4E" w14:textId="77777777" w:rsidR="005508E5" w:rsidRPr="005D3D7B" w:rsidRDefault="005508E5" w:rsidP="005508E5">
      <w:pPr>
        <w:spacing w:before="0"/>
        <w:rPr>
          <w:sz w:val="22"/>
          <w:szCs w:val="22"/>
        </w:rPr>
      </w:pPr>
    </w:p>
    <w:p w14:paraId="6BE47A73" w14:textId="77777777" w:rsidR="005508E5" w:rsidRPr="0074732F" w:rsidRDefault="005508E5" w:rsidP="005508E5">
      <w:pPr>
        <w:spacing w:before="0"/>
        <w:rPr>
          <w:sz w:val="22"/>
          <w:szCs w:val="22"/>
        </w:rPr>
      </w:pPr>
      <w:r w:rsidRPr="005D3D7B">
        <w:rPr>
          <w:sz w:val="22"/>
          <w:szCs w:val="22"/>
        </w:rPr>
        <w:t xml:space="preserve">Lisaks avaldub majanduslik mõju </w:t>
      </w:r>
      <w:r>
        <w:rPr>
          <w:sz w:val="22"/>
          <w:szCs w:val="22"/>
        </w:rPr>
        <w:t xml:space="preserve">menetlustasude ja </w:t>
      </w:r>
      <w:r w:rsidRPr="005D3D7B">
        <w:rPr>
          <w:sz w:val="22"/>
          <w:szCs w:val="22"/>
        </w:rPr>
        <w:t xml:space="preserve">järelevalvetasude maksmises. </w:t>
      </w:r>
      <w:r>
        <w:rPr>
          <w:sz w:val="22"/>
          <w:szCs w:val="22"/>
        </w:rPr>
        <w:t xml:space="preserve">Eelnõu kohaselt tuleb tasuda tegevusloa menetlustasu 3 000 eurot, mis on ühekordne, kuid lisaks Finantsinspektsioonile </w:t>
      </w:r>
      <w:r w:rsidRPr="0074732F">
        <w:rPr>
          <w:sz w:val="22"/>
          <w:szCs w:val="22"/>
        </w:rPr>
        <w:t xml:space="preserve">makstavale tasule tuleb teha kulutusi tegevusloa taotluse dokumentatsiooni kokkusaamiseks (muuhulgas võib vajalikuks osutuda väljavõtete esitamine erinevate riikide registritest). </w:t>
      </w:r>
    </w:p>
    <w:p w14:paraId="373A7DDF" w14:textId="77777777" w:rsidR="005508E5" w:rsidRPr="0074732F" w:rsidRDefault="005508E5" w:rsidP="005508E5">
      <w:pPr>
        <w:spacing w:before="0"/>
        <w:rPr>
          <w:sz w:val="22"/>
          <w:szCs w:val="22"/>
        </w:rPr>
      </w:pPr>
    </w:p>
    <w:p w14:paraId="59FBA3A9" w14:textId="77777777" w:rsidR="005508E5" w:rsidRDefault="005508E5" w:rsidP="005508E5">
      <w:pPr>
        <w:spacing w:before="0"/>
        <w:rPr>
          <w:sz w:val="22"/>
          <w:szCs w:val="22"/>
        </w:rPr>
      </w:pPr>
      <w:r w:rsidRPr="0074732F">
        <w:rPr>
          <w:sz w:val="22"/>
          <w:szCs w:val="22"/>
        </w:rPr>
        <w:t xml:space="preserve">Järelevalvetasu on nii kapitali- kui ka mahupõhine ning seda tuleb tasuda kord aastas. </w:t>
      </w:r>
      <w:r>
        <w:rPr>
          <w:sz w:val="22"/>
          <w:szCs w:val="22"/>
        </w:rPr>
        <w:t xml:space="preserve">Kui kapitaliosa on 1% algkapitalisummast, siis minimaalselt oleks see </w:t>
      </w:r>
      <w:proofErr w:type="spellStart"/>
      <w:r>
        <w:rPr>
          <w:sz w:val="22"/>
          <w:szCs w:val="22"/>
        </w:rPr>
        <w:t>ühisrahastusteenuse</w:t>
      </w:r>
      <w:proofErr w:type="spellEnd"/>
      <w:r>
        <w:rPr>
          <w:sz w:val="22"/>
          <w:szCs w:val="22"/>
        </w:rPr>
        <w:t xml:space="preserve"> osutajate puhul 250 eurot (lähtuvalt 25 000 euro suurusest kapitalinõudest). </w:t>
      </w:r>
      <w:proofErr w:type="spellStart"/>
      <w:r>
        <w:rPr>
          <w:sz w:val="22"/>
          <w:szCs w:val="22"/>
        </w:rPr>
        <w:t>Krüptovarateenuse</w:t>
      </w:r>
      <w:proofErr w:type="spellEnd"/>
      <w:r>
        <w:rPr>
          <w:sz w:val="22"/>
          <w:szCs w:val="22"/>
        </w:rPr>
        <w:t xml:space="preserve"> osutajate puhul on see üskjagu suurem kuna nende suhtes ettenähtud kapitalinõuded on kõrgemad – sõltuvalt </w:t>
      </w:r>
      <w:proofErr w:type="spellStart"/>
      <w:r>
        <w:rPr>
          <w:sz w:val="22"/>
          <w:szCs w:val="22"/>
        </w:rPr>
        <w:t>krüptovara</w:t>
      </w:r>
      <w:proofErr w:type="spellEnd"/>
      <w:r>
        <w:rPr>
          <w:sz w:val="22"/>
          <w:szCs w:val="22"/>
        </w:rPr>
        <w:t xml:space="preserve"> teenusest võib see olla 500 eurot, 1 250 eurot või 1 500 eurot. </w:t>
      </w:r>
    </w:p>
    <w:p w14:paraId="25C26775" w14:textId="77777777" w:rsidR="005508E5" w:rsidRDefault="005508E5" w:rsidP="005508E5">
      <w:pPr>
        <w:spacing w:before="0"/>
        <w:rPr>
          <w:sz w:val="22"/>
          <w:szCs w:val="22"/>
        </w:rPr>
      </w:pPr>
    </w:p>
    <w:p w14:paraId="2E07BDE9" w14:textId="77777777" w:rsidR="005508E5" w:rsidRDefault="005508E5" w:rsidP="005508E5">
      <w:pPr>
        <w:spacing w:before="0"/>
        <w:rPr>
          <w:sz w:val="22"/>
          <w:szCs w:val="22"/>
        </w:rPr>
      </w:pPr>
      <w:r>
        <w:rPr>
          <w:sz w:val="22"/>
          <w:szCs w:val="22"/>
        </w:rPr>
        <w:t xml:space="preserve">Mahuosa (mis on järelevalvetasu peamine osa) suurust on aga keerulisem hinnata. Siiski võib teatud hinnangu saamiseks võtta aluseks juba täna Finantsinspektsiooni järelevalve alla kuuluvate subjektide poolt makstud järelevalvetasud. </w:t>
      </w:r>
      <w:r w:rsidRPr="002A063D">
        <w:rPr>
          <w:sz w:val="22"/>
          <w:szCs w:val="22"/>
        </w:rPr>
        <w:t>Finantsinspektsioonile makstud järelevalvetasude suurus koondatud kujul 202</w:t>
      </w:r>
      <w:r>
        <w:rPr>
          <w:sz w:val="22"/>
          <w:szCs w:val="22"/>
        </w:rPr>
        <w:t>1. aasta</w:t>
      </w:r>
      <w:r w:rsidRPr="002A063D">
        <w:rPr>
          <w:sz w:val="22"/>
          <w:szCs w:val="22"/>
        </w:rPr>
        <w:t xml:space="preserve"> kohta on esitatud järgmises tabelis. </w:t>
      </w:r>
    </w:p>
    <w:p w14:paraId="7A0D5547" w14:textId="77777777" w:rsidR="005508E5" w:rsidRDefault="005508E5" w:rsidP="005508E5">
      <w:pPr>
        <w:autoSpaceDE w:val="0"/>
        <w:autoSpaceDN w:val="0"/>
        <w:adjustRightInd w:val="0"/>
        <w:spacing w:before="0"/>
        <w:jc w:val="left"/>
        <w:rPr>
          <w:sz w:val="22"/>
          <w:szCs w:val="22"/>
        </w:rPr>
      </w:pPr>
    </w:p>
    <w:p w14:paraId="6C8D897D" w14:textId="1F564113" w:rsidR="005508E5" w:rsidRDefault="005508E5" w:rsidP="005508E5">
      <w:pPr>
        <w:autoSpaceDE w:val="0"/>
        <w:autoSpaceDN w:val="0"/>
        <w:adjustRightInd w:val="0"/>
        <w:spacing w:before="0"/>
        <w:rPr>
          <w:sz w:val="22"/>
          <w:szCs w:val="22"/>
        </w:rPr>
      </w:pPr>
      <w:r w:rsidRPr="00E332E1">
        <w:rPr>
          <w:b/>
          <w:bCs/>
          <w:sz w:val="20"/>
          <w:szCs w:val="20"/>
        </w:rPr>
        <w:t xml:space="preserve">Tabel </w:t>
      </w:r>
      <w:r w:rsidR="007F70E6">
        <w:rPr>
          <w:b/>
          <w:bCs/>
          <w:sz w:val="20"/>
          <w:szCs w:val="20"/>
        </w:rPr>
        <w:t>8</w:t>
      </w:r>
      <w:r w:rsidRPr="00E332E1">
        <w:rPr>
          <w:b/>
          <w:bCs/>
          <w:sz w:val="20"/>
          <w:szCs w:val="20"/>
        </w:rPr>
        <w:t>. Finantsinspektsioonile 2021. a. makstud järelevalvetasud (tuhandetes eurodes) ja järelevalvetasu määrad (%-des) subjektide lõikes</w:t>
      </w:r>
      <w:r w:rsidRPr="00067D5A">
        <w:rPr>
          <w:sz w:val="20"/>
          <w:szCs w:val="20"/>
          <w:vertAlign w:val="superscript"/>
        </w:rPr>
        <w:footnoteReference w:id="61"/>
      </w:r>
    </w:p>
    <w:p w14:paraId="0CE074A1" w14:textId="77777777" w:rsidR="005508E5" w:rsidRPr="002A063D" w:rsidRDefault="005508E5" w:rsidP="005508E5">
      <w:pPr>
        <w:autoSpaceDE w:val="0"/>
        <w:autoSpaceDN w:val="0"/>
        <w:adjustRightInd w:val="0"/>
        <w:spacing w:before="0"/>
        <w:jc w:val="left"/>
        <w:rPr>
          <w:b/>
          <w:sz w:val="22"/>
          <w:szCs w:val="22"/>
        </w:rPr>
      </w:pPr>
      <w:r>
        <w:rPr>
          <w:noProof/>
          <w:sz w:val="22"/>
          <w:szCs w:val="22"/>
        </w:rPr>
        <w:drawing>
          <wp:inline distT="0" distB="0" distL="0" distR="0" wp14:anchorId="0D991559" wp14:editId="44D4A749">
            <wp:extent cx="4309607" cy="2378467"/>
            <wp:effectExtent l="0" t="0" r="0" b="3175"/>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1419" cy="2390505"/>
                    </a:xfrm>
                    <a:prstGeom prst="rect">
                      <a:avLst/>
                    </a:prstGeom>
                    <a:noFill/>
                  </pic:spPr>
                </pic:pic>
              </a:graphicData>
            </a:graphic>
          </wp:inline>
        </w:drawing>
      </w:r>
      <w:r>
        <w:rPr>
          <w:sz w:val="22"/>
          <w:szCs w:val="22"/>
        </w:rPr>
        <w:br w:type="textWrapping" w:clear="all"/>
      </w:r>
    </w:p>
    <w:p w14:paraId="19E6ED7A" w14:textId="77777777" w:rsidR="005508E5" w:rsidRDefault="005508E5" w:rsidP="005508E5">
      <w:pPr>
        <w:spacing w:before="0"/>
        <w:rPr>
          <w:sz w:val="22"/>
          <w:szCs w:val="22"/>
        </w:rPr>
      </w:pPr>
      <w:r>
        <w:rPr>
          <w:sz w:val="22"/>
          <w:szCs w:val="22"/>
        </w:rPr>
        <w:t>Eeltoodu põhjal võiks hinnata, et makstavate tasude suurus antud sektoris võiks jääda makseasutuste ja krediidiandjate poolt makstud tasude vahemikku (kokku ca 80 000 – 220 000 eurot).</w:t>
      </w:r>
    </w:p>
    <w:p w14:paraId="4B312282" w14:textId="77777777" w:rsidR="005508E5" w:rsidRPr="0074732F" w:rsidRDefault="005508E5" w:rsidP="005508E5">
      <w:pPr>
        <w:spacing w:before="0"/>
        <w:rPr>
          <w:sz w:val="22"/>
          <w:szCs w:val="22"/>
        </w:rPr>
      </w:pPr>
    </w:p>
    <w:p w14:paraId="3705B01E" w14:textId="77777777" w:rsidR="005508E5" w:rsidRDefault="005508E5" w:rsidP="005508E5">
      <w:pPr>
        <w:spacing w:before="0"/>
        <w:rPr>
          <w:sz w:val="22"/>
          <w:szCs w:val="22"/>
        </w:rPr>
      </w:pPr>
      <w:r>
        <w:rPr>
          <w:sz w:val="22"/>
          <w:szCs w:val="22"/>
        </w:rPr>
        <w:t xml:space="preserve">Lisaks tuleb arvestada, et kui teenuseosutaja rikub käesolevas seaduses ette nähtud nõudeid, siis võib Finantsinspektsioon teda sanktsioneerida väärteo korras kuni 400 000 euro ulatuses. </w:t>
      </w:r>
    </w:p>
    <w:p w14:paraId="70422F09" w14:textId="77777777" w:rsidR="005508E5" w:rsidRDefault="005508E5" w:rsidP="005508E5">
      <w:pPr>
        <w:spacing w:before="0"/>
        <w:rPr>
          <w:sz w:val="22"/>
          <w:szCs w:val="22"/>
        </w:rPr>
      </w:pPr>
    </w:p>
    <w:p w14:paraId="361358B1" w14:textId="2700B494" w:rsidR="005508E5" w:rsidRDefault="005508E5" w:rsidP="005508E5">
      <w:pPr>
        <w:spacing w:before="0"/>
        <w:rPr>
          <w:sz w:val="22"/>
          <w:szCs w:val="22"/>
        </w:rPr>
      </w:pPr>
      <w:r>
        <w:rPr>
          <w:sz w:val="22"/>
          <w:szCs w:val="22"/>
        </w:rPr>
        <w:t>Siinkohal on oluline lisada, et f</w:t>
      </w:r>
      <w:r w:rsidRPr="00212317">
        <w:rPr>
          <w:sz w:val="22"/>
          <w:szCs w:val="22"/>
        </w:rPr>
        <w:t xml:space="preserve">inantsjärelevalvet teostatakse finantssektori stabiilsuse, usaldusväärsuse ja läbipaistvuse ning toimimise efektiivsuse suurendamise, süsteemsete riskide vähendamise ning finantssektori kuritegelikel eesmärkidel ärakasutamise tõkestamisele kaasaaitamise eesmärgil, et kaitsta klientide huve nende vahendite säilimisel ning seeläbi toetada Eesti rahasüsteemi stabiilsust. </w:t>
      </w:r>
    </w:p>
    <w:p w14:paraId="1F3E51D9" w14:textId="77777777" w:rsidR="005508E5" w:rsidRDefault="005508E5" w:rsidP="005508E5">
      <w:pPr>
        <w:spacing w:before="0"/>
        <w:rPr>
          <w:sz w:val="22"/>
          <w:szCs w:val="22"/>
        </w:rPr>
      </w:pPr>
      <w:r>
        <w:rPr>
          <w:sz w:val="22"/>
          <w:szCs w:val="22"/>
        </w:rPr>
        <w:t>Seega finantsj</w:t>
      </w:r>
      <w:r w:rsidRPr="00212317">
        <w:rPr>
          <w:sz w:val="22"/>
          <w:szCs w:val="22"/>
        </w:rPr>
        <w:t xml:space="preserve">ärelevalve põhiline eesmärk on tagada, et finantsasutused suudavad tulevikus täita kliendi ees võetud kohustused, </w:t>
      </w:r>
      <w:r>
        <w:rPr>
          <w:sz w:val="22"/>
          <w:szCs w:val="22"/>
        </w:rPr>
        <w:t>mh on</w:t>
      </w:r>
      <w:r w:rsidRPr="00212317">
        <w:rPr>
          <w:sz w:val="22"/>
          <w:szCs w:val="22"/>
        </w:rPr>
        <w:t xml:space="preserve"> järelevalve tööks ka tagada turutoimimise reeglite järgimine, sh et finantsteenuste tarbijatele esitatakse õiget ja täielikku teavet ning neid koheldakse õiglaselt. </w:t>
      </w:r>
    </w:p>
    <w:p w14:paraId="34D6B99D" w14:textId="77777777" w:rsidR="005508E5" w:rsidRDefault="005508E5" w:rsidP="005508E5">
      <w:pPr>
        <w:spacing w:before="0"/>
        <w:rPr>
          <w:sz w:val="22"/>
          <w:szCs w:val="22"/>
        </w:rPr>
      </w:pPr>
    </w:p>
    <w:p w14:paraId="2C9B9653" w14:textId="77777777" w:rsidR="005508E5" w:rsidRDefault="005508E5" w:rsidP="005508E5">
      <w:pPr>
        <w:spacing w:before="0"/>
        <w:rPr>
          <w:sz w:val="22"/>
          <w:szCs w:val="22"/>
        </w:rPr>
      </w:pPr>
      <w:r>
        <w:rPr>
          <w:sz w:val="22"/>
          <w:szCs w:val="22"/>
        </w:rPr>
        <w:t xml:space="preserve">Enne väärteomenetlemise algatamist on Finantsinspektsioonil võimalik kaaluda ka muude meetmete rakendamist. Eelkõige on </w:t>
      </w:r>
      <w:r w:rsidRPr="00212317">
        <w:rPr>
          <w:sz w:val="22"/>
          <w:szCs w:val="22"/>
        </w:rPr>
        <w:t>Finantsinspektsioonil võimalik õiguskorda kaitsta ettekirjutuse tegemise teel, nt teha ettekirjutus nii õigusaktide nõuete rikkumise eest (rikkumise lõpetamiseks) kui ka rikkumise ärahoidmiseks, mille mittetäitmisel on õigus rakendada sunniraha nii füüsilisele kui juriidilisele isikule.</w:t>
      </w:r>
    </w:p>
    <w:p w14:paraId="67E2C345" w14:textId="77777777" w:rsidR="005508E5" w:rsidRDefault="005508E5" w:rsidP="005508E5">
      <w:pPr>
        <w:spacing w:before="0"/>
        <w:rPr>
          <w:sz w:val="22"/>
          <w:szCs w:val="22"/>
        </w:rPr>
      </w:pPr>
    </w:p>
    <w:p w14:paraId="016A1519" w14:textId="77777777" w:rsidR="005508E5" w:rsidRDefault="005508E5" w:rsidP="005508E5">
      <w:pPr>
        <w:spacing w:before="0"/>
        <w:rPr>
          <w:sz w:val="22"/>
          <w:szCs w:val="22"/>
        </w:rPr>
      </w:pPr>
      <w:r>
        <w:rPr>
          <w:sz w:val="22"/>
          <w:szCs w:val="22"/>
        </w:rPr>
        <w:t xml:space="preserve">Ka EL finantssektori õigus, sh </w:t>
      </w:r>
      <w:proofErr w:type="spellStart"/>
      <w:r>
        <w:rPr>
          <w:sz w:val="22"/>
          <w:szCs w:val="22"/>
        </w:rPr>
        <w:t>ühisrahastuse</w:t>
      </w:r>
      <w:proofErr w:type="spellEnd"/>
      <w:r>
        <w:rPr>
          <w:sz w:val="22"/>
          <w:szCs w:val="22"/>
        </w:rPr>
        <w:t xml:space="preserve"> regulatsioon rõhutab</w:t>
      </w:r>
      <w:r w:rsidRPr="00212317">
        <w:rPr>
          <w:sz w:val="22"/>
          <w:szCs w:val="22"/>
        </w:rPr>
        <w:t xml:space="preserve">, et </w:t>
      </w:r>
      <w:r>
        <w:rPr>
          <w:sz w:val="22"/>
          <w:szCs w:val="22"/>
        </w:rPr>
        <w:t xml:space="preserve">vastavad </w:t>
      </w:r>
      <w:r w:rsidRPr="00212317">
        <w:rPr>
          <w:sz w:val="22"/>
          <w:szCs w:val="22"/>
        </w:rPr>
        <w:t xml:space="preserve">meetmed ja karistused peavad olema tõhusad, proportsionaalsed ja hoiatavad. Võttes arvesse konkreetset reguleeritavat valdkonda, ei pruugi mittekaristuslikest meetmetest piisata, et tagada </w:t>
      </w:r>
      <w:r>
        <w:rPr>
          <w:sz w:val="22"/>
          <w:szCs w:val="22"/>
        </w:rPr>
        <w:t>nende</w:t>
      </w:r>
      <w:r w:rsidRPr="00212317">
        <w:rPr>
          <w:sz w:val="22"/>
          <w:szCs w:val="22"/>
        </w:rPr>
        <w:t xml:space="preserve"> eesmärkide täitmine. </w:t>
      </w:r>
      <w:r>
        <w:rPr>
          <w:sz w:val="22"/>
          <w:szCs w:val="22"/>
        </w:rPr>
        <w:t>Eeltoodust lähtuvalt peab Finantsinspektsioonil kui</w:t>
      </w:r>
      <w:r w:rsidRPr="00212317">
        <w:rPr>
          <w:sz w:val="22"/>
          <w:szCs w:val="22"/>
        </w:rPr>
        <w:t xml:space="preserve"> </w:t>
      </w:r>
      <w:proofErr w:type="spellStart"/>
      <w:r w:rsidRPr="00212317">
        <w:rPr>
          <w:sz w:val="22"/>
          <w:szCs w:val="22"/>
        </w:rPr>
        <w:t>menetlejal</w:t>
      </w:r>
      <w:proofErr w:type="spellEnd"/>
      <w:r w:rsidRPr="00212317">
        <w:rPr>
          <w:sz w:val="22"/>
          <w:szCs w:val="22"/>
        </w:rPr>
        <w:t xml:space="preserve"> olema võimalik valida meetmetest see, mis just konkreetsel juhul on tõhus, proportsionaalne ja hoiatav. Lisaks võimaldab see arvestada </w:t>
      </w:r>
      <w:r w:rsidRPr="00212317">
        <w:rPr>
          <w:sz w:val="22"/>
          <w:szCs w:val="22"/>
        </w:rPr>
        <w:lastRenderedPageBreak/>
        <w:t xml:space="preserve">finantssektori eripäraga, kus ka olemuslikult kõrvaldatav rikkumine võib olla niivõrd oluline, et vajab näiteks sunniraha kõrvale ka väärteokoosseisu heidutavat toimet. Järelevalvel tuleb seega alati lähtuda ka </w:t>
      </w:r>
      <w:proofErr w:type="spellStart"/>
      <w:r w:rsidRPr="002A063D">
        <w:rPr>
          <w:i/>
          <w:iCs/>
          <w:sz w:val="22"/>
          <w:szCs w:val="22"/>
        </w:rPr>
        <w:t>ultima</w:t>
      </w:r>
      <w:proofErr w:type="spellEnd"/>
      <w:r w:rsidRPr="002A063D">
        <w:rPr>
          <w:i/>
          <w:iCs/>
          <w:sz w:val="22"/>
          <w:szCs w:val="22"/>
        </w:rPr>
        <w:t xml:space="preserve"> </w:t>
      </w:r>
      <w:proofErr w:type="spellStart"/>
      <w:r w:rsidRPr="002A063D">
        <w:rPr>
          <w:i/>
          <w:iCs/>
          <w:sz w:val="22"/>
          <w:szCs w:val="22"/>
        </w:rPr>
        <w:t>ratio</w:t>
      </w:r>
      <w:proofErr w:type="spellEnd"/>
      <w:r w:rsidRPr="00212317">
        <w:rPr>
          <w:sz w:val="22"/>
          <w:szCs w:val="22"/>
        </w:rPr>
        <w:t xml:space="preserve"> põhimõttest.</w:t>
      </w:r>
    </w:p>
    <w:p w14:paraId="5DB80A31" w14:textId="77777777" w:rsidR="005508E5" w:rsidRPr="005D3D7B" w:rsidRDefault="005508E5" w:rsidP="005508E5">
      <w:pPr>
        <w:spacing w:before="0"/>
        <w:rPr>
          <w:sz w:val="22"/>
          <w:szCs w:val="22"/>
        </w:rPr>
      </w:pPr>
    </w:p>
    <w:p w14:paraId="786BD6C9" w14:textId="77777777" w:rsidR="005508E5" w:rsidRPr="005D3D7B" w:rsidRDefault="005508E5" w:rsidP="005508E5">
      <w:pPr>
        <w:spacing w:before="0"/>
        <w:rPr>
          <w:sz w:val="22"/>
          <w:szCs w:val="22"/>
        </w:rPr>
      </w:pPr>
      <w:r w:rsidRPr="005D3D7B">
        <w:rPr>
          <w:b/>
          <w:sz w:val="22"/>
          <w:szCs w:val="22"/>
          <w:u w:val="single"/>
        </w:rPr>
        <w:t>Mõju avaldumise sagedus</w:t>
      </w:r>
      <w:r w:rsidRPr="005D3D7B">
        <w:rPr>
          <w:b/>
          <w:sz w:val="22"/>
          <w:szCs w:val="22"/>
        </w:rPr>
        <w:t>:</w:t>
      </w:r>
      <w:r w:rsidRPr="005D3D7B">
        <w:rPr>
          <w:sz w:val="22"/>
          <w:szCs w:val="22"/>
        </w:rPr>
        <w:t xml:space="preserve"> Teenuseosutaja peab vastama õigusaktides esitatud nõuetele igal ajahetkel. Teenuseosutaja halduskoormuse kasv võib olla suurem eelkõige tegevuse algusfaasis, st tegevusloa taotlemise protsessi ajal, kui võib vaja minna mh õigusnõustaja ja sõltumatu eksperdi abi tehnoloogiliste lahenduste ja </w:t>
      </w:r>
      <w:proofErr w:type="spellStart"/>
      <w:r w:rsidRPr="005D3D7B">
        <w:rPr>
          <w:sz w:val="22"/>
          <w:szCs w:val="22"/>
        </w:rPr>
        <w:t>küberturvalisuse</w:t>
      </w:r>
      <w:proofErr w:type="spellEnd"/>
      <w:r w:rsidRPr="005D3D7B">
        <w:rPr>
          <w:sz w:val="22"/>
          <w:szCs w:val="22"/>
        </w:rPr>
        <w:t xml:space="preserve"> tagamise kohta, mis on taotlejale täiendav kulu. Uus regulatsioon tähendab ka teenuseosutaja püsikulude suurenemist. Teenuse osutamise ajal on mõju avaldamise sagedus pidev, kuivõrd teenuseosutaja tegevus peab igal ajal olema vastavuses eelnõu</w:t>
      </w:r>
      <w:r>
        <w:rPr>
          <w:sz w:val="22"/>
          <w:szCs w:val="22"/>
        </w:rPr>
        <w:t>s</w:t>
      </w:r>
      <w:r w:rsidRPr="005D3D7B">
        <w:rPr>
          <w:sz w:val="22"/>
          <w:szCs w:val="22"/>
        </w:rPr>
        <w:t xml:space="preserve"> </w:t>
      </w:r>
      <w:proofErr w:type="spellStart"/>
      <w:r w:rsidRPr="005D3D7B">
        <w:rPr>
          <w:sz w:val="22"/>
          <w:szCs w:val="22"/>
        </w:rPr>
        <w:t>kavandata</w:t>
      </w:r>
      <w:r>
        <w:rPr>
          <w:sz w:val="22"/>
          <w:szCs w:val="22"/>
        </w:rPr>
        <w:t>tud</w:t>
      </w:r>
      <w:proofErr w:type="spellEnd"/>
      <w:r w:rsidRPr="005D3D7B">
        <w:rPr>
          <w:sz w:val="22"/>
          <w:szCs w:val="22"/>
        </w:rPr>
        <w:t xml:space="preserve"> nõuetega.</w:t>
      </w:r>
    </w:p>
    <w:p w14:paraId="5C1BD248" w14:textId="77777777" w:rsidR="005508E5" w:rsidRPr="005D3D7B" w:rsidRDefault="005508E5" w:rsidP="005508E5">
      <w:pPr>
        <w:spacing w:before="0"/>
        <w:rPr>
          <w:sz w:val="22"/>
          <w:szCs w:val="22"/>
        </w:rPr>
      </w:pPr>
    </w:p>
    <w:p w14:paraId="325EF856" w14:textId="77777777" w:rsidR="005508E5" w:rsidRDefault="005508E5" w:rsidP="005508E5">
      <w:pPr>
        <w:spacing w:before="0"/>
        <w:rPr>
          <w:sz w:val="22"/>
          <w:szCs w:val="22"/>
        </w:rPr>
      </w:pPr>
      <w:r w:rsidRPr="005D3D7B">
        <w:rPr>
          <w:b/>
          <w:sz w:val="22"/>
          <w:szCs w:val="22"/>
          <w:u w:val="single"/>
        </w:rPr>
        <w:t>Ebasoovitavate mõjude avaldumise risk</w:t>
      </w:r>
      <w:r w:rsidRPr="005D3D7B">
        <w:rPr>
          <w:b/>
          <w:sz w:val="22"/>
          <w:szCs w:val="22"/>
        </w:rPr>
        <w:t>:</w:t>
      </w:r>
      <w:r w:rsidRPr="005D3D7B">
        <w:rPr>
          <w:sz w:val="22"/>
          <w:szCs w:val="22"/>
        </w:rPr>
        <w:t xml:space="preserve"> Seaduse vastuvõtmisel võib mõni käesoleval hetkel tegutsev ettevõtja tegevuse lõpetada (vt ka sotsiaalne mõju). </w:t>
      </w:r>
    </w:p>
    <w:p w14:paraId="0069CF77" w14:textId="77777777" w:rsidR="005508E5" w:rsidRDefault="005508E5" w:rsidP="005508E5">
      <w:pPr>
        <w:spacing w:before="0"/>
        <w:rPr>
          <w:sz w:val="22"/>
          <w:szCs w:val="22"/>
        </w:rPr>
      </w:pPr>
      <w:r>
        <w:rPr>
          <w:sz w:val="22"/>
          <w:szCs w:val="22"/>
        </w:rPr>
        <w:t xml:space="preserve">Eelkõige võib olla põhjuseks see, et ettevõtja ei pruugi olla suuteline taotlema tegevusluba. Tegevusloa taotlemisel tuleb esitada põhjalikult ettevalmistatud dokumendid ja andmed, mis peavad tõendama, et tegevusloa taotleja vastab seaduses ettenähtud nõutele (eelkõige kapitalinõuded, juhtide usaldusväärsus, organisatsiooni sisesed kontrollsüsteemid, teenuse osutamise nõuded). </w:t>
      </w:r>
    </w:p>
    <w:p w14:paraId="7648C1FF" w14:textId="77777777" w:rsidR="005508E5" w:rsidRDefault="005508E5" w:rsidP="005508E5">
      <w:pPr>
        <w:spacing w:before="0"/>
        <w:rPr>
          <w:sz w:val="22"/>
          <w:szCs w:val="22"/>
        </w:rPr>
      </w:pPr>
      <w:r w:rsidRPr="005D3D7B">
        <w:rPr>
          <w:sz w:val="22"/>
          <w:szCs w:val="22"/>
        </w:rPr>
        <w:t xml:space="preserve">Samas võib käesoleval ajal tegutseda </w:t>
      </w:r>
      <w:r>
        <w:rPr>
          <w:sz w:val="22"/>
          <w:szCs w:val="22"/>
        </w:rPr>
        <w:t xml:space="preserve">nii </w:t>
      </w:r>
      <w:proofErr w:type="spellStart"/>
      <w:r>
        <w:rPr>
          <w:sz w:val="22"/>
          <w:szCs w:val="22"/>
        </w:rPr>
        <w:t>krüptovara</w:t>
      </w:r>
      <w:proofErr w:type="spellEnd"/>
      <w:r>
        <w:rPr>
          <w:sz w:val="22"/>
          <w:szCs w:val="22"/>
        </w:rPr>
        <w:t xml:space="preserve"> kui </w:t>
      </w:r>
      <w:proofErr w:type="spellStart"/>
      <w:r w:rsidRPr="005D3D7B">
        <w:rPr>
          <w:sz w:val="22"/>
          <w:szCs w:val="22"/>
        </w:rPr>
        <w:t>ühisrahastuse</w:t>
      </w:r>
      <w:proofErr w:type="spellEnd"/>
      <w:r w:rsidRPr="005D3D7B">
        <w:rPr>
          <w:sz w:val="22"/>
          <w:szCs w:val="22"/>
        </w:rPr>
        <w:t xml:space="preserve"> turul ka ettevõtjaid, kelle eesmärgiks ei ole tegelikult </w:t>
      </w:r>
      <w:proofErr w:type="spellStart"/>
      <w:r>
        <w:rPr>
          <w:sz w:val="22"/>
          <w:szCs w:val="22"/>
        </w:rPr>
        <w:t>krüptovara</w:t>
      </w:r>
      <w:proofErr w:type="spellEnd"/>
      <w:r>
        <w:rPr>
          <w:sz w:val="22"/>
          <w:szCs w:val="22"/>
        </w:rPr>
        <w:t xml:space="preserve">- või </w:t>
      </w:r>
      <w:proofErr w:type="spellStart"/>
      <w:r w:rsidRPr="005D3D7B">
        <w:rPr>
          <w:sz w:val="22"/>
          <w:szCs w:val="22"/>
        </w:rPr>
        <w:t>ühisrahastusteenuste</w:t>
      </w:r>
      <w:proofErr w:type="spellEnd"/>
      <w:r w:rsidRPr="005D3D7B">
        <w:rPr>
          <w:sz w:val="22"/>
          <w:szCs w:val="22"/>
        </w:rPr>
        <w:t xml:space="preserve"> pakkumine ja reaalne tavapärane äritegevus, mistõttu võib olla regulatsiooni kehtestamisel ka n.ö „puhastav“ efekt. </w:t>
      </w:r>
    </w:p>
    <w:p w14:paraId="60475590" w14:textId="77777777" w:rsidR="005508E5" w:rsidRPr="005D3D7B" w:rsidRDefault="005508E5" w:rsidP="005508E5">
      <w:pPr>
        <w:spacing w:before="0"/>
        <w:rPr>
          <w:i/>
          <w:sz w:val="22"/>
          <w:szCs w:val="22"/>
        </w:rPr>
      </w:pPr>
    </w:p>
    <w:p w14:paraId="2BAA5C31" w14:textId="77777777" w:rsidR="005508E5" w:rsidRDefault="005508E5" w:rsidP="005508E5">
      <w:pPr>
        <w:spacing w:before="0"/>
        <w:rPr>
          <w:sz w:val="22"/>
          <w:szCs w:val="22"/>
        </w:rPr>
      </w:pPr>
      <w:r w:rsidRPr="005D3D7B">
        <w:rPr>
          <w:b/>
          <w:sz w:val="22"/>
          <w:szCs w:val="22"/>
          <w:u w:val="single"/>
        </w:rPr>
        <w:t>Mõju olulisus:</w:t>
      </w:r>
      <w:r w:rsidRPr="005D3D7B">
        <w:rPr>
          <w:sz w:val="22"/>
          <w:szCs w:val="22"/>
        </w:rPr>
        <w:t xml:space="preserve"> Mõju teenuseosutajale, kes peab taotlema tegevusluba, on kindlasti olemas</w:t>
      </w:r>
      <w:r>
        <w:rPr>
          <w:sz w:val="22"/>
          <w:szCs w:val="22"/>
        </w:rPr>
        <w:t xml:space="preserve"> ehk mõju on pigem oluline</w:t>
      </w:r>
      <w:r w:rsidRPr="005D3D7B">
        <w:rPr>
          <w:sz w:val="22"/>
          <w:szCs w:val="22"/>
        </w:rPr>
        <w:t xml:space="preserve">. Halduskoormuse tõus ja täiendava ressursi vajadus, nii rahaline kui inimressurss. Samas üldises plaanis </w:t>
      </w:r>
      <w:r>
        <w:rPr>
          <w:sz w:val="22"/>
          <w:szCs w:val="22"/>
        </w:rPr>
        <w:t>ei ole käesoleva seaduse kohaldumisalasse kuuluvaid</w:t>
      </w:r>
      <w:r w:rsidRPr="005D3D7B">
        <w:rPr>
          <w:sz w:val="22"/>
          <w:szCs w:val="22"/>
        </w:rPr>
        <w:t xml:space="preserve"> teenuseosutajaid </w:t>
      </w:r>
      <w:r>
        <w:rPr>
          <w:sz w:val="22"/>
          <w:szCs w:val="22"/>
        </w:rPr>
        <w:t xml:space="preserve">võrreldes kogu ettevõtete arvuga </w:t>
      </w:r>
      <w:r w:rsidRPr="005D3D7B">
        <w:rPr>
          <w:sz w:val="22"/>
          <w:szCs w:val="22"/>
        </w:rPr>
        <w:t>väga palju</w:t>
      </w:r>
      <w:r>
        <w:rPr>
          <w:sz w:val="22"/>
          <w:szCs w:val="22"/>
        </w:rPr>
        <w:t>. Lisaks</w:t>
      </w:r>
      <w:r w:rsidRPr="005D3D7B">
        <w:rPr>
          <w:sz w:val="22"/>
          <w:szCs w:val="22"/>
        </w:rPr>
        <w:t xml:space="preserve"> nende mahud on veel </w:t>
      </w:r>
      <w:r>
        <w:rPr>
          <w:sz w:val="22"/>
          <w:szCs w:val="22"/>
        </w:rPr>
        <w:t>võrreldes kogu finantssekori mahtudega siiski väikesed</w:t>
      </w:r>
      <w:r w:rsidRPr="005D3D7B">
        <w:rPr>
          <w:sz w:val="22"/>
          <w:szCs w:val="22"/>
        </w:rPr>
        <w:t xml:space="preserve">. Üldise mõjuna võib välja tuua, et kehtestatavad nõuded tagavad võrdsema konkurentsiolukorra </w:t>
      </w:r>
      <w:r>
        <w:rPr>
          <w:sz w:val="22"/>
          <w:szCs w:val="22"/>
        </w:rPr>
        <w:t>erinevate investeerimisteenuste osutamise turul</w:t>
      </w:r>
      <w:r w:rsidRPr="005D3D7B">
        <w:rPr>
          <w:sz w:val="22"/>
          <w:szCs w:val="22"/>
        </w:rPr>
        <w:t>.</w:t>
      </w:r>
    </w:p>
    <w:p w14:paraId="419F8656" w14:textId="77777777" w:rsidR="005508E5" w:rsidRDefault="005508E5" w:rsidP="005508E5">
      <w:pPr>
        <w:spacing w:before="0"/>
        <w:rPr>
          <w:sz w:val="22"/>
          <w:szCs w:val="22"/>
        </w:rPr>
      </w:pPr>
      <w:r>
        <w:rPr>
          <w:sz w:val="22"/>
          <w:szCs w:val="22"/>
        </w:rPr>
        <w:t xml:space="preserve">Lisaks tasub märkida, et </w:t>
      </w:r>
      <w:r w:rsidRPr="006020A8">
        <w:rPr>
          <w:sz w:val="22"/>
          <w:szCs w:val="22"/>
        </w:rPr>
        <w:t xml:space="preserve">eelnõu </w:t>
      </w:r>
      <w:r>
        <w:rPr>
          <w:sz w:val="22"/>
          <w:szCs w:val="22"/>
        </w:rPr>
        <w:t xml:space="preserve">võib </w:t>
      </w:r>
      <w:r w:rsidRPr="006020A8">
        <w:rPr>
          <w:sz w:val="22"/>
          <w:szCs w:val="22"/>
        </w:rPr>
        <w:t>mõjuta</w:t>
      </w:r>
      <w:r>
        <w:rPr>
          <w:sz w:val="22"/>
          <w:szCs w:val="22"/>
        </w:rPr>
        <w:t>da</w:t>
      </w:r>
      <w:r w:rsidRPr="006020A8">
        <w:rPr>
          <w:sz w:val="22"/>
          <w:szCs w:val="22"/>
        </w:rPr>
        <w:t xml:space="preserve"> se</w:t>
      </w:r>
      <w:r>
        <w:rPr>
          <w:sz w:val="22"/>
          <w:szCs w:val="22"/>
        </w:rPr>
        <w:t xml:space="preserve">lle sektori arengut ka selgelt </w:t>
      </w:r>
      <w:r w:rsidRPr="006020A8">
        <w:rPr>
          <w:sz w:val="22"/>
          <w:szCs w:val="22"/>
        </w:rPr>
        <w:t>positiivses suunas</w:t>
      </w:r>
      <w:r>
        <w:rPr>
          <w:sz w:val="22"/>
          <w:szCs w:val="22"/>
        </w:rPr>
        <w:t>. Seda eelkõige põhjusel, et eelnõuga kaasnevate nõuete tõttu võivad</w:t>
      </w:r>
      <w:r w:rsidRPr="006020A8">
        <w:rPr>
          <w:sz w:val="22"/>
          <w:szCs w:val="22"/>
        </w:rPr>
        <w:t xml:space="preserve"> investorid </w:t>
      </w:r>
      <w:r>
        <w:rPr>
          <w:sz w:val="22"/>
          <w:szCs w:val="22"/>
        </w:rPr>
        <w:t xml:space="preserve">senisest rohkem </w:t>
      </w:r>
      <w:r w:rsidRPr="006020A8">
        <w:rPr>
          <w:sz w:val="22"/>
          <w:szCs w:val="22"/>
        </w:rPr>
        <w:t>usalda</w:t>
      </w:r>
      <w:r>
        <w:rPr>
          <w:sz w:val="22"/>
          <w:szCs w:val="22"/>
        </w:rPr>
        <w:t>da</w:t>
      </w:r>
      <w:r w:rsidRPr="006020A8">
        <w:rPr>
          <w:sz w:val="22"/>
          <w:szCs w:val="22"/>
        </w:rPr>
        <w:t xml:space="preserve"> </w:t>
      </w:r>
      <w:r>
        <w:rPr>
          <w:sz w:val="22"/>
          <w:szCs w:val="22"/>
        </w:rPr>
        <w:t xml:space="preserve">investeerimist antud valdkonda (ehk on </w:t>
      </w:r>
      <w:r w:rsidRPr="006020A8">
        <w:rPr>
          <w:sz w:val="22"/>
          <w:szCs w:val="22"/>
        </w:rPr>
        <w:t>valmis rohkem panustama nendesse projektidesse</w:t>
      </w:r>
      <w:r>
        <w:rPr>
          <w:sz w:val="22"/>
          <w:szCs w:val="22"/>
        </w:rPr>
        <w:t>), mis võib kaasa tuua üldise teenuste mahu kasvu (samas teenuseosutajate püsikulud ei peaks sellises proportsioonis kasvama)</w:t>
      </w:r>
      <w:r w:rsidRPr="006020A8">
        <w:rPr>
          <w:sz w:val="22"/>
          <w:szCs w:val="22"/>
        </w:rPr>
        <w:t>.</w:t>
      </w:r>
    </w:p>
    <w:p w14:paraId="1FF17679" w14:textId="77777777" w:rsidR="005508E5" w:rsidRPr="005D3D7B" w:rsidRDefault="005508E5" w:rsidP="005508E5">
      <w:pPr>
        <w:spacing w:before="0"/>
        <w:rPr>
          <w:sz w:val="22"/>
          <w:szCs w:val="22"/>
          <w:u w:val="single"/>
        </w:rPr>
      </w:pPr>
    </w:p>
    <w:p w14:paraId="0D5AC2A6" w14:textId="77777777" w:rsidR="005508E5" w:rsidRPr="005D3D7B" w:rsidRDefault="005508E5" w:rsidP="005508E5">
      <w:pPr>
        <w:spacing w:before="0"/>
        <w:rPr>
          <w:b/>
          <w:sz w:val="22"/>
          <w:szCs w:val="22"/>
        </w:rPr>
      </w:pPr>
      <w:r>
        <w:rPr>
          <w:b/>
          <w:sz w:val="22"/>
          <w:szCs w:val="22"/>
        </w:rPr>
        <w:t>6</w:t>
      </w:r>
      <w:r w:rsidRPr="005D3D7B">
        <w:rPr>
          <w:b/>
          <w:sz w:val="22"/>
          <w:szCs w:val="22"/>
        </w:rPr>
        <w:t>.1.</w:t>
      </w:r>
      <w:r>
        <w:rPr>
          <w:b/>
          <w:sz w:val="22"/>
          <w:szCs w:val="22"/>
        </w:rPr>
        <w:t>2</w:t>
      </w:r>
      <w:r w:rsidRPr="005D3D7B">
        <w:rPr>
          <w:b/>
          <w:sz w:val="22"/>
          <w:szCs w:val="22"/>
        </w:rPr>
        <w:t>. Majanduslik mõju rahastuse taotlejale</w:t>
      </w:r>
      <w:r>
        <w:rPr>
          <w:b/>
          <w:sz w:val="22"/>
          <w:szCs w:val="22"/>
        </w:rPr>
        <w:t xml:space="preserve"> (seoses </w:t>
      </w:r>
      <w:proofErr w:type="spellStart"/>
      <w:r>
        <w:rPr>
          <w:b/>
          <w:sz w:val="22"/>
          <w:szCs w:val="22"/>
        </w:rPr>
        <w:t>ühisrahastusprojektidega</w:t>
      </w:r>
      <w:proofErr w:type="spellEnd"/>
      <w:r>
        <w:rPr>
          <w:b/>
          <w:sz w:val="22"/>
          <w:szCs w:val="22"/>
        </w:rPr>
        <w:t>)</w:t>
      </w:r>
    </w:p>
    <w:p w14:paraId="6DEA00BE" w14:textId="77777777" w:rsidR="005508E5" w:rsidRPr="005D3D7B" w:rsidRDefault="005508E5" w:rsidP="005508E5">
      <w:pPr>
        <w:spacing w:before="0"/>
        <w:rPr>
          <w:b/>
          <w:sz w:val="22"/>
          <w:szCs w:val="22"/>
        </w:rPr>
      </w:pPr>
    </w:p>
    <w:p w14:paraId="452B59D5" w14:textId="77777777" w:rsidR="005508E5" w:rsidRDefault="005508E5" w:rsidP="005508E5">
      <w:pPr>
        <w:spacing w:before="0"/>
        <w:rPr>
          <w:sz w:val="22"/>
          <w:szCs w:val="22"/>
        </w:rPr>
      </w:pPr>
      <w:r w:rsidRPr="005D3D7B">
        <w:rPr>
          <w:b/>
          <w:sz w:val="22"/>
          <w:szCs w:val="22"/>
          <w:u w:val="single"/>
        </w:rPr>
        <w:t>Sihtrühm:</w:t>
      </w:r>
      <w:r w:rsidRPr="005D3D7B">
        <w:rPr>
          <w:sz w:val="22"/>
          <w:szCs w:val="22"/>
        </w:rPr>
        <w:t xml:space="preserve"> Kõik isikud, kes soovivad rahalisi vahendeid taotleda eelnõu kohaldamisulatusse kuuluvate teenuseosutajate vahendusel. Rahastuse taotlejad võivad olla nii füüsilised kui ja juriidilised isikud.</w:t>
      </w:r>
      <w:r>
        <w:rPr>
          <w:sz w:val="22"/>
          <w:szCs w:val="22"/>
        </w:rPr>
        <w:t xml:space="preserve"> Juhul kui rahastuse taotleja on samal ajal teenuseosutaja, siis tuleb arvesse võtta ka seda mõju, mida on käsitletud eelmises punktis.</w:t>
      </w:r>
    </w:p>
    <w:p w14:paraId="2B220DEE" w14:textId="77777777" w:rsidR="005508E5" w:rsidRDefault="005508E5" w:rsidP="005508E5">
      <w:pPr>
        <w:spacing w:before="0"/>
        <w:rPr>
          <w:sz w:val="22"/>
          <w:szCs w:val="22"/>
        </w:rPr>
      </w:pPr>
    </w:p>
    <w:p w14:paraId="547D3D39" w14:textId="77777777" w:rsidR="005508E5" w:rsidRDefault="005508E5" w:rsidP="005508E5">
      <w:pPr>
        <w:spacing w:before="0"/>
        <w:rPr>
          <w:sz w:val="22"/>
          <w:szCs w:val="22"/>
        </w:rPr>
      </w:pPr>
      <w:r w:rsidRPr="005D3D7B">
        <w:rPr>
          <w:sz w:val="22"/>
          <w:szCs w:val="22"/>
        </w:rPr>
        <w:t>Juriidiliste isikute osakaal rahastuse taotlejatest on hinnanguliselt suurem</w:t>
      </w:r>
      <w:r>
        <w:rPr>
          <w:sz w:val="22"/>
          <w:szCs w:val="22"/>
        </w:rPr>
        <w:t xml:space="preserve"> (mahtude mõttes)</w:t>
      </w:r>
      <w:r w:rsidRPr="005D3D7B">
        <w:rPr>
          <w:sz w:val="22"/>
          <w:szCs w:val="22"/>
        </w:rPr>
        <w:t xml:space="preserve">. Füüsilised isikud osalevad rahastuse taotlejatena eeskätt tarbijakrediidi </w:t>
      </w:r>
      <w:proofErr w:type="spellStart"/>
      <w:r w:rsidRPr="005D3D7B">
        <w:rPr>
          <w:sz w:val="22"/>
          <w:szCs w:val="22"/>
        </w:rPr>
        <w:t>ühisrahastuses</w:t>
      </w:r>
      <w:proofErr w:type="spellEnd"/>
      <w:r w:rsidRPr="005D3D7B">
        <w:rPr>
          <w:sz w:val="22"/>
          <w:szCs w:val="22"/>
        </w:rPr>
        <w:t>.</w:t>
      </w:r>
      <w:r>
        <w:rPr>
          <w:sz w:val="22"/>
          <w:szCs w:val="22"/>
        </w:rPr>
        <w:t xml:space="preserve"> Füüsilistele isikutele aga käesoleva seadusega mõju puudub, nende suhtes jääb jätkuvalt kehtima võlaõigusseaduses sätestatud nn kaitserežiim.</w:t>
      </w:r>
    </w:p>
    <w:p w14:paraId="63A2A4C6" w14:textId="77777777" w:rsidR="005508E5" w:rsidRDefault="005508E5" w:rsidP="005508E5">
      <w:pPr>
        <w:spacing w:before="0"/>
        <w:rPr>
          <w:sz w:val="22"/>
          <w:szCs w:val="22"/>
        </w:rPr>
      </w:pPr>
    </w:p>
    <w:p w14:paraId="71981D70" w14:textId="77777777" w:rsidR="005508E5" w:rsidRDefault="005508E5" w:rsidP="005508E5">
      <w:pPr>
        <w:spacing w:before="0"/>
        <w:rPr>
          <w:sz w:val="22"/>
          <w:szCs w:val="22"/>
        </w:rPr>
      </w:pPr>
      <w:r>
        <w:rPr>
          <w:sz w:val="22"/>
          <w:szCs w:val="22"/>
        </w:rPr>
        <w:t xml:space="preserve">Eesti Panga andmetel on aastate 2016 – 2021 jooksul läbi </w:t>
      </w:r>
      <w:proofErr w:type="spellStart"/>
      <w:r>
        <w:rPr>
          <w:sz w:val="22"/>
          <w:szCs w:val="22"/>
        </w:rPr>
        <w:t>ühisrahastusplatvormide</w:t>
      </w:r>
      <w:proofErr w:type="spellEnd"/>
      <w:r>
        <w:rPr>
          <w:sz w:val="22"/>
          <w:szCs w:val="22"/>
        </w:rPr>
        <w:t xml:space="preserve"> kaasatud ca 1,4 mlrd eurot. Samas puudub statistika kui palju ettevõtjaid on läbi nende rahastust saanud. Üldiselt võib ilmselt öelda, et see on päris märkimisväärne ettevõtjate arv. Seega on majanduslik mõju ka edaspidi rahastuse taotlejatele üpris oluline, kuna </w:t>
      </w:r>
      <w:proofErr w:type="spellStart"/>
      <w:r>
        <w:rPr>
          <w:sz w:val="22"/>
          <w:szCs w:val="22"/>
        </w:rPr>
        <w:t>ühisrahastus</w:t>
      </w:r>
      <w:proofErr w:type="spellEnd"/>
      <w:r>
        <w:rPr>
          <w:sz w:val="22"/>
          <w:szCs w:val="22"/>
        </w:rPr>
        <w:t xml:space="preserve"> on selge alternatiiv rahastuse saamiseks võrreldes kõige klassikalisema rahastusviisi – pangalaenuga. </w:t>
      </w:r>
    </w:p>
    <w:p w14:paraId="73AE45E6" w14:textId="77777777" w:rsidR="005508E5" w:rsidRPr="005D3D7B" w:rsidRDefault="005508E5" w:rsidP="005508E5">
      <w:pPr>
        <w:spacing w:before="0"/>
        <w:rPr>
          <w:sz w:val="22"/>
          <w:szCs w:val="22"/>
        </w:rPr>
      </w:pPr>
    </w:p>
    <w:p w14:paraId="7FBC7E43" w14:textId="77777777" w:rsidR="005508E5" w:rsidRDefault="005508E5" w:rsidP="005508E5">
      <w:pPr>
        <w:spacing w:before="0"/>
        <w:rPr>
          <w:sz w:val="22"/>
          <w:szCs w:val="22"/>
        </w:rPr>
      </w:pPr>
      <w:r w:rsidRPr="005D3D7B">
        <w:rPr>
          <w:b/>
          <w:sz w:val="22"/>
          <w:szCs w:val="22"/>
          <w:u w:val="single"/>
        </w:rPr>
        <w:t>Mõju ulatus</w:t>
      </w:r>
      <w:r w:rsidRPr="005D3D7B">
        <w:rPr>
          <w:sz w:val="22"/>
          <w:szCs w:val="22"/>
          <w:u w:val="single"/>
        </w:rPr>
        <w:t>:</w:t>
      </w:r>
      <w:r w:rsidRPr="005D3D7B">
        <w:rPr>
          <w:sz w:val="22"/>
          <w:szCs w:val="22"/>
        </w:rPr>
        <w:t xml:space="preserve"> </w:t>
      </w:r>
      <w:proofErr w:type="spellStart"/>
      <w:r w:rsidRPr="005D3D7B">
        <w:rPr>
          <w:sz w:val="22"/>
          <w:szCs w:val="22"/>
        </w:rPr>
        <w:t>Ühisrahastus</w:t>
      </w:r>
      <w:proofErr w:type="spellEnd"/>
      <w:r w:rsidRPr="005D3D7B">
        <w:rPr>
          <w:sz w:val="22"/>
          <w:szCs w:val="22"/>
        </w:rPr>
        <w:t xml:space="preserve"> võimaldab isikutel </w:t>
      </w:r>
      <w:r>
        <w:rPr>
          <w:sz w:val="22"/>
          <w:szCs w:val="22"/>
        </w:rPr>
        <w:t xml:space="preserve">(käesoleva eelnõu mõistes juriidilistel isikutel) </w:t>
      </w:r>
      <w:r w:rsidRPr="005D3D7B">
        <w:rPr>
          <w:sz w:val="22"/>
          <w:szCs w:val="22"/>
        </w:rPr>
        <w:t>kaasata kapitali ja on alternatiivseks kapitali kaasamise vahendiks nö klassikalistele finantsteenustele</w:t>
      </w:r>
      <w:r>
        <w:rPr>
          <w:sz w:val="22"/>
          <w:szCs w:val="22"/>
        </w:rPr>
        <w:t xml:space="preserve"> (eelkõige pangalaenudele)</w:t>
      </w:r>
      <w:r w:rsidRPr="005D3D7B">
        <w:rPr>
          <w:sz w:val="22"/>
          <w:szCs w:val="22"/>
        </w:rPr>
        <w:t xml:space="preserve">. </w:t>
      </w:r>
      <w:r>
        <w:rPr>
          <w:sz w:val="22"/>
          <w:szCs w:val="22"/>
        </w:rPr>
        <w:t xml:space="preserve">Eelnõuga ette nähtud nõuded tagavad aga võrdsema „mänguruumi“ ja annavad selge kindlustustunde ka rahastuse taotlejatele, kelle jaoks on </w:t>
      </w:r>
      <w:proofErr w:type="spellStart"/>
      <w:r>
        <w:rPr>
          <w:sz w:val="22"/>
          <w:szCs w:val="22"/>
        </w:rPr>
        <w:t>ühisrahastusteenuse</w:t>
      </w:r>
      <w:proofErr w:type="spellEnd"/>
      <w:r>
        <w:rPr>
          <w:sz w:val="22"/>
          <w:szCs w:val="22"/>
        </w:rPr>
        <w:t xml:space="preserve"> osutajad otsesed koostööpartnerid. </w:t>
      </w:r>
      <w:r w:rsidRPr="005D3D7B">
        <w:rPr>
          <w:sz w:val="22"/>
          <w:szCs w:val="22"/>
        </w:rPr>
        <w:t xml:space="preserve">Eelnevat võib pidada positiivseks mõjuks. </w:t>
      </w:r>
    </w:p>
    <w:p w14:paraId="7D44DE53" w14:textId="77777777" w:rsidR="005508E5" w:rsidRDefault="005508E5" w:rsidP="005508E5">
      <w:pPr>
        <w:spacing w:before="0"/>
        <w:rPr>
          <w:sz w:val="22"/>
          <w:szCs w:val="22"/>
        </w:rPr>
      </w:pPr>
    </w:p>
    <w:p w14:paraId="56121E72" w14:textId="42B09E39" w:rsidR="005508E5" w:rsidRDefault="005508E5" w:rsidP="005508E5">
      <w:pPr>
        <w:spacing w:before="0"/>
        <w:rPr>
          <w:sz w:val="22"/>
          <w:szCs w:val="22"/>
        </w:rPr>
      </w:pPr>
      <w:r>
        <w:rPr>
          <w:sz w:val="22"/>
          <w:szCs w:val="22"/>
        </w:rPr>
        <w:t xml:space="preserve">Samas kaasnevad ka juriidilistest isikutest rahastuse taotlejatele mitmed uued nõuded eelnõuga. Näiteks peavad rahastuse taotlejad </w:t>
      </w:r>
      <w:r w:rsidRPr="005D3D7B">
        <w:rPr>
          <w:sz w:val="22"/>
          <w:szCs w:val="22"/>
        </w:rPr>
        <w:t xml:space="preserve">hakkama edaspidi põhjalikumalt </w:t>
      </w:r>
      <w:r>
        <w:rPr>
          <w:sz w:val="22"/>
          <w:szCs w:val="22"/>
        </w:rPr>
        <w:t>kirjeldama äriprojekti vastavalt ühtsele standardile, mille tarbeks raha kaasatakse (tuleb koostada põhiteabedokument). Ühelt poolt peaks see tõstma rahastatavate</w:t>
      </w:r>
      <w:r w:rsidRPr="005D3D7B">
        <w:rPr>
          <w:sz w:val="22"/>
          <w:szCs w:val="22"/>
        </w:rPr>
        <w:t xml:space="preserve"> projektide kvaliteet</w:t>
      </w:r>
      <w:r>
        <w:rPr>
          <w:sz w:val="22"/>
          <w:szCs w:val="22"/>
        </w:rPr>
        <w:t>i</w:t>
      </w:r>
      <w:r w:rsidRPr="005D3D7B">
        <w:rPr>
          <w:sz w:val="22"/>
          <w:szCs w:val="22"/>
        </w:rPr>
        <w:t xml:space="preserve"> ja seeläbi tõ</w:t>
      </w:r>
      <w:r>
        <w:rPr>
          <w:sz w:val="22"/>
          <w:szCs w:val="22"/>
        </w:rPr>
        <w:t>stma</w:t>
      </w:r>
      <w:r w:rsidRPr="005D3D7B">
        <w:rPr>
          <w:sz w:val="22"/>
          <w:szCs w:val="22"/>
        </w:rPr>
        <w:t xml:space="preserve"> ka investorite kindlustunne</w:t>
      </w:r>
      <w:r>
        <w:rPr>
          <w:sz w:val="22"/>
          <w:szCs w:val="22"/>
        </w:rPr>
        <w:t>t</w:t>
      </w:r>
      <w:r w:rsidRPr="005D3D7B">
        <w:rPr>
          <w:sz w:val="22"/>
          <w:szCs w:val="22"/>
        </w:rPr>
        <w:t>.</w:t>
      </w:r>
      <w:r>
        <w:rPr>
          <w:sz w:val="22"/>
          <w:szCs w:val="22"/>
        </w:rPr>
        <w:t xml:space="preserve"> Teiselt poolt tähendab see täiendavaid kulutusi rahastuse taotleja jaoks. Lisaks tuleb avalikustada teave investeerimisprojektiga seotud riskide suurenemise või realiseerimise kohta, mis annab samuti </w:t>
      </w:r>
      <w:r w:rsidR="004A5F19">
        <w:rPr>
          <w:sz w:val="22"/>
          <w:szCs w:val="22"/>
        </w:rPr>
        <w:t>klientidele</w:t>
      </w:r>
      <w:r>
        <w:rPr>
          <w:sz w:val="22"/>
          <w:szCs w:val="22"/>
        </w:rPr>
        <w:t xml:space="preserve"> olulist infot.  </w:t>
      </w:r>
    </w:p>
    <w:p w14:paraId="1026E4D7" w14:textId="77777777" w:rsidR="005508E5" w:rsidRDefault="005508E5" w:rsidP="005508E5">
      <w:pPr>
        <w:spacing w:before="0"/>
        <w:rPr>
          <w:sz w:val="22"/>
          <w:szCs w:val="22"/>
        </w:rPr>
      </w:pPr>
    </w:p>
    <w:p w14:paraId="3F25D563" w14:textId="77777777" w:rsidR="005508E5" w:rsidRDefault="005508E5" w:rsidP="005508E5">
      <w:pPr>
        <w:spacing w:before="0"/>
        <w:rPr>
          <w:sz w:val="22"/>
          <w:szCs w:val="22"/>
        </w:rPr>
      </w:pPr>
      <w:r>
        <w:rPr>
          <w:sz w:val="22"/>
          <w:szCs w:val="22"/>
        </w:rPr>
        <w:t xml:space="preserve">Samuti tuleb arvestada, et kui rahastuse taotleja rikub käesoleva eelnõuga ette nähtud nõudeid (nt ei ole koostanud korrektselt põhiteabedokumenti või annab seoses sellega ebaõiget infot), siis võib Finantsinspektsioon teda sanktsioneerida väärteomenetluse korras kuni 400 000 euro ulatuses. Põhiteabedokumendi registreerimisel Finantsinspektsioonis tuleb lisaks maksta ka menetlustasu (põhiteabedokumendi registreerimise kohustus kaasneb üksnes nö suurte emissioonidega). </w:t>
      </w:r>
    </w:p>
    <w:p w14:paraId="2978032B" w14:textId="77777777" w:rsidR="005508E5" w:rsidRPr="005D3D7B" w:rsidRDefault="005508E5" w:rsidP="005508E5">
      <w:pPr>
        <w:spacing w:before="0"/>
        <w:rPr>
          <w:i/>
          <w:sz w:val="22"/>
          <w:szCs w:val="22"/>
        </w:rPr>
      </w:pPr>
    </w:p>
    <w:p w14:paraId="7C1E580B" w14:textId="77777777" w:rsidR="005508E5" w:rsidRPr="005D3D7B" w:rsidRDefault="005508E5" w:rsidP="005508E5">
      <w:pPr>
        <w:spacing w:before="0"/>
        <w:rPr>
          <w:sz w:val="22"/>
          <w:szCs w:val="22"/>
        </w:rPr>
      </w:pPr>
      <w:r w:rsidRPr="005D3D7B">
        <w:rPr>
          <w:b/>
          <w:sz w:val="22"/>
          <w:szCs w:val="22"/>
          <w:u w:val="single"/>
        </w:rPr>
        <w:t>Mõju avaldumise sagedus</w:t>
      </w:r>
      <w:r w:rsidRPr="005D3D7B">
        <w:rPr>
          <w:sz w:val="22"/>
          <w:szCs w:val="22"/>
          <w:u w:val="single"/>
        </w:rPr>
        <w:t>:</w:t>
      </w:r>
      <w:r w:rsidRPr="005D3D7B">
        <w:rPr>
          <w:sz w:val="22"/>
          <w:szCs w:val="22"/>
        </w:rPr>
        <w:t xml:space="preserve"> Mõju avaldub iga kord, kui rahastuse taotleja soovib eelnõu kohaldamisulatusse kuuluvate teenuseosutajate vahendusel rahalisi vahendeid taotleda ning </w:t>
      </w:r>
      <w:r>
        <w:rPr>
          <w:sz w:val="22"/>
          <w:szCs w:val="22"/>
        </w:rPr>
        <w:t>raha kaasamine</w:t>
      </w:r>
      <w:r w:rsidRPr="005D3D7B">
        <w:rPr>
          <w:sz w:val="22"/>
          <w:szCs w:val="22"/>
        </w:rPr>
        <w:t xml:space="preserve"> peab toimuma vastavalt eelnõus sätestatud eeskirjadele.</w:t>
      </w:r>
      <w:r>
        <w:rPr>
          <w:sz w:val="22"/>
          <w:szCs w:val="22"/>
        </w:rPr>
        <w:t xml:space="preserve"> </w:t>
      </w:r>
    </w:p>
    <w:p w14:paraId="33248C84" w14:textId="77777777" w:rsidR="005508E5" w:rsidRPr="005D3D7B" w:rsidRDefault="005508E5" w:rsidP="005508E5">
      <w:pPr>
        <w:spacing w:before="0"/>
        <w:rPr>
          <w:sz w:val="22"/>
          <w:szCs w:val="22"/>
          <w:u w:val="single"/>
        </w:rPr>
      </w:pPr>
    </w:p>
    <w:p w14:paraId="1C2F7ACC" w14:textId="77777777" w:rsidR="005508E5" w:rsidRPr="005D3D7B" w:rsidRDefault="005508E5" w:rsidP="005508E5">
      <w:pPr>
        <w:spacing w:before="0"/>
        <w:rPr>
          <w:sz w:val="22"/>
          <w:szCs w:val="22"/>
        </w:rPr>
      </w:pPr>
      <w:r w:rsidRPr="005D3D7B">
        <w:rPr>
          <w:b/>
          <w:sz w:val="22"/>
          <w:szCs w:val="22"/>
          <w:u w:val="single"/>
        </w:rPr>
        <w:t>Ebasoovitavate mõjude avaldumise risk</w:t>
      </w:r>
      <w:r w:rsidRPr="005D3D7B">
        <w:rPr>
          <w:sz w:val="22"/>
          <w:szCs w:val="22"/>
          <w:u w:val="single"/>
        </w:rPr>
        <w:t>:</w:t>
      </w:r>
      <w:r w:rsidRPr="005D3D7B">
        <w:rPr>
          <w:sz w:val="22"/>
          <w:szCs w:val="22"/>
        </w:rPr>
        <w:t xml:space="preserve"> </w:t>
      </w:r>
      <w:proofErr w:type="spellStart"/>
      <w:r w:rsidRPr="005D3D7B">
        <w:rPr>
          <w:sz w:val="22"/>
          <w:szCs w:val="22"/>
        </w:rPr>
        <w:t>Ühisrahastus</w:t>
      </w:r>
      <w:r>
        <w:rPr>
          <w:sz w:val="22"/>
          <w:szCs w:val="22"/>
        </w:rPr>
        <w:t>teenuse</w:t>
      </w:r>
      <w:proofErr w:type="spellEnd"/>
      <w:r>
        <w:rPr>
          <w:sz w:val="22"/>
          <w:szCs w:val="22"/>
        </w:rPr>
        <w:t xml:space="preserve"> osutajad</w:t>
      </w:r>
      <w:r w:rsidRPr="005D3D7B">
        <w:rPr>
          <w:sz w:val="22"/>
          <w:szCs w:val="22"/>
        </w:rPr>
        <w:t xml:space="preserve"> peavad hakkama edaspidi põhjalikumalt hindama rahastuse taotlejaga seonduvaid projekte, mistõttu võib juhtuda, et mõni rahastuse taotleja edaspidi läbi </w:t>
      </w:r>
      <w:proofErr w:type="spellStart"/>
      <w:r w:rsidRPr="005D3D7B">
        <w:rPr>
          <w:sz w:val="22"/>
          <w:szCs w:val="22"/>
        </w:rPr>
        <w:t>ühisrahastuse</w:t>
      </w:r>
      <w:proofErr w:type="spellEnd"/>
      <w:r w:rsidRPr="005D3D7B">
        <w:rPr>
          <w:sz w:val="22"/>
          <w:szCs w:val="22"/>
        </w:rPr>
        <w:t xml:space="preserve"> vahendeid kaasata ei saa.</w:t>
      </w:r>
      <w:r>
        <w:rPr>
          <w:sz w:val="22"/>
          <w:szCs w:val="22"/>
        </w:rPr>
        <w:t xml:space="preserve"> Muuhulgas tuleb koostada iga projekti (v.a. tarbijakrediidi) kohta ka põhiteabedokument, mis </w:t>
      </w:r>
      <w:r w:rsidRPr="0053284E">
        <w:rPr>
          <w:sz w:val="22"/>
          <w:szCs w:val="22"/>
        </w:rPr>
        <w:t>peab sisaldama lihtsalt analüüsitavas ja arusaadavas vormis kogu iseloomuliku tea</w:t>
      </w:r>
      <w:r>
        <w:rPr>
          <w:sz w:val="22"/>
          <w:szCs w:val="22"/>
        </w:rPr>
        <w:t>v</w:t>
      </w:r>
      <w:r w:rsidRPr="0053284E">
        <w:rPr>
          <w:sz w:val="22"/>
          <w:szCs w:val="22"/>
        </w:rPr>
        <w:t>e</w:t>
      </w:r>
      <w:r>
        <w:rPr>
          <w:sz w:val="22"/>
          <w:szCs w:val="22"/>
        </w:rPr>
        <w:t>t</w:t>
      </w:r>
      <w:r w:rsidRPr="0053284E">
        <w:rPr>
          <w:sz w:val="22"/>
          <w:szCs w:val="22"/>
        </w:rPr>
        <w:t xml:space="preserve"> rahastuse taotleja ja avalikkusele pakutava investeerimisprojekti kohta</w:t>
      </w:r>
      <w:r>
        <w:rPr>
          <w:sz w:val="22"/>
          <w:szCs w:val="22"/>
        </w:rPr>
        <w:t>. Seal sisalduv peaks võimaldama hinnata</w:t>
      </w:r>
      <w:r w:rsidRPr="0053284E">
        <w:rPr>
          <w:sz w:val="22"/>
          <w:szCs w:val="22"/>
        </w:rPr>
        <w:t xml:space="preserve"> rahastuse taotleja kohustusi, finantsseisundit, tulevikuväljavaateid ning pakutava investeerimisprojektiga kaasnevaid õigusi.</w:t>
      </w:r>
      <w:r w:rsidRPr="005D3D7B">
        <w:rPr>
          <w:sz w:val="22"/>
          <w:szCs w:val="22"/>
        </w:rPr>
        <w:t xml:space="preserve"> Seda riski võib p</w:t>
      </w:r>
      <w:r>
        <w:rPr>
          <w:sz w:val="22"/>
          <w:szCs w:val="22"/>
        </w:rPr>
        <w:t>idada keskmiseks.</w:t>
      </w:r>
      <w:r w:rsidRPr="005D3D7B">
        <w:rPr>
          <w:sz w:val="22"/>
          <w:szCs w:val="22"/>
        </w:rPr>
        <w:t xml:space="preserve"> </w:t>
      </w:r>
    </w:p>
    <w:p w14:paraId="6486AB97" w14:textId="77777777" w:rsidR="005508E5" w:rsidRPr="005D3D7B" w:rsidRDefault="005508E5" w:rsidP="005508E5">
      <w:pPr>
        <w:spacing w:before="0"/>
        <w:rPr>
          <w:sz w:val="22"/>
          <w:szCs w:val="22"/>
          <w:u w:val="single"/>
        </w:rPr>
      </w:pPr>
    </w:p>
    <w:p w14:paraId="1D71A4A3" w14:textId="77777777" w:rsidR="005508E5" w:rsidRPr="005D3D7B" w:rsidRDefault="005508E5" w:rsidP="005508E5">
      <w:pPr>
        <w:spacing w:before="0"/>
        <w:rPr>
          <w:sz w:val="22"/>
          <w:szCs w:val="22"/>
          <w:u w:val="single"/>
        </w:rPr>
      </w:pPr>
      <w:r w:rsidRPr="005D3D7B">
        <w:rPr>
          <w:b/>
          <w:sz w:val="22"/>
          <w:szCs w:val="22"/>
          <w:u w:val="single"/>
        </w:rPr>
        <w:t>Mõju olulisus</w:t>
      </w:r>
      <w:r w:rsidRPr="005D3D7B">
        <w:rPr>
          <w:sz w:val="22"/>
          <w:szCs w:val="22"/>
          <w:u w:val="single"/>
        </w:rPr>
        <w:t>:</w:t>
      </w:r>
      <w:r w:rsidRPr="005D3D7B">
        <w:rPr>
          <w:sz w:val="22"/>
          <w:szCs w:val="22"/>
        </w:rPr>
        <w:t xml:space="preserve"> </w:t>
      </w:r>
      <w:r>
        <w:rPr>
          <w:sz w:val="22"/>
          <w:szCs w:val="22"/>
        </w:rPr>
        <w:t xml:space="preserve"> Kuna rahastuse taotlemine on võimalus, mitte kohustus, võib eelnõu mõju rahastuse taotlejale pidada väikeseks ehk mõju on siinkohal pigem ebaoluline. </w:t>
      </w:r>
    </w:p>
    <w:p w14:paraId="2BC5C075" w14:textId="77777777" w:rsidR="005508E5" w:rsidRPr="005D3D7B" w:rsidRDefault="005508E5" w:rsidP="005508E5">
      <w:pPr>
        <w:spacing w:before="0"/>
        <w:rPr>
          <w:sz w:val="22"/>
          <w:szCs w:val="22"/>
          <w:u w:val="single"/>
        </w:rPr>
      </w:pPr>
    </w:p>
    <w:p w14:paraId="5C7507AB" w14:textId="77777777" w:rsidR="005508E5" w:rsidRPr="005D3D7B" w:rsidRDefault="005508E5" w:rsidP="005508E5">
      <w:pPr>
        <w:spacing w:before="0"/>
        <w:rPr>
          <w:b/>
          <w:sz w:val="22"/>
          <w:szCs w:val="22"/>
        </w:rPr>
      </w:pPr>
      <w:r>
        <w:rPr>
          <w:b/>
          <w:sz w:val="22"/>
          <w:szCs w:val="22"/>
        </w:rPr>
        <w:t>6</w:t>
      </w:r>
      <w:r w:rsidRPr="005D3D7B">
        <w:rPr>
          <w:b/>
          <w:sz w:val="22"/>
          <w:szCs w:val="22"/>
        </w:rPr>
        <w:t>.1.</w:t>
      </w:r>
      <w:r>
        <w:rPr>
          <w:b/>
          <w:sz w:val="22"/>
          <w:szCs w:val="22"/>
        </w:rPr>
        <w:t>3</w:t>
      </w:r>
      <w:r w:rsidRPr="005D3D7B">
        <w:rPr>
          <w:b/>
          <w:sz w:val="22"/>
          <w:szCs w:val="22"/>
        </w:rPr>
        <w:t>. Majanduslik mõju investoritele</w:t>
      </w:r>
    </w:p>
    <w:p w14:paraId="10B409AF" w14:textId="77777777" w:rsidR="005508E5" w:rsidRPr="005D3D7B" w:rsidRDefault="005508E5" w:rsidP="005508E5">
      <w:pPr>
        <w:spacing w:before="0"/>
        <w:rPr>
          <w:b/>
          <w:sz w:val="22"/>
          <w:szCs w:val="22"/>
        </w:rPr>
      </w:pPr>
    </w:p>
    <w:p w14:paraId="65E43AE4" w14:textId="77777777" w:rsidR="005508E5" w:rsidRPr="005D3D7B" w:rsidRDefault="005508E5" w:rsidP="005508E5">
      <w:pPr>
        <w:spacing w:before="0"/>
        <w:rPr>
          <w:i/>
          <w:sz w:val="22"/>
          <w:szCs w:val="22"/>
        </w:rPr>
      </w:pPr>
      <w:r w:rsidRPr="005D3D7B">
        <w:rPr>
          <w:b/>
          <w:sz w:val="22"/>
          <w:szCs w:val="22"/>
          <w:u w:val="single"/>
        </w:rPr>
        <w:t>Sihtrühm</w:t>
      </w:r>
      <w:r w:rsidRPr="005D3D7B">
        <w:rPr>
          <w:sz w:val="22"/>
          <w:szCs w:val="22"/>
          <w:u w:val="single"/>
        </w:rPr>
        <w:t>:</w:t>
      </w:r>
      <w:r w:rsidRPr="005D3D7B">
        <w:rPr>
          <w:sz w:val="22"/>
          <w:szCs w:val="22"/>
        </w:rPr>
        <w:t xml:space="preserve"> kõik praegused ja tulevased investorid. </w:t>
      </w:r>
    </w:p>
    <w:p w14:paraId="7FB41F21" w14:textId="77777777" w:rsidR="005508E5" w:rsidRPr="005D3D7B" w:rsidRDefault="005508E5" w:rsidP="005508E5">
      <w:pPr>
        <w:spacing w:before="0"/>
        <w:rPr>
          <w:sz w:val="22"/>
          <w:szCs w:val="22"/>
        </w:rPr>
      </w:pPr>
    </w:p>
    <w:p w14:paraId="3C1B412E" w14:textId="77777777" w:rsidR="005508E5" w:rsidRPr="005D3D7B" w:rsidRDefault="005508E5" w:rsidP="005508E5">
      <w:pPr>
        <w:spacing w:before="0"/>
        <w:rPr>
          <w:sz w:val="22"/>
          <w:szCs w:val="22"/>
        </w:rPr>
      </w:pPr>
      <w:r w:rsidRPr="005D3D7B">
        <w:rPr>
          <w:sz w:val="22"/>
          <w:szCs w:val="22"/>
        </w:rPr>
        <w:t xml:space="preserve">Vastavalt </w:t>
      </w:r>
      <w:proofErr w:type="spellStart"/>
      <w:r>
        <w:rPr>
          <w:sz w:val="22"/>
          <w:szCs w:val="22"/>
        </w:rPr>
        <w:t>ühisrahastus</w:t>
      </w:r>
      <w:r w:rsidRPr="005D3D7B">
        <w:rPr>
          <w:sz w:val="22"/>
          <w:szCs w:val="22"/>
        </w:rPr>
        <w:t>teenuse</w:t>
      </w:r>
      <w:proofErr w:type="spellEnd"/>
      <w:r>
        <w:rPr>
          <w:sz w:val="22"/>
          <w:szCs w:val="22"/>
        </w:rPr>
        <w:t xml:space="preserve"> osutajatelt</w:t>
      </w:r>
      <w:r w:rsidRPr="005D3D7B">
        <w:rPr>
          <w:sz w:val="22"/>
          <w:szCs w:val="22"/>
        </w:rPr>
        <w:t xml:space="preserve"> saadud andmetele oli 2018. aasta alguses investeerinud </w:t>
      </w:r>
      <w:proofErr w:type="spellStart"/>
      <w:r w:rsidRPr="005D3D7B">
        <w:rPr>
          <w:sz w:val="22"/>
          <w:szCs w:val="22"/>
        </w:rPr>
        <w:t>ühisrahastusse</w:t>
      </w:r>
      <w:proofErr w:type="spellEnd"/>
      <w:r w:rsidRPr="005D3D7B">
        <w:rPr>
          <w:sz w:val="22"/>
          <w:szCs w:val="22"/>
        </w:rPr>
        <w:t xml:space="preserve"> ligikaudu 13 000 Eesti investorit</w:t>
      </w:r>
      <w:r>
        <w:rPr>
          <w:sz w:val="22"/>
          <w:szCs w:val="22"/>
        </w:rPr>
        <w:t xml:space="preserve"> (nii füüsilist kui juriidilist isikut)</w:t>
      </w:r>
      <w:r w:rsidRPr="005D3D7B">
        <w:rPr>
          <w:sz w:val="22"/>
          <w:szCs w:val="22"/>
        </w:rPr>
        <w:t>.</w:t>
      </w:r>
      <w:r w:rsidRPr="00067D5A">
        <w:rPr>
          <w:sz w:val="22"/>
          <w:szCs w:val="22"/>
          <w:vertAlign w:val="superscript"/>
        </w:rPr>
        <w:footnoteReference w:id="62"/>
      </w:r>
      <w:r w:rsidRPr="005D3D7B">
        <w:rPr>
          <w:sz w:val="22"/>
          <w:szCs w:val="22"/>
        </w:rPr>
        <w:t xml:space="preserve"> </w:t>
      </w:r>
      <w:r>
        <w:rPr>
          <w:sz w:val="22"/>
          <w:szCs w:val="22"/>
        </w:rPr>
        <w:t>2020. a. lõpu seisuga</w:t>
      </w:r>
      <w:r w:rsidRPr="005D3D7B">
        <w:rPr>
          <w:sz w:val="22"/>
          <w:szCs w:val="22"/>
        </w:rPr>
        <w:t xml:space="preserve"> on oma raha paigutanud </w:t>
      </w:r>
      <w:proofErr w:type="spellStart"/>
      <w:r w:rsidRPr="005D3D7B">
        <w:rPr>
          <w:sz w:val="22"/>
          <w:szCs w:val="22"/>
        </w:rPr>
        <w:t>ühisrahastusse</w:t>
      </w:r>
      <w:proofErr w:type="spellEnd"/>
      <w:r w:rsidRPr="005D3D7B">
        <w:rPr>
          <w:sz w:val="22"/>
          <w:szCs w:val="22"/>
        </w:rPr>
        <w:t xml:space="preserve"> hinnanguliselt</w:t>
      </w:r>
      <w:r w:rsidRPr="005D3D7B">
        <w:rPr>
          <w:sz w:val="22"/>
          <w:szCs w:val="22"/>
          <w:lang w:val="x-none"/>
        </w:rPr>
        <w:t xml:space="preserve"> </w:t>
      </w:r>
      <w:r>
        <w:rPr>
          <w:sz w:val="22"/>
          <w:szCs w:val="22"/>
        </w:rPr>
        <w:t xml:space="preserve">juba </w:t>
      </w:r>
      <w:r w:rsidRPr="005D3D7B">
        <w:rPr>
          <w:sz w:val="22"/>
          <w:szCs w:val="22"/>
          <w:lang w:val="x-none"/>
        </w:rPr>
        <w:t xml:space="preserve">30 000 – 40 000 </w:t>
      </w:r>
      <w:r>
        <w:rPr>
          <w:sz w:val="22"/>
          <w:szCs w:val="22"/>
        </w:rPr>
        <w:t>kohalikku investorit</w:t>
      </w:r>
      <w:r w:rsidRPr="005D3D7B">
        <w:rPr>
          <w:sz w:val="22"/>
          <w:szCs w:val="22"/>
          <w:lang w:val="x-none"/>
        </w:rPr>
        <w:t>, mis on võrreldav börsiinvestorite arvuga.</w:t>
      </w:r>
      <w:r w:rsidRPr="00067D5A">
        <w:rPr>
          <w:sz w:val="22"/>
          <w:szCs w:val="22"/>
          <w:vertAlign w:val="superscript"/>
          <w:lang w:val="x-none"/>
        </w:rPr>
        <w:footnoteReference w:id="63"/>
      </w:r>
      <w:r w:rsidRPr="005D3D7B">
        <w:rPr>
          <w:sz w:val="22"/>
          <w:szCs w:val="22"/>
        </w:rPr>
        <w:t xml:space="preserve"> Seega on toimunud viimaste aastatega </w:t>
      </w:r>
      <w:proofErr w:type="spellStart"/>
      <w:r w:rsidRPr="005D3D7B">
        <w:rPr>
          <w:sz w:val="22"/>
          <w:szCs w:val="22"/>
        </w:rPr>
        <w:t>ühisrahastuse</w:t>
      </w:r>
      <w:proofErr w:type="spellEnd"/>
      <w:r w:rsidRPr="005D3D7B">
        <w:rPr>
          <w:sz w:val="22"/>
          <w:szCs w:val="22"/>
        </w:rPr>
        <w:t xml:space="preserve"> populaarsuse hüppeline kasv </w:t>
      </w:r>
      <w:proofErr w:type="spellStart"/>
      <w:r w:rsidRPr="005D3D7B">
        <w:rPr>
          <w:sz w:val="22"/>
          <w:szCs w:val="22"/>
        </w:rPr>
        <w:t>jaeinvestorite</w:t>
      </w:r>
      <w:proofErr w:type="spellEnd"/>
      <w:r w:rsidRPr="005D3D7B">
        <w:rPr>
          <w:sz w:val="22"/>
          <w:szCs w:val="22"/>
        </w:rPr>
        <w:t xml:space="preserve"> seas. </w:t>
      </w:r>
    </w:p>
    <w:p w14:paraId="7CA055DA" w14:textId="77777777" w:rsidR="005508E5" w:rsidRPr="005D3D7B" w:rsidRDefault="005508E5" w:rsidP="005508E5">
      <w:pPr>
        <w:spacing w:before="0"/>
        <w:rPr>
          <w:sz w:val="22"/>
          <w:szCs w:val="22"/>
        </w:rPr>
      </w:pPr>
    </w:p>
    <w:p w14:paraId="2E0A8BBA" w14:textId="77777777" w:rsidR="005508E5" w:rsidRDefault="005508E5" w:rsidP="005508E5">
      <w:pPr>
        <w:spacing w:before="0"/>
        <w:rPr>
          <w:sz w:val="22"/>
          <w:szCs w:val="22"/>
        </w:rPr>
      </w:pPr>
      <w:r w:rsidRPr="005D3D7B">
        <w:rPr>
          <w:sz w:val="22"/>
          <w:szCs w:val="22"/>
        </w:rPr>
        <w:t xml:space="preserve">Tulevased investorid on kõik potentsiaalsed isikud, kel võib avalduda soov </w:t>
      </w:r>
      <w:proofErr w:type="spellStart"/>
      <w:r w:rsidRPr="005D3D7B">
        <w:rPr>
          <w:sz w:val="22"/>
          <w:szCs w:val="22"/>
        </w:rPr>
        <w:t>ühisrahastuse</w:t>
      </w:r>
      <w:proofErr w:type="spellEnd"/>
      <w:r w:rsidRPr="005D3D7B">
        <w:rPr>
          <w:sz w:val="22"/>
          <w:szCs w:val="22"/>
        </w:rPr>
        <w:t xml:space="preserve"> projektidesse investeerida. Võttes arvesse ka rahatarkuse edendamis</w:t>
      </w:r>
      <w:r>
        <w:rPr>
          <w:sz w:val="22"/>
          <w:szCs w:val="22"/>
        </w:rPr>
        <w:t>e</w:t>
      </w:r>
      <w:r w:rsidRPr="005D3D7B">
        <w:rPr>
          <w:sz w:val="22"/>
          <w:szCs w:val="22"/>
        </w:rPr>
        <w:t xml:space="preserve"> eesmärke Eestis, siis potentsiaalsete investorite ring iga aastaga järjest suureneb</w:t>
      </w:r>
      <w:r w:rsidRPr="005D3D7B">
        <w:rPr>
          <w:i/>
          <w:sz w:val="22"/>
          <w:szCs w:val="22"/>
        </w:rPr>
        <w:t>.</w:t>
      </w:r>
      <w:r w:rsidRPr="005D3D7B">
        <w:rPr>
          <w:sz w:val="22"/>
          <w:szCs w:val="22"/>
        </w:rPr>
        <w:t xml:space="preserve"> Alustavatele investoritele võib </w:t>
      </w:r>
      <w:proofErr w:type="spellStart"/>
      <w:r w:rsidRPr="005D3D7B">
        <w:rPr>
          <w:sz w:val="22"/>
          <w:szCs w:val="22"/>
        </w:rPr>
        <w:t>ühisrahastus</w:t>
      </w:r>
      <w:proofErr w:type="spellEnd"/>
      <w:r w:rsidRPr="005D3D7B">
        <w:rPr>
          <w:sz w:val="22"/>
          <w:szCs w:val="22"/>
        </w:rPr>
        <w:t xml:space="preserve"> tunduda ka arusaadavam, kui näiteks aktsiatesse investeerimine.</w:t>
      </w:r>
    </w:p>
    <w:p w14:paraId="659F180A" w14:textId="77777777" w:rsidR="005508E5" w:rsidRDefault="005508E5" w:rsidP="005508E5">
      <w:pPr>
        <w:spacing w:before="0"/>
        <w:rPr>
          <w:sz w:val="22"/>
          <w:szCs w:val="22"/>
        </w:rPr>
      </w:pPr>
    </w:p>
    <w:p w14:paraId="236A1DB0" w14:textId="77777777" w:rsidR="005508E5" w:rsidRPr="005D3D7B" w:rsidRDefault="005508E5" w:rsidP="005508E5">
      <w:pPr>
        <w:spacing w:before="0"/>
        <w:rPr>
          <w:sz w:val="22"/>
          <w:szCs w:val="22"/>
        </w:rPr>
      </w:pPr>
      <w:proofErr w:type="spellStart"/>
      <w:r>
        <w:rPr>
          <w:sz w:val="22"/>
          <w:szCs w:val="22"/>
        </w:rPr>
        <w:t>Krüptovarasse</w:t>
      </w:r>
      <w:proofErr w:type="spellEnd"/>
      <w:r>
        <w:rPr>
          <w:sz w:val="22"/>
          <w:szCs w:val="22"/>
        </w:rPr>
        <w:t xml:space="preserve"> investeerimise mõju on siinkohal keeruline hinnata kuna võimalike investorite/klientide (sh juriidilistest isikutest klientide) arv on teadmata (ka suurusjärku on keeruline hinnata). Samas rakendub käesolevaga investorile ka positiivne majanduslik mõju näiteks seeläbi, et teenuseosutaja on kohustatud rakendama investori vara hoidmisele senisest rangemaid nõudeid, vältima huvide konflikti, avalikustama hinnateabepoliitika, jms – mis kõik peaks looma paremad võimalused investeerimisprotsessi paremaks toimimiseks ning selleks, et investor tegelikult temale lubatud </w:t>
      </w:r>
      <w:proofErr w:type="spellStart"/>
      <w:r>
        <w:rPr>
          <w:sz w:val="22"/>
          <w:szCs w:val="22"/>
        </w:rPr>
        <w:t>krüptovara</w:t>
      </w:r>
      <w:proofErr w:type="spellEnd"/>
      <w:r>
        <w:rPr>
          <w:sz w:val="22"/>
          <w:szCs w:val="22"/>
        </w:rPr>
        <w:t xml:space="preserve"> (või teenuse) ka edukalt kokkulepitud hinnaga saaks.</w:t>
      </w:r>
    </w:p>
    <w:p w14:paraId="3901AB8D" w14:textId="77777777" w:rsidR="005508E5" w:rsidRPr="005D3D7B" w:rsidRDefault="005508E5" w:rsidP="005508E5">
      <w:pPr>
        <w:spacing w:before="0"/>
        <w:rPr>
          <w:sz w:val="22"/>
          <w:szCs w:val="22"/>
          <w:u w:val="single"/>
        </w:rPr>
      </w:pPr>
    </w:p>
    <w:p w14:paraId="101F060F" w14:textId="77777777" w:rsidR="005508E5" w:rsidRPr="005D3D7B" w:rsidRDefault="005508E5" w:rsidP="005508E5">
      <w:pPr>
        <w:spacing w:before="0"/>
        <w:rPr>
          <w:sz w:val="22"/>
          <w:szCs w:val="22"/>
        </w:rPr>
      </w:pPr>
      <w:r w:rsidRPr="005D3D7B">
        <w:rPr>
          <w:b/>
          <w:sz w:val="22"/>
          <w:szCs w:val="22"/>
          <w:u w:val="single"/>
        </w:rPr>
        <w:t>Mõju ulatus:</w:t>
      </w:r>
      <w:r w:rsidRPr="005D3D7B">
        <w:rPr>
          <w:b/>
          <w:sz w:val="22"/>
          <w:szCs w:val="22"/>
        </w:rPr>
        <w:t xml:space="preserve"> </w:t>
      </w:r>
      <w:r w:rsidRPr="005D3D7B">
        <w:rPr>
          <w:sz w:val="22"/>
          <w:szCs w:val="22"/>
        </w:rPr>
        <w:t xml:space="preserve">Eelnõu võib mõjutada isikute investeerimiskäitumist, kuivõrd regulatsioonide ja finantsjärelevalve alla kuuluvaid teenuseosutajaid usaldatakse rohkem, mistõttu on isikud valmis rohkem ka oma rahalisi vahendeid vastavatesse projektidesse investeerima. Majandusliku heaolu tõus, kuivõrd usaldusväärsetel platvormidel investeerimise korral on suurem tõenäosus oma rahalisi vahendeid kasvatada. Investorite rahalised vahendid on rohkem kaitstud. </w:t>
      </w:r>
    </w:p>
    <w:p w14:paraId="11382C04" w14:textId="77777777" w:rsidR="005508E5" w:rsidRPr="005D3D7B" w:rsidRDefault="005508E5" w:rsidP="005508E5">
      <w:pPr>
        <w:spacing w:before="0"/>
        <w:rPr>
          <w:sz w:val="22"/>
          <w:szCs w:val="22"/>
        </w:rPr>
      </w:pPr>
    </w:p>
    <w:p w14:paraId="32FD62A1" w14:textId="77777777" w:rsidR="005508E5" w:rsidRDefault="005508E5" w:rsidP="005508E5">
      <w:pPr>
        <w:spacing w:before="0"/>
        <w:rPr>
          <w:sz w:val="22"/>
          <w:szCs w:val="22"/>
        </w:rPr>
      </w:pPr>
      <w:r w:rsidRPr="005D3D7B">
        <w:rPr>
          <w:sz w:val="22"/>
          <w:szCs w:val="22"/>
        </w:rPr>
        <w:t>Investorite testimine ja riskihoiatuse esitamine tagab, et investor on teadlik, e</w:t>
      </w:r>
      <w:r>
        <w:rPr>
          <w:sz w:val="22"/>
          <w:szCs w:val="22"/>
        </w:rPr>
        <w:t>t</w:t>
      </w:r>
      <w:r w:rsidRPr="005D3D7B">
        <w:rPr>
          <w:sz w:val="22"/>
          <w:szCs w:val="22"/>
        </w:rPr>
        <w:t xml:space="preserve"> </w:t>
      </w:r>
      <w:r>
        <w:rPr>
          <w:sz w:val="22"/>
          <w:szCs w:val="22"/>
        </w:rPr>
        <w:t>vastav vara liik</w:t>
      </w:r>
      <w:r w:rsidRPr="005D3D7B">
        <w:rPr>
          <w:sz w:val="22"/>
          <w:szCs w:val="22"/>
        </w:rPr>
        <w:t xml:space="preserve"> ei pruugi olla talle sobiv, sealhulgas kui esineb risk, et investor investeerib üle oma kahju kandmise võime. </w:t>
      </w:r>
    </w:p>
    <w:p w14:paraId="3DBD97C6" w14:textId="77777777" w:rsidR="005508E5" w:rsidRDefault="005508E5" w:rsidP="005508E5">
      <w:pPr>
        <w:spacing w:before="0"/>
        <w:rPr>
          <w:sz w:val="22"/>
          <w:szCs w:val="22"/>
        </w:rPr>
      </w:pPr>
    </w:p>
    <w:p w14:paraId="2D74663D" w14:textId="77777777" w:rsidR="005508E5" w:rsidRDefault="005508E5" w:rsidP="005508E5">
      <w:pPr>
        <w:spacing w:before="0"/>
        <w:rPr>
          <w:sz w:val="22"/>
          <w:szCs w:val="22"/>
        </w:rPr>
      </w:pPr>
      <w:r>
        <w:rPr>
          <w:sz w:val="22"/>
          <w:szCs w:val="22"/>
        </w:rPr>
        <w:t>Eelnõu reguleerib ka investoritele kahju hüvitamist juhul kui investoritele on antud eksitavat või ebaõiget teavet (juhul kui põhiteabedokument sisaldab ekslikku teavet). Ehk nähakse ette selged alused, mis juhul on investoritel võimalik sellist kahju hüvitamist nõuda.</w:t>
      </w:r>
    </w:p>
    <w:p w14:paraId="65830DCC" w14:textId="77777777" w:rsidR="005508E5" w:rsidRPr="005D3D7B" w:rsidRDefault="005508E5" w:rsidP="005508E5">
      <w:pPr>
        <w:spacing w:before="0"/>
        <w:rPr>
          <w:sz w:val="22"/>
          <w:szCs w:val="22"/>
        </w:rPr>
      </w:pPr>
      <w:r>
        <w:rPr>
          <w:sz w:val="22"/>
          <w:szCs w:val="22"/>
        </w:rPr>
        <w:t xml:space="preserve"> </w:t>
      </w:r>
    </w:p>
    <w:p w14:paraId="6FB52A91" w14:textId="77777777" w:rsidR="005508E5" w:rsidRDefault="005508E5" w:rsidP="005508E5">
      <w:pPr>
        <w:spacing w:before="0"/>
        <w:rPr>
          <w:sz w:val="22"/>
          <w:szCs w:val="22"/>
        </w:rPr>
      </w:pPr>
      <w:r w:rsidRPr="005D3D7B">
        <w:rPr>
          <w:sz w:val="22"/>
          <w:szCs w:val="22"/>
        </w:rPr>
        <w:t>Mõju investoritele on oluline, kuna „petuskeem</w:t>
      </w:r>
      <w:r>
        <w:rPr>
          <w:sz w:val="22"/>
          <w:szCs w:val="22"/>
        </w:rPr>
        <w:t>ile“ üles ehitatud teenuste osutajad</w:t>
      </w:r>
      <w:r w:rsidRPr="005D3D7B">
        <w:rPr>
          <w:sz w:val="22"/>
          <w:szCs w:val="22"/>
        </w:rPr>
        <w:t xml:space="preserve"> peaksid </w:t>
      </w:r>
      <w:proofErr w:type="spellStart"/>
      <w:r w:rsidRPr="005D3D7B">
        <w:rPr>
          <w:sz w:val="22"/>
          <w:szCs w:val="22"/>
        </w:rPr>
        <w:t>ühisrahastusmudelit</w:t>
      </w:r>
      <w:proofErr w:type="spellEnd"/>
      <w:r w:rsidRPr="005D3D7B">
        <w:rPr>
          <w:sz w:val="22"/>
          <w:szCs w:val="22"/>
        </w:rPr>
        <w:t xml:space="preserve"> kasutades nägema palju rohkem vaeva, et „lihtsat“ raha saada. On väga vähe tõenäoline, et halbade kavatsustega ettevõtjad hakkavad tegevusluba taotlema. See omakorda tagab teenuse kasutajatele turvalisuse, paraneb ka teenuseosutaja ja rahastuse taotleja vastastikune usaldus. Investoritele hakatakse edaspidi andma rohkem asjaomast teavet ja oluline info jõuab investoriteni kiiremini. Investorile kaasnevaid mõjusid võib hinnata positiivseks.</w:t>
      </w:r>
    </w:p>
    <w:p w14:paraId="142EE641" w14:textId="77777777" w:rsidR="005508E5" w:rsidRPr="005D3D7B" w:rsidRDefault="005508E5" w:rsidP="005508E5">
      <w:pPr>
        <w:spacing w:before="0"/>
        <w:rPr>
          <w:sz w:val="22"/>
          <w:szCs w:val="22"/>
        </w:rPr>
      </w:pPr>
    </w:p>
    <w:p w14:paraId="6643FC8A" w14:textId="77777777" w:rsidR="005508E5" w:rsidRPr="005D3D7B" w:rsidRDefault="005508E5" w:rsidP="005508E5">
      <w:pPr>
        <w:spacing w:before="0"/>
        <w:rPr>
          <w:sz w:val="22"/>
          <w:szCs w:val="22"/>
        </w:rPr>
      </w:pPr>
      <w:r w:rsidRPr="005D3D7B">
        <w:rPr>
          <w:b/>
          <w:sz w:val="22"/>
          <w:szCs w:val="22"/>
          <w:u w:val="single"/>
        </w:rPr>
        <w:t>Mõju avaldumise sagedus</w:t>
      </w:r>
      <w:r w:rsidRPr="005D3D7B">
        <w:rPr>
          <w:sz w:val="22"/>
          <w:szCs w:val="22"/>
          <w:u w:val="single"/>
        </w:rPr>
        <w:t>:</w:t>
      </w:r>
      <w:r w:rsidRPr="005D3D7B">
        <w:rPr>
          <w:sz w:val="22"/>
          <w:szCs w:val="22"/>
        </w:rPr>
        <w:t xml:space="preserve"> Kuivõrd teenuseosutaja peab vastama nõuetele igal ajahetkel, siis mõju avaldub ka investorile iga kord, kui ta soovib oma rahalisi vaheneid teenuseosutaja vahendusel erinevatesse projektidesse paigutada.</w:t>
      </w:r>
    </w:p>
    <w:p w14:paraId="593C2B6C" w14:textId="77777777" w:rsidR="005508E5" w:rsidRPr="005D3D7B" w:rsidRDefault="005508E5" w:rsidP="005508E5">
      <w:pPr>
        <w:spacing w:before="0"/>
        <w:rPr>
          <w:sz w:val="22"/>
          <w:szCs w:val="22"/>
          <w:u w:val="single"/>
        </w:rPr>
      </w:pPr>
    </w:p>
    <w:p w14:paraId="745AC0A6" w14:textId="77777777" w:rsidR="005508E5" w:rsidRPr="005D3D7B" w:rsidRDefault="005508E5" w:rsidP="005508E5">
      <w:pPr>
        <w:spacing w:before="0"/>
        <w:rPr>
          <w:sz w:val="22"/>
          <w:szCs w:val="22"/>
          <w:u w:val="single"/>
        </w:rPr>
      </w:pPr>
      <w:r w:rsidRPr="005D3D7B">
        <w:rPr>
          <w:b/>
          <w:sz w:val="22"/>
          <w:szCs w:val="22"/>
          <w:u w:val="single"/>
        </w:rPr>
        <w:t>Ebasoovitavate mõjude avaldumise risk</w:t>
      </w:r>
      <w:r w:rsidRPr="005D3D7B">
        <w:rPr>
          <w:sz w:val="22"/>
          <w:szCs w:val="22"/>
        </w:rPr>
        <w:t xml:space="preserve">: Ebasoovitavate mõjudena on välja toodud mitteteadliku investori testimisnõuded. Ehk enne, kui mitteteadlik investor saab teha </w:t>
      </w:r>
      <w:proofErr w:type="spellStart"/>
      <w:r w:rsidRPr="005D3D7B">
        <w:rPr>
          <w:sz w:val="22"/>
          <w:szCs w:val="22"/>
        </w:rPr>
        <w:t>ühisrahastusplatvormil</w:t>
      </w:r>
      <w:proofErr w:type="spellEnd"/>
      <w:r w:rsidRPr="005D3D7B">
        <w:rPr>
          <w:sz w:val="22"/>
          <w:szCs w:val="22"/>
        </w:rPr>
        <w:t xml:space="preserve"> tehingu, peab teenuseosutaja hindama, kas investori teadmised ja kogemused on piisavad asjaomasesse </w:t>
      </w:r>
      <w:r>
        <w:rPr>
          <w:sz w:val="22"/>
          <w:szCs w:val="22"/>
        </w:rPr>
        <w:t xml:space="preserve">varasse </w:t>
      </w:r>
      <w:r w:rsidRPr="005D3D7B">
        <w:rPr>
          <w:sz w:val="22"/>
          <w:szCs w:val="22"/>
        </w:rPr>
        <w:t>investeerimiseks. Samas kaasneb ebapiisavate teadmiste või kogemuse korral üksnes hoiatusteade, millega investor peab tutvuma ja sellest arusaamist kinnitama, kuid see ei takista siiski investeeringu tegemist. Ebasoovitavate mõjude avaldumise risk on seega väike. Paratamatult jääb alles risk, et vaatamata regulatsioonile mõned projektid lähevad halvaks ja ebaõnnestuvad ehk realiseerub klassikaline investeerimisrisk. Eelnõu üheks eesmärgiks on kehtestada nõudeid, et sellised olukorrad oleksid pigem harv nähtus. Samuti võivad investeeringu tasuvused muutuda madalamaks, kuna teenuseosutajale tekivad regulatsiooni nõuete järgimisega täiendavad kulud, siis võib olla, et tootlused langevad.</w:t>
      </w:r>
    </w:p>
    <w:p w14:paraId="589D8827" w14:textId="77777777" w:rsidR="005508E5" w:rsidRDefault="005508E5" w:rsidP="005508E5">
      <w:pPr>
        <w:spacing w:before="0"/>
        <w:rPr>
          <w:sz w:val="22"/>
          <w:szCs w:val="22"/>
        </w:rPr>
      </w:pPr>
    </w:p>
    <w:p w14:paraId="2E7D3715" w14:textId="77777777" w:rsidR="005508E5" w:rsidRPr="005D3D7B" w:rsidRDefault="005508E5" w:rsidP="005508E5">
      <w:pPr>
        <w:spacing w:before="0"/>
        <w:rPr>
          <w:sz w:val="22"/>
          <w:szCs w:val="22"/>
        </w:rPr>
      </w:pPr>
      <w:r w:rsidRPr="005D3D7B">
        <w:rPr>
          <w:sz w:val="22"/>
          <w:szCs w:val="22"/>
        </w:rPr>
        <w:t xml:space="preserve">Keskkriminaalpolitsei näeb </w:t>
      </w:r>
      <w:r>
        <w:rPr>
          <w:sz w:val="22"/>
          <w:szCs w:val="22"/>
        </w:rPr>
        <w:t xml:space="preserve">konkreetselt </w:t>
      </w:r>
      <w:r w:rsidRPr="005D3D7B">
        <w:rPr>
          <w:sz w:val="22"/>
          <w:szCs w:val="22"/>
        </w:rPr>
        <w:t>virtuaalv</w:t>
      </w:r>
      <w:r>
        <w:rPr>
          <w:sz w:val="22"/>
          <w:szCs w:val="22"/>
        </w:rPr>
        <w:t>ääringutega</w:t>
      </w:r>
      <w:r w:rsidRPr="005D3D7B">
        <w:rPr>
          <w:sz w:val="22"/>
          <w:szCs w:val="22"/>
        </w:rPr>
        <w:t xml:space="preserve"> peamiselt kaht riski: 1) kelmuse risk (sageli seoses investeerimisega) </w:t>
      </w:r>
      <w:r>
        <w:rPr>
          <w:sz w:val="22"/>
          <w:szCs w:val="22"/>
        </w:rPr>
        <w:t xml:space="preserve">ja </w:t>
      </w:r>
      <w:r w:rsidRPr="005D3D7B">
        <w:rPr>
          <w:sz w:val="22"/>
          <w:szCs w:val="22"/>
        </w:rPr>
        <w:t>2) rahapesurisk. Kelmuse risk on rohkem esiplaanil, kuna selle kohta on praeguseks rohkem praktilisi näiteid: Eestile on tulnud hulgaliselt õigusabitaotlusi juhtumites, kus virtuaalvääringu teenusepakkujad on toime pannud kelmusi. Nii õigusabikoostöö kaudu kui ka Eesti kohtumenetlustes on kinnitust leidnud virtuaalvääringute kasutamine rahapesuks.</w:t>
      </w:r>
      <w:r w:rsidRPr="00067D5A">
        <w:rPr>
          <w:sz w:val="22"/>
          <w:szCs w:val="22"/>
          <w:vertAlign w:val="superscript"/>
        </w:rPr>
        <w:footnoteReference w:id="64"/>
      </w:r>
      <w:r w:rsidRPr="005D3D7B">
        <w:rPr>
          <w:sz w:val="22"/>
          <w:szCs w:val="22"/>
        </w:rPr>
        <w:t xml:space="preserve"> Käesoleva eelnõuga püütakse viidatud probleemkohti vähendada, kuid täielikult seda vält</w:t>
      </w:r>
      <w:r>
        <w:rPr>
          <w:sz w:val="22"/>
          <w:szCs w:val="22"/>
        </w:rPr>
        <w:t>i</w:t>
      </w:r>
      <w:r w:rsidRPr="005D3D7B">
        <w:rPr>
          <w:sz w:val="22"/>
          <w:szCs w:val="22"/>
        </w:rPr>
        <w:t>da ei ole võimalik.</w:t>
      </w:r>
    </w:p>
    <w:p w14:paraId="14B6DE39" w14:textId="77777777" w:rsidR="005508E5" w:rsidRPr="005D3D7B" w:rsidRDefault="005508E5" w:rsidP="005508E5">
      <w:pPr>
        <w:spacing w:before="0"/>
        <w:rPr>
          <w:sz w:val="22"/>
          <w:szCs w:val="22"/>
          <w:u w:val="single"/>
        </w:rPr>
      </w:pPr>
    </w:p>
    <w:p w14:paraId="4677F005" w14:textId="77777777" w:rsidR="005508E5" w:rsidRPr="005D3D7B" w:rsidRDefault="005508E5" w:rsidP="005508E5">
      <w:pPr>
        <w:spacing w:before="0"/>
        <w:rPr>
          <w:sz w:val="22"/>
          <w:szCs w:val="22"/>
          <w:u w:val="single"/>
        </w:rPr>
      </w:pPr>
      <w:r w:rsidRPr="005D3D7B">
        <w:rPr>
          <w:b/>
          <w:sz w:val="22"/>
          <w:szCs w:val="22"/>
          <w:u w:val="single"/>
        </w:rPr>
        <w:t>Mõju olulisus</w:t>
      </w:r>
      <w:r w:rsidRPr="005D3D7B">
        <w:rPr>
          <w:sz w:val="22"/>
          <w:szCs w:val="22"/>
          <w:u w:val="single"/>
        </w:rPr>
        <w:t>:</w:t>
      </w:r>
      <w:r w:rsidRPr="005D3D7B">
        <w:rPr>
          <w:sz w:val="22"/>
          <w:szCs w:val="22"/>
        </w:rPr>
        <w:t xml:space="preserve"> Uue regulatsiooniga tõhustatakse investorkaitse nõudeid ja mõju võib pidada positiivseks</w:t>
      </w:r>
      <w:r>
        <w:rPr>
          <w:sz w:val="22"/>
          <w:szCs w:val="22"/>
        </w:rPr>
        <w:t xml:space="preserve"> ehk mõju on selles tähenduses oluline</w:t>
      </w:r>
      <w:r w:rsidRPr="005D3D7B">
        <w:rPr>
          <w:sz w:val="22"/>
          <w:szCs w:val="22"/>
        </w:rPr>
        <w:t>.</w:t>
      </w:r>
    </w:p>
    <w:p w14:paraId="023FDC51" w14:textId="77777777" w:rsidR="005508E5" w:rsidRPr="005D3D7B" w:rsidRDefault="005508E5" w:rsidP="005508E5">
      <w:pPr>
        <w:spacing w:before="0"/>
        <w:rPr>
          <w:b/>
          <w:sz w:val="22"/>
          <w:szCs w:val="22"/>
        </w:rPr>
      </w:pPr>
    </w:p>
    <w:p w14:paraId="66F3C380" w14:textId="77777777" w:rsidR="005508E5" w:rsidRPr="005D3D7B" w:rsidRDefault="005508E5" w:rsidP="005508E5">
      <w:pPr>
        <w:spacing w:before="0"/>
        <w:rPr>
          <w:b/>
          <w:sz w:val="22"/>
          <w:szCs w:val="22"/>
        </w:rPr>
      </w:pPr>
      <w:r>
        <w:rPr>
          <w:b/>
          <w:sz w:val="22"/>
          <w:szCs w:val="22"/>
        </w:rPr>
        <w:t>6</w:t>
      </w:r>
      <w:r w:rsidRPr="005D3D7B">
        <w:rPr>
          <w:b/>
          <w:sz w:val="22"/>
          <w:szCs w:val="22"/>
        </w:rPr>
        <w:t>.1.</w:t>
      </w:r>
      <w:r>
        <w:rPr>
          <w:b/>
          <w:sz w:val="22"/>
          <w:szCs w:val="22"/>
        </w:rPr>
        <w:t>4</w:t>
      </w:r>
      <w:r w:rsidRPr="005D3D7B">
        <w:rPr>
          <w:b/>
          <w:sz w:val="22"/>
          <w:szCs w:val="22"/>
        </w:rPr>
        <w:t xml:space="preserve">. Sotsiaalne mõju </w:t>
      </w:r>
    </w:p>
    <w:p w14:paraId="309FE88F" w14:textId="77777777" w:rsidR="005508E5" w:rsidRPr="005D3D7B" w:rsidRDefault="005508E5" w:rsidP="005508E5">
      <w:pPr>
        <w:spacing w:before="0"/>
        <w:rPr>
          <w:b/>
          <w:sz w:val="22"/>
          <w:szCs w:val="22"/>
        </w:rPr>
      </w:pPr>
    </w:p>
    <w:p w14:paraId="01A98561" w14:textId="77777777" w:rsidR="005508E5" w:rsidRPr="005D3D7B" w:rsidRDefault="005508E5" w:rsidP="005508E5">
      <w:pPr>
        <w:spacing w:before="0"/>
        <w:rPr>
          <w:sz w:val="22"/>
          <w:szCs w:val="22"/>
        </w:rPr>
      </w:pPr>
      <w:r w:rsidRPr="005D3D7B">
        <w:rPr>
          <w:b/>
          <w:sz w:val="22"/>
          <w:szCs w:val="22"/>
          <w:u w:val="single"/>
        </w:rPr>
        <w:t>Sihtrühm</w:t>
      </w:r>
      <w:r w:rsidRPr="005D3D7B">
        <w:rPr>
          <w:sz w:val="22"/>
          <w:szCs w:val="22"/>
        </w:rPr>
        <w:t xml:space="preserve">: Punktides </w:t>
      </w:r>
      <w:r>
        <w:rPr>
          <w:sz w:val="22"/>
          <w:szCs w:val="22"/>
        </w:rPr>
        <w:t>6.1.1</w:t>
      </w:r>
      <w:r w:rsidRPr="005D3D7B">
        <w:rPr>
          <w:sz w:val="22"/>
          <w:szCs w:val="22"/>
        </w:rPr>
        <w:t>–</w:t>
      </w:r>
      <w:r>
        <w:rPr>
          <w:sz w:val="22"/>
          <w:szCs w:val="22"/>
        </w:rPr>
        <w:t>6</w:t>
      </w:r>
      <w:r w:rsidRPr="005D3D7B">
        <w:rPr>
          <w:sz w:val="22"/>
          <w:szCs w:val="22"/>
        </w:rPr>
        <w:t>.1.</w:t>
      </w:r>
      <w:r>
        <w:rPr>
          <w:sz w:val="22"/>
          <w:szCs w:val="22"/>
        </w:rPr>
        <w:t>3</w:t>
      </w:r>
      <w:r w:rsidRPr="005D3D7B">
        <w:rPr>
          <w:sz w:val="22"/>
          <w:szCs w:val="22"/>
        </w:rPr>
        <w:t>. nimetatud sihtrühmad.</w:t>
      </w:r>
    </w:p>
    <w:p w14:paraId="5F6E7C08" w14:textId="77777777" w:rsidR="005508E5" w:rsidRPr="005D3D7B" w:rsidRDefault="005508E5" w:rsidP="005508E5">
      <w:pPr>
        <w:spacing w:before="0"/>
        <w:rPr>
          <w:sz w:val="22"/>
          <w:szCs w:val="22"/>
          <w:u w:val="single"/>
        </w:rPr>
      </w:pPr>
    </w:p>
    <w:p w14:paraId="2C9915AD" w14:textId="77777777" w:rsidR="005508E5" w:rsidRPr="005D3D7B" w:rsidRDefault="005508E5" w:rsidP="005508E5">
      <w:pPr>
        <w:spacing w:before="0"/>
        <w:rPr>
          <w:sz w:val="22"/>
          <w:szCs w:val="22"/>
        </w:rPr>
      </w:pPr>
      <w:r w:rsidRPr="005D3D7B">
        <w:rPr>
          <w:b/>
          <w:sz w:val="22"/>
          <w:szCs w:val="22"/>
          <w:u w:val="single"/>
        </w:rPr>
        <w:t>Mõju ulatus</w:t>
      </w:r>
      <w:r w:rsidRPr="005D3D7B">
        <w:rPr>
          <w:sz w:val="22"/>
          <w:szCs w:val="22"/>
        </w:rPr>
        <w:t>:</w:t>
      </w:r>
      <w:r w:rsidRPr="005D3D7B">
        <w:rPr>
          <w:i/>
          <w:sz w:val="22"/>
          <w:szCs w:val="22"/>
        </w:rPr>
        <w:t xml:space="preserve"> </w:t>
      </w:r>
      <w:r w:rsidRPr="005D3D7B">
        <w:rPr>
          <w:sz w:val="22"/>
          <w:szCs w:val="22"/>
        </w:rPr>
        <w:t>Eelnõu mõjutab</w:t>
      </w:r>
      <w:r>
        <w:rPr>
          <w:sz w:val="22"/>
          <w:szCs w:val="22"/>
        </w:rPr>
        <w:t xml:space="preserve"> teenuseosutajate puhul sobilike töötajate leidmist. Oluline on märkida, et pigem on vaja piisavalt kvalifitseeritud tööjõud (eelkõige kas juriidiliste või IT teadmistega isikuid).</w:t>
      </w:r>
      <w:r w:rsidRPr="005D3D7B">
        <w:rPr>
          <w:sz w:val="22"/>
          <w:szCs w:val="22"/>
        </w:rPr>
        <w:t xml:space="preserve"> </w:t>
      </w:r>
      <w:r>
        <w:rPr>
          <w:sz w:val="22"/>
          <w:szCs w:val="22"/>
        </w:rPr>
        <w:t>Lisaks mõjutab eelnõu ka oluliselt</w:t>
      </w:r>
      <w:r w:rsidRPr="005D3D7B">
        <w:rPr>
          <w:sz w:val="22"/>
          <w:szCs w:val="22"/>
        </w:rPr>
        <w:t xml:space="preserve"> </w:t>
      </w:r>
      <w:r>
        <w:rPr>
          <w:sz w:val="22"/>
          <w:szCs w:val="22"/>
        </w:rPr>
        <w:t>juhtide</w:t>
      </w:r>
      <w:r w:rsidRPr="005D3D7B">
        <w:rPr>
          <w:sz w:val="22"/>
          <w:szCs w:val="22"/>
        </w:rPr>
        <w:t xml:space="preserve"> määramist või tagasikutsumist, kuna nähakse ette </w:t>
      </w:r>
      <w:r>
        <w:rPr>
          <w:sz w:val="22"/>
          <w:szCs w:val="22"/>
        </w:rPr>
        <w:t xml:space="preserve">nö kõrgendatud </w:t>
      </w:r>
      <w:r w:rsidRPr="005D3D7B">
        <w:rPr>
          <w:sz w:val="22"/>
          <w:szCs w:val="22"/>
        </w:rPr>
        <w:t xml:space="preserve">nõuded juhtorgani liikmetele </w:t>
      </w:r>
      <w:r>
        <w:rPr>
          <w:sz w:val="22"/>
          <w:szCs w:val="22"/>
        </w:rPr>
        <w:t xml:space="preserve">(nn </w:t>
      </w:r>
      <w:proofErr w:type="spellStart"/>
      <w:r>
        <w:rPr>
          <w:sz w:val="22"/>
          <w:szCs w:val="22"/>
        </w:rPr>
        <w:t>fit</w:t>
      </w:r>
      <w:proofErr w:type="spellEnd"/>
      <w:r>
        <w:rPr>
          <w:sz w:val="22"/>
          <w:szCs w:val="22"/>
        </w:rPr>
        <w:t xml:space="preserve"> &amp; </w:t>
      </w:r>
      <w:proofErr w:type="spellStart"/>
      <w:r>
        <w:rPr>
          <w:sz w:val="22"/>
          <w:szCs w:val="22"/>
        </w:rPr>
        <w:t>proper</w:t>
      </w:r>
      <w:proofErr w:type="spellEnd"/>
      <w:r>
        <w:rPr>
          <w:sz w:val="22"/>
          <w:szCs w:val="22"/>
        </w:rPr>
        <w:t xml:space="preserve">, mis on aga finantsjärelevalve subjektide </w:t>
      </w:r>
      <w:r>
        <w:rPr>
          <w:sz w:val="22"/>
          <w:szCs w:val="22"/>
        </w:rPr>
        <w:lastRenderedPageBreak/>
        <w:t>puhul tavapärased)</w:t>
      </w:r>
      <w:r w:rsidRPr="005D3D7B">
        <w:rPr>
          <w:sz w:val="22"/>
          <w:szCs w:val="22"/>
        </w:rPr>
        <w:t>. Pärast seaduse vastusvõtmist ei pruugi juba tegutsevas ettevõttes olevad isikud vastata töötaja ja juhtorgani liikme nõuetele, mis võib tähendada näiteks töösuhete lõpetamist või juhatuse liikme tagasikutsumist.</w:t>
      </w:r>
      <w:r>
        <w:rPr>
          <w:sz w:val="22"/>
          <w:szCs w:val="22"/>
        </w:rPr>
        <w:t xml:space="preserve">  </w:t>
      </w:r>
      <w:r w:rsidRPr="005D3D7B">
        <w:rPr>
          <w:sz w:val="22"/>
          <w:szCs w:val="22"/>
        </w:rPr>
        <w:t xml:space="preserve"> </w:t>
      </w:r>
    </w:p>
    <w:p w14:paraId="07E159D4" w14:textId="77777777" w:rsidR="005508E5" w:rsidRPr="005D3D7B" w:rsidRDefault="005508E5" w:rsidP="005508E5">
      <w:pPr>
        <w:spacing w:before="0"/>
        <w:rPr>
          <w:i/>
          <w:sz w:val="22"/>
          <w:szCs w:val="22"/>
        </w:rPr>
      </w:pPr>
    </w:p>
    <w:p w14:paraId="6B3FD488" w14:textId="77777777" w:rsidR="005508E5" w:rsidRPr="005D3D7B" w:rsidRDefault="005508E5" w:rsidP="005508E5">
      <w:pPr>
        <w:spacing w:before="0"/>
        <w:rPr>
          <w:sz w:val="22"/>
          <w:szCs w:val="22"/>
        </w:rPr>
      </w:pPr>
      <w:r w:rsidRPr="005D3D7B">
        <w:rPr>
          <w:sz w:val="22"/>
          <w:szCs w:val="22"/>
        </w:rPr>
        <w:t>Kui teenuseosutamine on regulatsiooni ja järelevalve all, siis väheneb risk, et isikud investeerivad oma vahendeid ebausaldusväärsetesse ettevõtetesse, misjärel nad võivad oma vahenditest ilma jääda ja langeda seetõttu rahalistesse raskustesse, sealhulgas langeda alla vaesuspiiri.</w:t>
      </w:r>
    </w:p>
    <w:p w14:paraId="0AC9604B" w14:textId="77777777" w:rsidR="005508E5" w:rsidRPr="005D3D7B" w:rsidRDefault="005508E5" w:rsidP="005508E5">
      <w:pPr>
        <w:spacing w:before="0"/>
        <w:rPr>
          <w:sz w:val="22"/>
          <w:szCs w:val="22"/>
        </w:rPr>
      </w:pPr>
    </w:p>
    <w:p w14:paraId="6A7FCC86" w14:textId="77777777" w:rsidR="005508E5" w:rsidRPr="005D3D7B" w:rsidRDefault="005508E5" w:rsidP="005508E5">
      <w:pPr>
        <w:spacing w:before="0"/>
        <w:rPr>
          <w:sz w:val="22"/>
          <w:szCs w:val="22"/>
        </w:rPr>
      </w:pPr>
      <w:r w:rsidRPr="005D3D7B">
        <w:rPr>
          <w:b/>
          <w:sz w:val="22"/>
          <w:szCs w:val="22"/>
          <w:u w:val="single"/>
        </w:rPr>
        <w:t>Mõju avaldumise sagedus</w:t>
      </w:r>
      <w:r w:rsidRPr="005D3D7B">
        <w:rPr>
          <w:sz w:val="22"/>
          <w:szCs w:val="22"/>
        </w:rPr>
        <w:t>: Ilmselt selgub uute töökohtade loomise vajadus seaduse rakendamise alguses.</w:t>
      </w:r>
    </w:p>
    <w:p w14:paraId="43D6221F" w14:textId="77777777" w:rsidR="005508E5" w:rsidRPr="005D3D7B" w:rsidRDefault="005508E5" w:rsidP="005508E5">
      <w:pPr>
        <w:spacing w:before="0"/>
        <w:rPr>
          <w:sz w:val="22"/>
          <w:szCs w:val="22"/>
          <w:u w:val="single"/>
        </w:rPr>
      </w:pPr>
    </w:p>
    <w:p w14:paraId="08E7D941" w14:textId="77777777" w:rsidR="005508E5" w:rsidRDefault="005508E5" w:rsidP="005508E5">
      <w:pPr>
        <w:spacing w:before="0"/>
        <w:rPr>
          <w:sz w:val="22"/>
          <w:szCs w:val="22"/>
        </w:rPr>
      </w:pPr>
      <w:r w:rsidRPr="005D3D7B">
        <w:rPr>
          <w:b/>
          <w:sz w:val="22"/>
          <w:szCs w:val="22"/>
          <w:u w:val="single"/>
        </w:rPr>
        <w:t>Ebasoovitavate mõjude avaldumise risk</w:t>
      </w:r>
      <w:r w:rsidRPr="005D3D7B">
        <w:rPr>
          <w:sz w:val="22"/>
          <w:szCs w:val="22"/>
          <w:u w:val="single"/>
        </w:rPr>
        <w:t>:</w:t>
      </w:r>
      <w:r w:rsidRPr="005D3D7B">
        <w:rPr>
          <w:sz w:val="22"/>
          <w:szCs w:val="22"/>
        </w:rPr>
        <w:t xml:space="preserve"> Eelnõu võib kaasa tuua teatud ettevõtete äritegevuse lõpetamise, kes ei ole võimelised taotlema tegevusluba, mistõttu mõjutab see negatiivselt ka tööhõivet (töötuks jäämise oht). </w:t>
      </w:r>
      <w:bookmarkStart w:id="44" w:name="_Hlk108010562"/>
      <w:r>
        <w:rPr>
          <w:sz w:val="22"/>
          <w:szCs w:val="22"/>
        </w:rPr>
        <w:t xml:space="preserve">Samas eeldades, et selline tööjõud on piisavalt kvalifitseeritud, siis ei tohiks olla raskusi neil (nn koondatud või töökohast ilma jäänud) isikutel uute töökohtade leidmisega (nt kasvõi mõnes teises teenuseosutajas või mõnes muus finantssektori asutuses). </w:t>
      </w:r>
      <w:bookmarkEnd w:id="44"/>
    </w:p>
    <w:p w14:paraId="41864BDC" w14:textId="77777777" w:rsidR="005508E5" w:rsidRPr="005D3D7B" w:rsidRDefault="005508E5" w:rsidP="005508E5">
      <w:pPr>
        <w:spacing w:before="0"/>
        <w:rPr>
          <w:sz w:val="22"/>
          <w:szCs w:val="22"/>
        </w:rPr>
      </w:pPr>
      <w:r>
        <w:rPr>
          <w:sz w:val="22"/>
          <w:szCs w:val="22"/>
        </w:rPr>
        <w:t>Teisest küljest</w:t>
      </w:r>
      <w:r w:rsidRPr="005D3D7B">
        <w:rPr>
          <w:sz w:val="22"/>
          <w:szCs w:val="22"/>
        </w:rPr>
        <w:t xml:space="preserve"> võib anda tegevusluba n.ö kvaliteedimärgise, mille alusel on ettevõtjal hõlpsam oma tegevust laiendada ja seetõttu tekib vajadus ka täiendavate töökohtade loomiseks.</w:t>
      </w:r>
    </w:p>
    <w:p w14:paraId="58190811" w14:textId="77777777" w:rsidR="005508E5" w:rsidRPr="005D3D7B" w:rsidRDefault="005508E5" w:rsidP="005508E5">
      <w:pPr>
        <w:spacing w:before="0"/>
        <w:rPr>
          <w:sz w:val="22"/>
          <w:szCs w:val="22"/>
        </w:rPr>
      </w:pPr>
    </w:p>
    <w:p w14:paraId="53576983" w14:textId="77777777" w:rsidR="005508E5" w:rsidRPr="005D3D7B" w:rsidRDefault="005508E5" w:rsidP="005508E5">
      <w:pPr>
        <w:spacing w:before="0"/>
        <w:rPr>
          <w:sz w:val="22"/>
          <w:szCs w:val="22"/>
        </w:rPr>
      </w:pPr>
      <w:r w:rsidRPr="005D3D7B">
        <w:rPr>
          <w:b/>
          <w:sz w:val="22"/>
          <w:szCs w:val="22"/>
          <w:u w:val="single"/>
        </w:rPr>
        <w:t>Mõju olulisus:</w:t>
      </w:r>
      <w:r w:rsidRPr="005D3D7B">
        <w:rPr>
          <w:sz w:val="22"/>
          <w:szCs w:val="22"/>
        </w:rPr>
        <w:t xml:space="preserve"> Uute töökohtade arvu tõus on Eesti üldise tööhõive kõrval pigem väike</w:t>
      </w:r>
      <w:r>
        <w:rPr>
          <w:sz w:val="22"/>
          <w:szCs w:val="22"/>
        </w:rPr>
        <w:t xml:space="preserve"> ehk mõju on selles tähenduses ebaoluline</w:t>
      </w:r>
      <w:r w:rsidRPr="005D3D7B">
        <w:rPr>
          <w:sz w:val="22"/>
          <w:szCs w:val="22"/>
        </w:rPr>
        <w:t>.</w:t>
      </w:r>
    </w:p>
    <w:p w14:paraId="5B77B1A9" w14:textId="77777777" w:rsidR="005508E5" w:rsidRPr="005D3D7B" w:rsidRDefault="005508E5" w:rsidP="005508E5">
      <w:pPr>
        <w:spacing w:before="0"/>
        <w:rPr>
          <w:sz w:val="22"/>
          <w:szCs w:val="22"/>
        </w:rPr>
      </w:pPr>
    </w:p>
    <w:p w14:paraId="19E78FE4" w14:textId="77777777" w:rsidR="005508E5" w:rsidRPr="005D3D7B" w:rsidRDefault="005508E5" w:rsidP="005508E5">
      <w:pPr>
        <w:spacing w:before="0"/>
        <w:rPr>
          <w:b/>
          <w:sz w:val="22"/>
          <w:szCs w:val="22"/>
        </w:rPr>
      </w:pPr>
      <w:r>
        <w:rPr>
          <w:b/>
          <w:sz w:val="22"/>
          <w:szCs w:val="22"/>
        </w:rPr>
        <w:t>6</w:t>
      </w:r>
      <w:r w:rsidRPr="005D3D7B">
        <w:rPr>
          <w:b/>
          <w:sz w:val="22"/>
          <w:szCs w:val="22"/>
        </w:rPr>
        <w:t>.</w:t>
      </w:r>
      <w:r>
        <w:rPr>
          <w:b/>
          <w:sz w:val="22"/>
          <w:szCs w:val="22"/>
        </w:rPr>
        <w:t>2</w:t>
      </w:r>
      <w:r w:rsidRPr="005D3D7B">
        <w:rPr>
          <w:b/>
          <w:sz w:val="22"/>
          <w:szCs w:val="22"/>
        </w:rPr>
        <w:t>. Mõju Finantsinspektsioonile</w:t>
      </w:r>
    </w:p>
    <w:p w14:paraId="6387DC17" w14:textId="77777777" w:rsidR="005508E5" w:rsidRPr="005D3D7B" w:rsidRDefault="005508E5" w:rsidP="005508E5">
      <w:pPr>
        <w:spacing w:before="0"/>
        <w:rPr>
          <w:b/>
          <w:sz w:val="22"/>
          <w:szCs w:val="22"/>
        </w:rPr>
      </w:pPr>
    </w:p>
    <w:p w14:paraId="6E135C62" w14:textId="77777777" w:rsidR="005508E5" w:rsidRPr="005D3D7B" w:rsidRDefault="005508E5" w:rsidP="005508E5">
      <w:pPr>
        <w:spacing w:before="0"/>
        <w:rPr>
          <w:sz w:val="22"/>
          <w:szCs w:val="22"/>
        </w:rPr>
      </w:pPr>
      <w:r w:rsidRPr="005D3D7B">
        <w:rPr>
          <w:b/>
          <w:sz w:val="22"/>
          <w:szCs w:val="22"/>
          <w:u w:val="single"/>
        </w:rPr>
        <w:t>Sihtrühm</w:t>
      </w:r>
      <w:r w:rsidRPr="005D3D7B">
        <w:rPr>
          <w:sz w:val="22"/>
          <w:szCs w:val="22"/>
          <w:u w:val="single"/>
        </w:rPr>
        <w:t>:</w:t>
      </w:r>
      <w:r w:rsidRPr="005D3D7B">
        <w:rPr>
          <w:sz w:val="22"/>
          <w:szCs w:val="22"/>
        </w:rPr>
        <w:t xml:space="preserve"> Finantsinspektsioon, milles </w:t>
      </w:r>
      <w:r w:rsidRPr="00FC2B03">
        <w:rPr>
          <w:sz w:val="22"/>
          <w:szCs w:val="22"/>
        </w:rPr>
        <w:t>töötas 2021. aasta seisuga 122 inimest (sh 16 peatatud töölepingut).</w:t>
      </w:r>
    </w:p>
    <w:p w14:paraId="77CC095E" w14:textId="77777777" w:rsidR="005508E5" w:rsidRPr="005D3D7B" w:rsidRDefault="005508E5" w:rsidP="005508E5">
      <w:pPr>
        <w:spacing w:before="0"/>
        <w:rPr>
          <w:sz w:val="22"/>
          <w:szCs w:val="22"/>
        </w:rPr>
      </w:pPr>
    </w:p>
    <w:p w14:paraId="69905F65" w14:textId="77777777" w:rsidR="005508E5" w:rsidRPr="005D3D7B" w:rsidRDefault="005508E5" w:rsidP="005508E5">
      <w:pPr>
        <w:spacing w:before="0"/>
        <w:rPr>
          <w:sz w:val="22"/>
          <w:szCs w:val="22"/>
        </w:rPr>
      </w:pPr>
      <w:r w:rsidRPr="005D3D7B">
        <w:rPr>
          <w:b/>
          <w:sz w:val="22"/>
          <w:szCs w:val="22"/>
          <w:u w:val="single"/>
        </w:rPr>
        <w:t>Mõju ulatus</w:t>
      </w:r>
      <w:r w:rsidRPr="005D3D7B">
        <w:rPr>
          <w:sz w:val="22"/>
          <w:szCs w:val="22"/>
          <w:u w:val="single"/>
        </w:rPr>
        <w:t>:</w:t>
      </w:r>
      <w:r w:rsidRPr="005D3D7B">
        <w:rPr>
          <w:sz w:val="22"/>
          <w:szCs w:val="22"/>
        </w:rPr>
        <w:t xml:space="preserve"> Finantsinspektsiooni </w:t>
      </w:r>
      <w:r>
        <w:rPr>
          <w:sz w:val="22"/>
          <w:szCs w:val="22"/>
        </w:rPr>
        <w:t>töö</w:t>
      </w:r>
      <w:r w:rsidRPr="005D3D7B">
        <w:rPr>
          <w:sz w:val="22"/>
          <w:szCs w:val="22"/>
        </w:rPr>
        <w:t xml:space="preserve">koormus </w:t>
      </w:r>
      <w:r>
        <w:rPr>
          <w:sz w:val="22"/>
          <w:szCs w:val="22"/>
        </w:rPr>
        <w:t>võib tõusta märkimisväärselt</w:t>
      </w:r>
      <w:r w:rsidRPr="005D3D7B">
        <w:rPr>
          <w:sz w:val="22"/>
          <w:szCs w:val="22"/>
        </w:rPr>
        <w:t xml:space="preserve">, kuna järelevalvesubjektide arv suureneb (vt punktide </w:t>
      </w:r>
      <w:r>
        <w:rPr>
          <w:sz w:val="22"/>
          <w:szCs w:val="22"/>
        </w:rPr>
        <w:t>7</w:t>
      </w:r>
      <w:r w:rsidRPr="005D3D7B">
        <w:rPr>
          <w:sz w:val="22"/>
          <w:szCs w:val="22"/>
        </w:rPr>
        <w:t xml:space="preserve">.1.1. ja </w:t>
      </w:r>
      <w:r>
        <w:rPr>
          <w:sz w:val="22"/>
          <w:szCs w:val="22"/>
        </w:rPr>
        <w:t>7</w:t>
      </w:r>
      <w:r w:rsidRPr="005D3D7B">
        <w:rPr>
          <w:sz w:val="22"/>
          <w:szCs w:val="22"/>
        </w:rPr>
        <w:t xml:space="preserve">.2.1.sihtrühma suurus), mis võib tähendada ka täiendavate </w:t>
      </w:r>
      <w:proofErr w:type="spellStart"/>
      <w:r w:rsidRPr="005D3D7B">
        <w:rPr>
          <w:sz w:val="22"/>
          <w:szCs w:val="22"/>
        </w:rPr>
        <w:t>inim</w:t>
      </w:r>
      <w:proofErr w:type="spellEnd"/>
      <w:r w:rsidRPr="005D3D7B">
        <w:rPr>
          <w:sz w:val="22"/>
          <w:szCs w:val="22"/>
        </w:rPr>
        <w:t>- ja rahaliste ressursside kaasamist Finantsinspektsiooni töösse.</w:t>
      </w:r>
      <w:r>
        <w:rPr>
          <w:sz w:val="22"/>
          <w:szCs w:val="22"/>
        </w:rPr>
        <w:t xml:space="preserve"> </w:t>
      </w:r>
      <w:r w:rsidRPr="0033446D">
        <w:rPr>
          <w:sz w:val="22"/>
          <w:szCs w:val="22"/>
        </w:rPr>
        <w:t>2021. aastal oli Finantsinspektsiooni töötaja keskmine palk 2973 eurot.</w:t>
      </w:r>
      <w:r w:rsidRPr="005D3D7B">
        <w:rPr>
          <w:sz w:val="22"/>
          <w:szCs w:val="22"/>
        </w:rPr>
        <w:t>, kuid uute töötajate mõju Finantsin</w:t>
      </w:r>
      <w:r>
        <w:rPr>
          <w:sz w:val="22"/>
          <w:szCs w:val="22"/>
        </w:rPr>
        <w:t>s</w:t>
      </w:r>
      <w:r w:rsidRPr="005D3D7B">
        <w:rPr>
          <w:sz w:val="22"/>
          <w:szCs w:val="22"/>
        </w:rPr>
        <w:t>pektsiooni eelarvele sõltub töötajate arvust.</w:t>
      </w:r>
      <w:r>
        <w:rPr>
          <w:sz w:val="22"/>
          <w:szCs w:val="22"/>
        </w:rPr>
        <w:t xml:space="preserve"> Hinnanguliselt võib käesolev eelnõu tähendada Finantsinspektsiooni jaoks ca 10 – 20 uue töötaja palkamist.</w:t>
      </w:r>
    </w:p>
    <w:p w14:paraId="62A89675" w14:textId="77777777" w:rsidR="005508E5" w:rsidRDefault="005508E5" w:rsidP="005508E5">
      <w:pPr>
        <w:spacing w:before="0"/>
        <w:rPr>
          <w:sz w:val="22"/>
          <w:szCs w:val="22"/>
        </w:rPr>
      </w:pPr>
    </w:p>
    <w:p w14:paraId="78A0EE80" w14:textId="77777777" w:rsidR="005508E5" w:rsidRDefault="005508E5" w:rsidP="005508E5">
      <w:pPr>
        <w:spacing w:before="0"/>
        <w:rPr>
          <w:sz w:val="22"/>
          <w:szCs w:val="22"/>
        </w:rPr>
      </w:pPr>
      <w:r w:rsidRPr="0033446D">
        <w:rPr>
          <w:sz w:val="22"/>
          <w:szCs w:val="22"/>
        </w:rPr>
        <w:t xml:space="preserve">Finantsinspektsiooni eelarve kujuneb subjektide poolt makstavatest menetlustasudest ja järelevalvetasudest. See tähendab, et isikud, kes taotlevad </w:t>
      </w:r>
      <w:r>
        <w:rPr>
          <w:sz w:val="22"/>
          <w:szCs w:val="22"/>
        </w:rPr>
        <w:t>vastava teenuseosutaja</w:t>
      </w:r>
      <w:r w:rsidRPr="0033446D">
        <w:rPr>
          <w:sz w:val="22"/>
          <w:szCs w:val="22"/>
        </w:rPr>
        <w:t xml:space="preserve"> tegevusloa peavad maksma nii ühekordse tasu (tegevusloa menetlustasu) kui edaspidi jooksvat järelevalvetasu. </w:t>
      </w:r>
      <w:r>
        <w:rPr>
          <w:sz w:val="22"/>
          <w:szCs w:val="22"/>
        </w:rPr>
        <w:t>Menetlustasu on uue eelnõu versiooni kohaselt tõstetud seepärast ka 3 000 euro peale. Samuti on muudetud metoodikat kuidas arvestatakse jooksvat järelevalvetasu.</w:t>
      </w:r>
    </w:p>
    <w:p w14:paraId="50EAA933" w14:textId="77777777" w:rsidR="005508E5" w:rsidRPr="005D3D7B" w:rsidRDefault="005508E5" w:rsidP="005508E5">
      <w:pPr>
        <w:spacing w:before="0"/>
        <w:rPr>
          <w:sz w:val="22"/>
          <w:szCs w:val="22"/>
        </w:rPr>
      </w:pPr>
      <w:r w:rsidRPr="0033446D">
        <w:rPr>
          <w:sz w:val="22"/>
          <w:szCs w:val="22"/>
        </w:rPr>
        <w:t xml:space="preserve">Uutest tasudest laekuvad summad peaksid üldiselt katma uute subjektide järelevalvele kuluvad summad. Ehk eesmärk on need järelevalvetasud kehtestada (võimaluse korral) kulupõhiselt. Siiski võib juhtuda, et täies ulatuses kogu Finantsinspektsiooni järelevalvekulu, mis läheb taoliste ettevõtjate üle järelevalve teostamisele, laekuvad summad siiski </w:t>
      </w:r>
      <w:r>
        <w:rPr>
          <w:sz w:val="22"/>
          <w:szCs w:val="22"/>
        </w:rPr>
        <w:t xml:space="preserve">vähemalt algusaastatel </w:t>
      </w:r>
      <w:r w:rsidRPr="0033446D">
        <w:rPr>
          <w:sz w:val="22"/>
          <w:szCs w:val="22"/>
        </w:rPr>
        <w:t>ei kata (siis tuleb see kulu katta muude subjektide poolt laekuvate tasude arvelt).</w:t>
      </w:r>
    </w:p>
    <w:p w14:paraId="5569D760" w14:textId="77777777" w:rsidR="005508E5" w:rsidRPr="005D3D7B" w:rsidRDefault="005508E5" w:rsidP="005508E5">
      <w:pPr>
        <w:spacing w:before="0"/>
        <w:rPr>
          <w:sz w:val="22"/>
          <w:szCs w:val="22"/>
        </w:rPr>
      </w:pPr>
    </w:p>
    <w:p w14:paraId="58787383" w14:textId="77777777" w:rsidR="005508E5" w:rsidRPr="005D3D7B" w:rsidRDefault="005508E5" w:rsidP="005508E5">
      <w:pPr>
        <w:spacing w:before="0"/>
        <w:rPr>
          <w:sz w:val="22"/>
          <w:szCs w:val="22"/>
        </w:rPr>
      </w:pPr>
      <w:r w:rsidRPr="005D3D7B">
        <w:rPr>
          <w:b/>
          <w:sz w:val="22"/>
          <w:szCs w:val="22"/>
          <w:u w:val="single"/>
        </w:rPr>
        <w:t>Mõju avaldumise sagedus</w:t>
      </w:r>
      <w:r w:rsidRPr="005D3D7B">
        <w:rPr>
          <w:sz w:val="22"/>
          <w:szCs w:val="22"/>
        </w:rPr>
        <w:t>: seaduse rakendumise alguses avaldub suurem mõju, kui kõik sihtrühma kuuluvad teenuseosutajad hakkavad tegevusluba taotlema. Edaspidi on mõju pidev, kuna Finantsinspektsioon teostab finantsteenuste järelevalvet igapäevaselt.</w:t>
      </w:r>
    </w:p>
    <w:p w14:paraId="1FF4492D" w14:textId="77777777" w:rsidR="005508E5" w:rsidRPr="005D3D7B" w:rsidRDefault="005508E5" w:rsidP="005508E5">
      <w:pPr>
        <w:spacing w:before="0"/>
        <w:rPr>
          <w:sz w:val="22"/>
          <w:szCs w:val="22"/>
          <w:u w:val="single"/>
        </w:rPr>
      </w:pPr>
    </w:p>
    <w:p w14:paraId="79A7FBFE" w14:textId="77777777" w:rsidR="005508E5" w:rsidRPr="005D3D7B" w:rsidRDefault="005508E5" w:rsidP="005508E5">
      <w:pPr>
        <w:spacing w:before="0"/>
        <w:rPr>
          <w:sz w:val="22"/>
          <w:szCs w:val="22"/>
          <w:u w:val="single"/>
        </w:rPr>
      </w:pPr>
      <w:r w:rsidRPr="005D3D7B">
        <w:rPr>
          <w:b/>
          <w:sz w:val="22"/>
          <w:szCs w:val="22"/>
          <w:u w:val="single"/>
        </w:rPr>
        <w:t>Ebasoovitavate mõjude avaldumise risk</w:t>
      </w:r>
      <w:r w:rsidRPr="005D3D7B">
        <w:rPr>
          <w:sz w:val="22"/>
          <w:szCs w:val="22"/>
        </w:rPr>
        <w:t>: Ebasoovitavate mõjudena võib näha üsna mahukat tegevuslubade väljastamise menetlust 202</w:t>
      </w:r>
      <w:r>
        <w:rPr>
          <w:sz w:val="22"/>
          <w:szCs w:val="22"/>
        </w:rPr>
        <w:t xml:space="preserve">3. aastal. </w:t>
      </w:r>
    </w:p>
    <w:p w14:paraId="3C7B2567" w14:textId="77777777" w:rsidR="005508E5" w:rsidRPr="005D3D7B" w:rsidRDefault="005508E5" w:rsidP="005508E5">
      <w:pPr>
        <w:spacing w:before="0"/>
        <w:rPr>
          <w:sz w:val="22"/>
          <w:szCs w:val="22"/>
          <w:highlight w:val="cyan"/>
          <w:u w:val="single"/>
        </w:rPr>
      </w:pPr>
    </w:p>
    <w:p w14:paraId="5B56AA12" w14:textId="77777777" w:rsidR="005508E5" w:rsidRPr="005D3D7B" w:rsidRDefault="005508E5" w:rsidP="005508E5">
      <w:pPr>
        <w:spacing w:before="0"/>
        <w:rPr>
          <w:sz w:val="22"/>
          <w:szCs w:val="22"/>
          <w:u w:val="single"/>
        </w:rPr>
      </w:pPr>
      <w:r w:rsidRPr="005D3D7B">
        <w:rPr>
          <w:b/>
          <w:sz w:val="22"/>
          <w:szCs w:val="22"/>
          <w:u w:val="single"/>
        </w:rPr>
        <w:t>Mõju olulisus</w:t>
      </w:r>
      <w:r w:rsidRPr="005D3D7B">
        <w:rPr>
          <w:sz w:val="22"/>
          <w:szCs w:val="22"/>
          <w:u w:val="single"/>
        </w:rPr>
        <w:t>:</w:t>
      </w:r>
      <w:r w:rsidRPr="005D3D7B">
        <w:rPr>
          <w:sz w:val="22"/>
          <w:szCs w:val="22"/>
        </w:rPr>
        <w:t xml:space="preserve"> Mõju on </w:t>
      </w:r>
      <w:r>
        <w:rPr>
          <w:sz w:val="22"/>
          <w:szCs w:val="22"/>
        </w:rPr>
        <w:t>oluline</w:t>
      </w:r>
      <w:r w:rsidRPr="005D3D7B">
        <w:rPr>
          <w:sz w:val="22"/>
          <w:szCs w:val="22"/>
        </w:rPr>
        <w:t>.</w:t>
      </w:r>
      <w:r>
        <w:rPr>
          <w:sz w:val="22"/>
          <w:szCs w:val="22"/>
        </w:rPr>
        <w:t xml:space="preserve"> </w:t>
      </w:r>
      <w:r w:rsidRPr="000D712C">
        <w:rPr>
          <w:sz w:val="22"/>
          <w:szCs w:val="22"/>
        </w:rPr>
        <w:t>Eelduslikult on mõju arvestades sihtrühma suurust (</w:t>
      </w:r>
      <w:r>
        <w:rPr>
          <w:sz w:val="22"/>
          <w:szCs w:val="22"/>
        </w:rPr>
        <w:t>122</w:t>
      </w:r>
      <w:r w:rsidRPr="000D712C">
        <w:rPr>
          <w:sz w:val="22"/>
          <w:szCs w:val="22"/>
        </w:rPr>
        <w:t xml:space="preserve"> töötajaga asutus, kus vajadus tekib </w:t>
      </w:r>
      <w:r>
        <w:rPr>
          <w:sz w:val="22"/>
          <w:szCs w:val="22"/>
        </w:rPr>
        <w:t>üle</w:t>
      </w:r>
      <w:r w:rsidRPr="000D712C">
        <w:rPr>
          <w:sz w:val="22"/>
          <w:szCs w:val="22"/>
        </w:rPr>
        <w:t xml:space="preserve"> 10% uute töökohtade järele) ning mõju ulatust ehk kohanemisvajadust (</w:t>
      </w:r>
      <w:r>
        <w:rPr>
          <w:sz w:val="22"/>
          <w:szCs w:val="22"/>
        </w:rPr>
        <w:t>nt ekspertiis ja arusaam sellistest uut tüüpi teenustest</w:t>
      </w:r>
      <w:r w:rsidRPr="000D712C">
        <w:rPr>
          <w:sz w:val="22"/>
          <w:szCs w:val="22"/>
        </w:rPr>
        <w:t xml:space="preserve">) siiski kokkuvõttes ilmselt </w:t>
      </w:r>
      <w:r>
        <w:rPr>
          <w:sz w:val="22"/>
          <w:szCs w:val="22"/>
        </w:rPr>
        <w:t xml:space="preserve">pigem </w:t>
      </w:r>
      <w:r w:rsidRPr="000D712C">
        <w:rPr>
          <w:sz w:val="22"/>
          <w:szCs w:val="22"/>
        </w:rPr>
        <w:t>oluline.</w:t>
      </w:r>
    </w:p>
    <w:p w14:paraId="26C76396" w14:textId="77777777" w:rsidR="005508E5" w:rsidRPr="005D3D7B" w:rsidRDefault="005508E5" w:rsidP="005508E5">
      <w:pPr>
        <w:spacing w:before="0"/>
        <w:rPr>
          <w:b/>
          <w:sz w:val="22"/>
          <w:szCs w:val="22"/>
        </w:rPr>
      </w:pPr>
    </w:p>
    <w:p w14:paraId="4A442C50" w14:textId="77777777" w:rsidR="005508E5" w:rsidRPr="00BA010E" w:rsidRDefault="005508E5" w:rsidP="005508E5">
      <w:pPr>
        <w:spacing w:before="0"/>
        <w:rPr>
          <w:b/>
          <w:sz w:val="22"/>
          <w:szCs w:val="22"/>
        </w:rPr>
      </w:pPr>
      <w:r>
        <w:rPr>
          <w:b/>
          <w:sz w:val="22"/>
          <w:szCs w:val="22"/>
        </w:rPr>
        <w:t>6</w:t>
      </w:r>
      <w:r w:rsidRPr="00BA010E">
        <w:rPr>
          <w:b/>
          <w:sz w:val="22"/>
          <w:szCs w:val="22"/>
        </w:rPr>
        <w:t>.</w:t>
      </w:r>
      <w:r>
        <w:rPr>
          <w:b/>
          <w:sz w:val="22"/>
          <w:szCs w:val="22"/>
        </w:rPr>
        <w:t>3</w:t>
      </w:r>
      <w:r w:rsidRPr="00BA010E">
        <w:rPr>
          <w:b/>
          <w:sz w:val="22"/>
          <w:szCs w:val="22"/>
        </w:rPr>
        <w:t xml:space="preserve">. Mõju Rahapesu andmebüroole (RAB) </w:t>
      </w:r>
    </w:p>
    <w:p w14:paraId="3464C318" w14:textId="77777777" w:rsidR="005508E5" w:rsidRPr="00BA010E" w:rsidRDefault="005508E5" w:rsidP="005508E5">
      <w:pPr>
        <w:spacing w:before="0"/>
        <w:rPr>
          <w:b/>
          <w:sz w:val="22"/>
          <w:szCs w:val="22"/>
        </w:rPr>
      </w:pPr>
    </w:p>
    <w:p w14:paraId="189D34E1" w14:textId="77777777" w:rsidR="005508E5" w:rsidRPr="00BA010E" w:rsidRDefault="005508E5" w:rsidP="005508E5">
      <w:pPr>
        <w:spacing w:before="0"/>
        <w:rPr>
          <w:sz w:val="22"/>
          <w:szCs w:val="22"/>
        </w:rPr>
      </w:pPr>
      <w:r w:rsidRPr="00BA010E">
        <w:rPr>
          <w:b/>
          <w:sz w:val="22"/>
          <w:szCs w:val="22"/>
          <w:u w:val="single"/>
        </w:rPr>
        <w:t>Sihtrühm:</w:t>
      </w:r>
      <w:r w:rsidRPr="00FE11A5">
        <w:rPr>
          <w:b/>
          <w:sz w:val="22"/>
          <w:szCs w:val="22"/>
        </w:rPr>
        <w:t xml:space="preserve"> </w:t>
      </w:r>
      <w:r w:rsidRPr="00BA010E">
        <w:rPr>
          <w:sz w:val="22"/>
          <w:szCs w:val="22"/>
        </w:rPr>
        <w:t>Rahapesu Andmebüroo</w:t>
      </w:r>
      <w:r>
        <w:rPr>
          <w:sz w:val="22"/>
          <w:szCs w:val="22"/>
        </w:rPr>
        <w:t xml:space="preserve"> (töötajate arv ei ole avalik info)</w:t>
      </w:r>
      <w:r w:rsidRPr="00BA010E">
        <w:rPr>
          <w:sz w:val="22"/>
          <w:szCs w:val="22"/>
        </w:rPr>
        <w:t>.</w:t>
      </w:r>
    </w:p>
    <w:p w14:paraId="62026850" w14:textId="77777777" w:rsidR="005508E5" w:rsidRPr="00BA010E" w:rsidRDefault="005508E5" w:rsidP="005508E5">
      <w:pPr>
        <w:spacing w:before="0"/>
        <w:rPr>
          <w:b/>
          <w:sz w:val="22"/>
          <w:szCs w:val="22"/>
        </w:rPr>
      </w:pPr>
    </w:p>
    <w:p w14:paraId="1168B755" w14:textId="77777777" w:rsidR="005508E5" w:rsidRDefault="005508E5" w:rsidP="005508E5">
      <w:pPr>
        <w:spacing w:before="0"/>
        <w:rPr>
          <w:sz w:val="22"/>
          <w:szCs w:val="22"/>
        </w:rPr>
      </w:pPr>
      <w:r w:rsidRPr="00262421">
        <w:rPr>
          <w:b/>
          <w:sz w:val="22"/>
          <w:szCs w:val="22"/>
          <w:u w:val="single"/>
        </w:rPr>
        <w:t>Mõju ulatus:</w:t>
      </w:r>
      <w:r w:rsidRPr="00FE11A5">
        <w:rPr>
          <w:b/>
          <w:sz w:val="22"/>
          <w:szCs w:val="22"/>
        </w:rPr>
        <w:t xml:space="preserve"> </w:t>
      </w:r>
      <w:r w:rsidRPr="00262421">
        <w:rPr>
          <w:sz w:val="22"/>
          <w:szCs w:val="22"/>
        </w:rPr>
        <w:t xml:space="preserve">Mõju peamiseks ulatuseks tuleb pidada seda, et järelevalve teostamine virtuaalvääringu teenuse osutajate üle läheb väljapoole </w:t>
      </w:r>
      <w:proofErr w:type="spellStart"/>
      <w:r w:rsidRPr="00262421">
        <w:rPr>
          <w:sz w:val="22"/>
          <w:szCs w:val="22"/>
        </w:rPr>
        <w:t>RAB-i</w:t>
      </w:r>
      <w:proofErr w:type="spellEnd"/>
      <w:r w:rsidRPr="00262421">
        <w:rPr>
          <w:sz w:val="22"/>
          <w:szCs w:val="22"/>
        </w:rPr>
        <w:t xml:space="preserve"> pädevust. Nimetatud mõju võib pidada oluliseks, kuivõrd </w:t>
      </w:r>
      <w:proofErr w:type="spellStart"/>
      <w:r w:rsidRPr="00262421">
        <w:rPr>
          <w:sz w:val="22"/>
          <w:szCs w:val="22"/>
        </w:rPr>
        <w:t>RAB-i</w:t>
      </w:r>
      <w:proofErr w:type="spellEnd"/>
      <w:r w:rsidRPr="00262421">
        <w:rPr>
          <w:sz w:val="22"/>
          <w:szCs w:val="22"/>
        </w:rPr>
        <w:t xml:space="preserve"> tegevus täna on suuresti suunatud virtuaalvääringu teenuse osutajatega seotud tegevuslubade menetlemisele ning vastava sektori </w:t>
      </w:r>
      <w:r w:rsidRPr="00BA010E">
        <w:rPr>
          <w:sz w:val="22"/>
          <w:szCs w:val="22"/>
        </w:rPr>
        <w:t xml:space="preserve">ettevõtjate üle kontrolli teostamisele. </w:t>
      </w:r>
    </w:p>
    <w:p w14:paraId="794DEB6D" w14:textId="77777777" w:rsidR="005508E5" w:rsidRDefault="005508E5" w:rsidP="005508E5">
      <w:pPr>
        <w:spacing w:before="0"/>
        <w:rPr>
          <w:sz w:val="22"/>
          <w:szCs w:val="22"/>
        </w:rPr>
      </w:pPr>
    </w:p>
    <w:p w14:paraId="3D4DB39A" w14:textId="23C83C0E" w:rsidR="005508E5" w:rsidRPr="00BA010E" w:rsidRDefault="005508E5" w:rsidP="005508E5">
      <w:pPr>
        <w:spacing w:before="0"/>
        <w:rPr>
          <w:sz w:val="22"/>
          <w:szCs w:val="22"/>
        </w:rPr>
      </w:pPr>
      <w:r w:rsidRPr="00BA010E">
        <w:rPr>
          <w:sz w:val="22"/>
          <w:szCs w:val="22"/>
        </w:rPr>
        <w:t xml:space="preserve">Eelnevast tulenevalt võib eeldada, et peamise mõjuna väheneb </w:t>
      </w:r>
      <w:proofErr w:type="spellStart"/>
      <w:r w:rsidRPr="00BA010E">
        <w:rPr>
          <w:sz w:val="22"/>
          <w:szCs w:val="22"/>
        </w:rPr>
        <w:t>RAB-i</w:t>
      </w:r>
      <w:proofErr w:type="spellEnd"/>
      <w:r w:rsidRPr="00BA010E">
        <w:rPr>
          <w:sz w:val="22"/>
          <w:szCs w:val="22"/>
        </w:rPr>
        <w:t xml:space="preserve"> töökoormus.</w:t>
      </w:r>
      <w:r>
        <w:rPr>
          <w:sz w:val="22"/>
          <w:szCs w:val="22"/>
        </w:rPr>
        <w:t xml:space="preserve"> Käesolevaga on keeruline hinnata, kas ja kui palju võib seetõttu </w:t>
      </w:r>
      <w:proofErr w:type="spellStart"/>
      <w:r>
        <w:rPr>
          <w:sz w:val="22"/>
          <w:szCs w:val="22"/>
        </w:rPr>
        <w:t>RABi</w:t>
      </w:r>
      <w:proofErr w:type="spellEnd"/>
      <w:r>
        <w:rPr>
          <w:sz w:val="22"/>
          <w:szCs w:val="22"/>
        </w:rPr>
        <w:t xml:space="preserve"> töötajaskond vähendada, ilmselt mingil määral kindlasti (teatud osa töötajatest võivad minna Finantsinspektsiooni tööle). Samas käesoleva eelnõuga tehtavad muudatused ei tähenda, et RAB enam puutumust virtuaalvääringu valdkonnaga ei oma – vastav rahapesu seire, t</w:t>
      </w:r>
      <w:r w:rsidRPr="00C9717E">
        <w:rPr>
          <w:sz w:val="22"/>
          <w:szCs w:val="22"/>
        </w:rPr>
        <w:t>ea</w:t>
      </w:r>
      <w:r>
        <w:rPr>
          <w:sz w:val="22"/>
          <w:szCs w:val="22"/>
        </w:rPr>
        <w:t xml:space="preserve">dete esitamise menetlus </w:t>
      </w:r>
      <w:r w:rsidRPr="00C9717E">
        <w:rPr>
          <w:sz w:val="22"/>
          <w:szCs w:val="22"/>
        </w:rPr>
        <w:t>rahapesu ja terrorismi rahastamise kahtluse korral</w:t>
      </w:r>
      <w:r>
        <w:rPr>
          <w:sz w:val="22"/>
          <w:szCs w:val="22"/>
        </w:rPr>
        <w:t xml:space="preserve"> jms jääb jätkuvalt </w:t>
      </w:r>
      <w:proofErr w:type="spellStart"/>
      <w:r>
        <w:rPr>
          <w:sz w:val="22"/>
          <w:szCs w:val="22"/>
        </w:rPr>
        <w:t>RAB-i</w:t>
      </w:r>
      <w:proofErr w:type="spellEnd"/>
      <w:r>
        <w:rPr>
          <w:sz w:val="22"/>
          <w:szCs w:val="22"/>
        </w:rPr>
        <w:t xml:space="preserve"> ka antud valdkonna osas.</w:t>
      </w:r>
    </w:p>
    <w:p w14:paraId="68EFF049" w14:textId="77777777" w:rsidR="005508E5" w:rsidRPr="00BA010E" w:rsidRDefault="005508E5" w:rsidP="005508E5">
      <w:pPr>
        <w:spacing w:before="0"/>
        <w:rPr>
          <w:b/>
          <w:sz w:val="22"/>
          <w:szCs w:val="22"/>
          <w:u w:val="single"/>
        </w:rPr>
      </w:pPr>
    </w:p>
    <w:p w14:paraId="57E21C73" w14:textId="77777777" w:rsidR="005508E5" w:rsidRPr="00262421" w:rsidRDefault="005508E5" w:rsidP="005508E5">
      <w:pPr>
        <w:spacing w:before="0"/>
        <w:rPr>
          <w:sz w:val="22"/>
          <w:szCs w:val="22"/>
        </w:rPr>
      </w:pPr>
      <w:r w:rsidRPr="00BA010E">
        <w:rPr>
          <w:b/>
          <w:sz w:val="22"/>
          <w:szCs w:val="22"/>
          <w:u w:val="single"/>
        </w:rPr>
        <w:t xml:space="preserve">Ebasoovitavate mõjude avaldumise risk: </w:t>
      </w:r>
      <w:r w:rsidRPr="00BA010E">
        <w:rPr>
          <w:sz w:val="22"/>
          <w:szCs w:val="22"/>
        </w:rPr>
        <w:t>Töö</w:t>
      </w:r>
      <w:r>
        <w:rPr>
          <w:sz w:val="22"/>
          <w:szCs w:val="22"/>
        </w:rPr>
        <w:t>ülesannete muutumise tõttu on</w:t>
      </w:r>
      <w:r w:rsidRPr="00BA010E">
        <w:rPr>
          <w:sz w:val="22"/>
          <w:szCs w:val="22"/>
        </w:rPr>
        <w:t xml:space="preserve"> </w:t>
      </w:r>
      <w:proofErr w:type="spellStart"/>
      <w:r w:rsidRPr="00BA010E">
        <w:rPr>
          <w:sz w:val="22"/>
          <w:szCs w:val="22"/>
        </w:rPr>
        <w:t>RAB-i</w:t>
      </w:r>
      <w:proofErr w:type="spellEnd"/>
      <w:r w:rsidRPr="00BA010E">
        <w:rPr>
          <w:sz w:val="22"/>
          <w:szCs w:val="22"/>
        </w:rPr>
        <w:t xml:space="preserve"> struktuuriüksustes vajalik teha</w:t>
      </w:r>
      <w:r>
        <w:rPr>
          <w:sz w:val="22"/>
          <w:szCs w:val="22"/>
        </w:rPr>
        <w:t xml:space="preserve"> tõenäoliselt</w:t>
      </w:r>
      <w:r w:rsidRPr="00BA010E">
        <w:rPr>
          <w:sz w:val="22"/>
          <w:szCs w:val="22"/>
        </w:rPr>
        <w:t xml:space="preserve"> muudatusi.</w:t>
      </w:r>
      <w:r>
        <w:rPr>
          <w:sz w:val="22"/>
          <w:szCs w:val="22"/>
        </w:rPr>
        <w:t xml:space="preserve"> Siiski on keeruline hinnata, kas ja kui suures ulatuses see kokkuhoidu riigieelarve tähenduses võiks omada.</w:t>
      </w:r>
      <w:r w:rsidDel="0066233A">
        <w:rPr>
          <w:sz w:val="22"/>
          <w:szCs w:val="22"/>
        </w:rPr>
        <w:t xml:space="preserve"> </w:t>
      </w:r>
    </w:p>
    <w:p w14:paraId="186A5241" w14:textId="77777777" w:rsidR="005508E5" w:rsidRPr="00262421" w:rsidRDefault="005508E5" w:rsidP="005508E5">
      <w:pPr>
        <w:spacing w:before="0"/>
        <w:rPr>
          <w:b/>
          <w:sz w:val="22"/>
          <w:szCs w:val="22"/>
          <w:u w:val="single"/>
        </w:rPr>
      </w:pPr>
    </w:p>
    <w:p w14:paraId="41E23F5C" w14:textId="1E0E405F" w:rsidR="005508E5" w:rsidRPr="00262421" w:rsidRDefault="005508E5" w:rsidP="005508E5">
      <w:pPr>
        <w:spacing w:before="0"/>
        <w:rPr>
          <w:sz w:val="22"/>
          <w:szCs w:val="22"/>
        </w:rPr>
      </w:pPr>
      <w:r w:rsidRPr="00262421">
        <w:rPr>
          <w:b/>
          <w:sz w:val="22"/>
          <w:szCs w:val="22"/>
          <w:u w:val="single"/>
        </w:rPr>
        <w:t>Mõju olulisus:</w:t>
      </w:r>
      <w:r w:rsidRPr="00FE11A5">
        <w:rPr>
          <w:b/>
          <w:sz w:val="22"/>
          <w:szCs w:val="22"/>
        </w:rPr>
        <w:t xml:space="preserve"> </w:t>
      </w:r>
      <w:r w:rsidR="00067D5A" w:rsidRPr="00067D5A">
        <w:rPr>
          <w:bCs/>
          <w:sz w:val="22"/>
          <w:szCs w:val="22"/>
        </w:rPr>
        <w:t>keskmine</w:t>
      </w:r>
      <w:r w:rsidRPr="00067D5A">
        <w:rPr>
          <w:bCs/>
          <w:sz w:val="22"/>
          <w:szCs w:val="22"/>
        </w:rPr>
        <w:t>.</w:t>
      </w:r>
    </w:p>
    <w:p w14:paraId="1FA58BA8" w14:textId="77777777" w:rsidR="005508E5" w:rsidRDefault="005508E5" w:rsidP="005508E5">
      <w:pPr>
        <w:spacing w:before="0"/>
        <w:rPr>
          <w:b/>
          <w:sz w:val="22"/>
          <w:szCs w:val="22"/>
        </w:rPr>
      </w:pPr>
    </w:p>
    <w:p w14:paraId="2CEB80B4" w14:textId="77777777" w:rsidR="005508E5" w:rsidRDefault="005508E5" w:rsidP="005508E5">
      <w:pPr>
        <w:spacing w:before="0"/>
        <w:rPr>
          <w:b/>
          <w:sz w:val="22"/>
          <w:szCs w:val="22"/>
        </w:rPr>
      </w:pPr>
      <w:r>
        <w:rPr>
          <w:b/>
          <w:sz w:val="22"/>
          <w:szCs w:val="22"/>
        </w:rPr>
        <w:t>6</w:t>
      </w:r>
      <w:r w:rsidRPr="005D3D7B">
        <w:rPr>
          <w:b/>
          <w:sz w:val="22"/>
          <w:szCs w:val="22"/>
        </w:rPr>
        <w:t>.</w:t>
      </w:r>
      <w:r>
        <w:rPr>
          <w:b/>
          <w:sz w:val="22"/>
          <w:szCs w:val="22"/>
        </w:rPr>
        <w:t>4</w:t>
      </w:r>
      <w:r w:rsidRPr="005D3D7B">
        <w:rPr>
          <w:b/>
          <w:sz w:val="22"/>
          <w:szCs w:val="22"/>
        </w:rPr>
        <w:t>. Muud mõjud</w:t>
      </w:r>
    </w:p>
    <w:p w14:paraId="61B5369B" w14:textId="77777777" w:rsidR="005508E5" w:rsidRPr="005D3D7B" w:rsidRDefault="005508E5" w:rsidP="005508E5">
      <w:pPr>
        <w:spacing w:before="0"/>
        <w:rPr>
          <w:b/>
          <w:sz w:val="22"/>
          <w:szCs w:val="22"/>
        </w:rPr>
      </w:pPr>
    </w:p>
    <w:p w14:paraId="7FFCC181" w14:textId="77777777" w:rsidR="005508E5" w:rsidRPr="005D3D7B" w:rsidRDefault="005508E5" w:rsidP="005508E5">
      <w:pPr>
        <w:spacing w:before="0"/>
        <w:rPr>
          <w:sz w:val="22"/>
          <w:szCs w:val="22"/>
        </w:rPr>
      </w:pPr>
      <w:r w:rsidRPr="005D3D7B">
        <w:rPr>
          <w:sz w:val="22"/>
          <w:szCs w:val="22"/>
        </w:rPr>
        <w:t>Regulatsioonil puudub mõju välissuhetele, elu- ja looduskeskkonnale ning regionaalarengule.</w:t>
      </w:r>
    </w:p>
    <w:p w14:paraId="1E9872F8" w14:textId="77777777" w:rsidR="005508E5" w:rsidRDefault="005508E5" w:rsidP="005508E5">
      <w:pPr>
        <w:spacing w:before="0"/>
        <w:rPr>
          <w:sz w:val="22"/>
          <w:szCs w:val="22"/>
        </w:rPr>
      </w:pPr>
    </w:p>
    <w:p w14:paraId="597F465F" w14:textId="77777777" w:rsidR="005508E5" w:rsidRDefault="005508E5" w:rsidP="005508E5">
      <w:pPr>
        <w:spacing w:before="0"/>
        <w:rPr>
          <w:b/>
          <w:bCs/>
          <w:sz w:val="22"/>
          <w:szCs w:val="22"/>
        </w:rPr>
      </w:pPr>
      <w:r>
        <w:rPr>
          <w:b/>
          <w:bCs/>
          <w:sz w:val="22"/>
          <w:szCs w:val="22"/>
        </w:rPr>
        <w:t>6</w:t>
      </w:r>
      <w:r w:rsidRPr="003F6EC0">
        <w:rPr>
          <w:b/>
          <w:bCs/>
          <w:sz w:val="22"/>
          <w:szCs w:val="22"/>
        </w:rPr>
        <w:t>.</w:t>
      </w:r>
      <w:r>
        <w:rPr>
          <w:b/>
          <w:bCs/>
          <w:sz w:val="22"/>
          <w:szCs w:val="22"/>
        </w:rPr>
        <w:t>5</w:t>
      </w:r>
      <w:r w:rsidRPr="003F6EC0">
        <w:rPr>
          <w:b/>
          <w:bCs/>
          <w:sz w:val="22"/>
          <w:szCs w:val="22"/>
        </w:rPr>
        <w:t xml:space="preserve">. Kokkuvõte mõjudest </w:t>
      </w:r>
    </w:p>
    <w:p w14:paraId="02BB7FC9" w14:textId="77777777" w:rsidR="005508E5" w:rsidRPr="003F6EC0" w:rsidRDefault="005508E5" w:rsidP="005508E5">
      <w:pPr>
        <w:spacing w:before="0"/>
        <w:rPr>
          <w:b/>
          <w:bCs/>
          <w:sz w:val="22"/>
          <w:szCs w:val="22"/>
        </w:rPr>
      </w:pPr>
    </w:p>
    <w:tbl>
      <w:tblPr>
        <w:tblW w:w="0" w:type="auto"/>
        <w:tblLook w:val="04A0" w:firstRow="1" w:lastRow="0" w:firstColumn="1" w:lastColumn="0" w:noHBand="0" w:noVBand="1"/>
      </w:tblPr>
      <w:tblGrid>
        <w:gridCol w:w="9061"/>
      </w:tblGrid>
      <w:tr w:rsidR="005508E5" w14:paraId="6138DB31" w14:textId="77777777" w:rsidTr="00E672AE">
        <w:tc>
          <w:tcPr>
            <w:tcW w:w="9061" w:type="dxa"/>
          </w:tcPr>
          <w:p w14:paraId="6E21EA41" w14:textId="77777777" w:rsidR="005508E5" w:rsidRDefault="005508E5" w:rsidP="00E672AE">
            <w:pPr>
              <w:spacing w:before="0"/>
              <w:contextualSpacing/>
              <w:rPr>
                <w:sz w:val="22"/>
                <w:szCs w:val="22"/>
              </w:rPr>
            </w:pPr>
            <w:proofErr w:type="spellStart"/>
            <w:r w:rsidRPr="000D013B">
              <w:rPr>
                <w:b/>
                <w:bCs/>
                <w:sz w:val="22"/>
                <w:szCs w:val="22"/>
              </w:rPr>
              <w:t>Ühisrahastusturg</w:t>
            </w:r>
            <w:proofErr w:type="spellEnd"/>
            <w:r w:rsidRPr="00D85B8F">
              <w:rPr>
                <w:sz w:val="22"/>
                <w:szCs w:val="22"/>
              </w:rPr>
              <w:t xml:space="preserve"> on küll viimas</w:t>
            </w:r>
            <w:r>
              <w:rPr>
                <w:sz w:val="22"/>
                <w:szCs w:val="22"/>
              </w:rPr>
              <w:t>e</w:t>
            </w:r>
            <w:r w:rsidRPr="00D85B8F">
              <w:rPr>
                <w:sz w:val="22"/>
                <w:szCs w:val="22"/>
              </w:rPr>
              <w:t xml:space="preserve"> </w:t>
            </w:r>
            <w:r>
              <w:rPr>
                <w:sz w:val="22"/>
                <w:szCs w:val="22"/>
              </w:rPr>
              <w:t>kümne aasta jooksul</w:t>
            </w:r>
            <w:r w:rsidRPr="00D85B8F">
              <w:rPr>
                <w:sz w:val="22"/>
                <w:szCs w:val="22"/>
              </w:rPr>
              <w:t xml:space="preserve"> </w:t>
            </w:r>
            <w:r>
              <w:rPr>
                <w:sz w:val="22"/>
                <w:szCs w:val="22"/>
              </w:rPr>
              <w:t>suhteliselt</w:t>
            </w:r>
            <w:r w:rsidRPr="00D85B8F">
              <w:rPr>
                <w:sz w:val="22"/>
                <w:szCs w:val="22"/>
              </w:rPr>
              <w:t xml:space="preserve"> kiiresti kasvanud kuid võrreldes muu finantssektoriga (eelkõige pangandusega) on </w:t>
            </w:r>
            <w:r>
              <w:rPr>
                <w:sz w:val="22"/>
                <w:szCs w:val="22"/>
              </w:rPr>
              <w:t xml:space="preserve">selle sektori mahud </w:t>
            </w:r>
            <w:r w:rsidRPr="00D85B8F">
              <w:rPr>
                <w:sz w:val="22"/>
                <w:szCs w:val="22"/>
              </w:rPr>
              <w:t>veel suhteliselt väike</w:t>
            </w:r>
            <w:r>
              <w:rPr>
                <w:sz w:val="22"/>
                <w:szCs w:val="22"/>
              </w:rPr>
              <w:t>sed</w:t>
            </w:r>
            <w:r w:rsidRPr="00D85B8F">
              <w:rPr>
                <w:sz w:val="22"/>
                <w:szCs w:val="22"/>
              </w:rPr>
              <w:t xml:space="preserve">. </w:t>
            </w:r>
            <w:r>
              <w:rPr>
                <w:sz w:val="22"/>
                <w:szCs w:val="22"/>
              </w:rPr>
              <w:t xml:space="preserve">Praegu tegutseb Eestis erinevaid </w:t>
            </w:r>
            <w:proofErr w:type="spellStart"/>
            <w:r>
              <w:rPr>
                <w:sz w:val="22"/>
                <w:szCs w:val="22"/>
              </w:rPr>
              <w:t>ühisrahastusteenuse</w:t>
            </w:r>
            <w:proofErr w:type="spellEnd"/>
            <w:r>
              <w:rPr>
                <w:sz w:val="22"/>
                <w:szCs w:val="22"/>
              </w:rPr>
              <w:t xml:space="preserve"> osutajaid hinnanguliselt 20–30 ringis. Kuna mitmed</w:t>
            </w:r>
            <w:r w:rsidRPr="00D85B8F">
              <w:rPr>
                <w:sz w:val="22"/>
                <w:szCs w:val="22"/>
              </w:rPr>
              <w:t xml:space="preserve"> </w:t>
            </w:r>
            <w:proofErr w:type="spellStart"/>
            <w:r w:rsidRPr="00D85B8F">
              <w:rPr>
                <w:sz w:val="22"/>
                <w:szCs w:val="22"/>
              </w:rPr>
              <w:t>ühisrahastusteenuse</w:t>
            </w:r>
            <w:proofErr w:type="spellEnd"/>
            <w:r w:rsidRPr="00D85B8F">
              <w:rPr>
                <w:sz w:val="22"/>
                <w:szCs w:val="22"/>
              </w:rPr>
              <w:t xml:space="preserve"> osutajad omavad käesoleval ajal tegevusluba, nt krediidivahendaja oma</w:t>
            </w:r>
            <w:r>
              <w:rPr>
                <w:sz w:val="22"/>
                <w:szCs w:val="22"/>
              </w:rPr>
              <w:t xml:space="preserve">, siis </w:t>
            </w:r>
            <w:r w:rsidRPr="00D85B8F">
              <w:rPr>
                <w:sz w:val="22"/>
                <w:szCs w:val="22"/>
              </w:rPr>
              <w:t>ei tohiks enam käesoleva seaduse rakendamine olla nende suhtes koormav kuna nad on juba Finantsinspektsiooni järelevalve all.</w:t>
            </w:r>
            <w:r>
              <w:rPr>
                <w:sz w:val="22"/>
                <w:szCs w:val="22"/>
              </w:rPr>
              <w:t xml:space="preserve"> </w:t>
            </w:r>
            <w:r w:rsidRPr="000D013B">
              <w:rPr>
                <w:b/>
                <w:bCs/>
                <w:sz w:val="22"/>
                <w:szCs w:val="22"/>
              </w:rPr>
              <w:t xml:space="preserve">Siiski teatud ulatuses halduskoormus </w:t>
            </w:r>
            <w:proofErr w:type="spellStart"/>
            <w:r w:rsidRPr="000D013B">
              <w:rPr>
                <w:b/>
                <w:bCs/>
                <w:sz w:val="22"/>
                <w:szCs w:val="22"/>
              </w:rPr>
              <w:t>ühisrahastusteenuse</w:t>
            </w:r>
            <w:proofErr w:type="spellEnd"/>
            <w:r w:rsidRPr="000D013B">
              <w:rPr>
                <w:b/>
                <w:bCs/>
                <w:sz w:val="22"/>
                <w:szCs w:val="22"/>
              </w:rPr>
              <w:t xml:space="preserve"> osutajatele kasvab.</w:t>
            </w:r>
          </w:p>
          <w:p w14:paraId="2624AE36" w14:textId="77777777" w:rsidR="005508E5" w:rsidRDefault="005508E5" w:rsidP="00E672AE">
            <w:pPr>
              <w:spacing w:before="0"/>
              <w:contextualSpacing/>
              <w:rPr>
                <w:sz w:val="22"/>
                <w:szCs w:val="22"/>
              </w:rPr>
            </w:pPr>
          </w:p>
          <w:p w14:paraId="683C1C11" w14:textId="77777777" w:rsidR="005508E5" w:rsidRDefault="005508E5" w:rsidP="00E672AE">
            <w:pPr>
              <w:spacing w:before="0"/>
              <w:contextualSpacing/>
              <w:rPr>
                <w:sz w:val="22"/>
                <w:szCs w:val="22"/>
              </w:rPr>
            </w:pPr>
            <w:proofErr w:type="spellStart"/>
            <w:r w:rsidRPr="000D013B">
              <w:rPr>
                <w:b/>
                <w:bCs/>
                <w:sz w:val="22"/>
                <w:szCs w:val="22"/>
              </w:rPr>
              <w:t>Krüptovaradega</w:t>
            </w:r>
            <w:proofErr w:type="spellEnd"/>
            <w:r w:rsidRPr="000D013B">
              <w:rPr>
                <w:b/>
                <w:bCs/>
                <w:sz w:val="22"/>
                <w:szCs w:val="22"/>
              </w:rPr>
              <w:t xml:space="preserve"> seotud teenuste osutajatel</w:t>
            </w:r>
            <w:r>
              <w:rPr>
                <w:sz w:val="22"/>
                <w:szCs w:val="22"/>
              </w:rPr>
              <w:t>, sh</w:t>
            </w:r>
            <w:r w:rsidRPr="00D85B8F">
              <w:rPr>
                <w:sz w:val="22"/>
                <w:szCs w:val="22"/>
              </w:rPr>
              <w:t xml:space="preserve"> virtuaalvääringu teenuse pakkujatel kulub eelduslikult võrreldes </w:t>
            </w:r>
            <w:proofErr w:type="spellStart"/>
            <w:r w:rsidRPr="00D85B8F">
              <w:rPr>
                <w:sz w:val="22"/>
                <w:szCs w:val="22"/>
              </w:rPr>
              <w:t>ühisrahastusteenuse</w:t>
            </w:r>
            <w:proofErr w:type="spellEnd"/>
            <w:r w:rsidRPr="00D85B8F">
              <w:rPr>
                <w:sz w:val="22"/>
                <w:szCs w:val="22"/>
              </w:rPr>
              <w:t xml:space="preserve"> osutajatega rohkem täiendavat tööjõudu ja kapitali, et oma tegevus viia kooskõlla seaduses sätestatud nõuetega. Seda põhjusel, et seni ei ole nad üldse Finantsinspektsiooni järelevalve alla kuulunud. </w:t>
            </w:r>
            <w:r>
              <w:rPr>
                <w:sz w:val="22"/>
                <w:szCs w:val="22"/>
              </w:rPr>
              <w:t xml:space="preserve">Samas 2022. a. 15. juunil jõustunud rahapesu ja terrorismi rahastamise tõkestamise seaduse muudatused nägid juba ette kõrgendatud nõuded selles sektoris tegutsemiseks, mistõttu on ka need teenuseosutajad pidanud astuma samme, et olla kooskõlas nõuetega, mis on kohati üsna samaväärsed käesoleva seaduse eelnõu nõuetega (nt kapitalinõuded, nõuded juhtide usaldusväärsusele jms). </w:t>
            </w:r>
            <w:r w:rsidRPr="000D013B">
              <w:rPr>
                <w:b/>
                <w:bCs/>
                <w:sz w:val="22"/>
                <w:szCs w:val="22"/>
              </w:rPr>
              <w:t xml:space="preserve">Samamoodi nagu </w:t>
            </w:r>
            <w:proofErr w:type="spellStart"/>
            <w:r w:rsidRPr="000D013B">
              <w:rPr>
                <w:b/>
                <w:bCs/>
                <w:sz w:val="22"/>
                <w:szCs w:val="22"/>
              </w:rPr>
              <w:t>ühisrahastusteenuse</w:t>
            </w:r>
            <w:proofErr w:type="spellEnd"/>
            <w:r w:rsidRPr="000D013B">
              <w:rPr>
                <w:b/>
                <w:bCs/>
                <w:sz w:val="22"/>
                <w:szCs w:val="22"/>
              </w:rPr>
              <w:t xml:space="preserve"> osutajatel, siis kasvab ka </w:t>
            </w:r>
            <w:proofErr w:type="spellStart"/>
            <w:r w:rsidRPr="000D013B">
              <w:rPr>
                <w:b/>
                <w:bCs/>
                <w:sz w:val="22"/>
                <w:szCs w:val="22"/>
              </w:rPr>
              <w:t>krüptovara</w:t>
            </w:r>
            <w:proofErr w:type="spellEnd"/>
            <w:r w:rsidRPr="000D013B">
              <w:rPr>
                <w:b/>
                <w:bCs/>
                <w:sz w:val="22"/>
                <w:szCs w:val="22"/>
              </w:rPr>
              <w:t xml:space="preserve"> teenuseosutajate halduskoormus ja seda tõenäoliselt suuremas ulatuses kui </w:t>
            </w:r>
            <w:proofErr w:type="spellStart"/>
            <w:r w:rsidRPr="000D013B">
              <w:rPr>
                <w:b/>
                <w:bCs/>
                <w:sz w:val="22"/>
                <w:szCs w:val="22"/>
              </w:rPr>
              <w:t>ühisrahastusteenuse</w:t>
            </w:r>
            <w:proofErr w:type="spellEnd"/>
            <w:r w:rsidRPr="000D013B">
              <w:rPr>
                <w:b/>
                <w:bCs/>
                <w:sz w:val="22"/>
                <w:szCs w:val="22"/>
              </w:rPr>
              <w:t xml:space="preserve"> osutajatel</w:t>
            </w:r>
            <w:r>
              <w:rPr>
                <w:sz w:val="22"/>
                <w:szCs w:val="22"/>
              </w:rPr>
              <w:t xml:space="preserve"> (eelkõige põhjusel, et Finantsinspektsioon ei ole seni </w:t>
            </w:r>
            <w:proofErr w:type="spellStart"/>
            <w:r>
              <w:rPr>
                <w:sz w:val="22"/>
                <w:szCs w:val="22"/>
              </w:rPr>
              <w:t>krüptovara</w:t>
            </w:r>
            <w:proofErr w:type="spellEnd"/>
            <w:r>
              <w:rPr>
                <w:sz w:val="22"/>
                <w:szCs w:val="22"/>
              </w:rPr>
              <w:t xml:space="preserve"> teenuseosutajatele tegevuslube väljastanud).</w:t>
            </w:r>
          </w:p>
          <w:p w14:paraId="650D98D5" w14:textId="77777777" w:rsidR="005508E5" w:rsidRDefault="005508E5" w:rsidP="00E672AE">
            <w:pPr>
              <w:spacing w:before="0"/>
              <w:contextualSpacing/>
              <w:rPr>
                <w:sz w:val="22"/>
                <w:szCs w:val="22"/>
              </w:rPr>
            </w:pPr>
          </w:p>
          <w:p w14:paraId="55AD095B" w14:textId="77777777" w:rsidR="005508E5" w:rsidRPr="000D013B" w:rsidRDefault="005508E5" w:rsidP="00E672AE">
            <w:pPr>
              <w:spacing w:before="0"/>
              <w:contextualSpacing/>
              <w:rPr>
                <w:b/>
                <w:bCs/>
                <w:sz w:val="22"/>
                <w:szCs w:val="22"/>
              </w:rPr>
            </w:pPr>
            <w:r w:rsidRPr="000D013B">
              <w:rPr>
                <w:b/>
                <w:bCs/>
                <w:sz w:val="22"/>
                <w:szCs w:val="22"/>
              </w:rPr>
              <w:t>Ettevõtetest rahastuse taotlejatele</w:t>
            </w:r>
            <w:r w:rsidRPr="00D85B8F">
              <w:rPr>
                <w:sz w:val="22"/>
                <w:szCs w:val="22"/>
              </w:rPr>
              <w:t xml:space="preserve"> suures plaanis midagi ei muutu, kuivõrd juba täna on neil võimalik läbi </w:t>
            </w:r>
            <w:proofErr w:type="spellStart"/>
            <w:r w:rsidRPr="00D85B8F">
              <w:rPr>
                <w:sz w:val="22"/>
                <w:szCs w:val="22"/>
              </w:rPr>
              <w:t>ühisrahastusteenuse</w:t>
            </w:r>
            <w:proofErr w:type="spellEnd"/>
            <w:r w:rsidRPr="00D85B8F">
              <w:rPr>
                <w:sz w:val="22"/>
                <w:szCs w:val="22"/>
              </w:rPr>
              <w:t xml:space="preserve"> osutajate vahendeid kaasata. Uue regulatsiooniga tekivad projektide valimise kriteeriumid, mida </w:t>
            </w:r>
            <w:proofErr w:type="spellStart"/>
            <w:r w:rsidRPr="00D85B8F">
              <w:rPr>
                <w:sz w:val="22"/>
                <w:szCs w:val="22"/>
              </w:rPr>
              <w:t>ühisrahastusteenuseosutaja</w:t>
            </w:r>
            <w:proofErr w:type="spellEnd"/>
            <w:r w:rsidRPr="00D85B8F">
              <w:rPr>
                <w:sz w:val="22"/>
                <w:szCs w:val="22"/>
              </w:rPr>
              <w:t xml:space="preserve"> peab edaspidi arvestama hakkama. Siiski teatud kohustused kaasnevad ka uue seadusega neile – eelkõige tuleb rahastuse taotlejal anda </w:t>
            </w:r>
            <w:proofErr w:type="spellStart"/>
            <w:r w:rsidRPr="00D85B8F">
              <w:rPr>
                <w:sz w:val="22"/>
                <w:szCs w:val="22"/>
              </w:rPr>
              <w:t>ühisrahastusteenuse</w:t>
            </w:r>
            <w:proofErr w:type="spellEnd"/>
            <w:r w:rsidRPr="00D85B8F">
              <w:rPr>
                <w:sz w:val="22"/>
                <w:szCs w:val="22"/>
              </w:rPr>
              <w:t xml:space="preserve"> osutajale õiget ja selget teavet investeerimisprojekti vastavalt seaduses sätestatule, hetkel ei ole sellisel kujul info andmine regulatiivselt nö standardiseeritud.</w:t>
            </w:r>
            <w:r>
              <w:rPr>
                <w:sz w:val="22"/>
                <w:szCs w:val="22"/>
              </w:rPr>
              <w:t xml:space="preserve"> </w:t>
            </w:r>
            <w:r w:rsidRPr="000D013B">
              <w:rPr>
                <w:b/>
                <w:bCs/>
                <w:sz w:val="22"/>
                <w:szCs w:val="22"/>
              </w:rPr>
              <w:t>Ehk halduskoormuse kasv rahastuste taotlejatele on pigem väike.</w:t>
            </w:r>
          </w:p>
          <w:p w14:paraId="6A4CCA10" w14:textId="77777777" w:rsidR="005508E5" w:rsidRPr="00D85B8F" w:rsidRDefault="005508E5" w:rsidP="00E672AE">
            <w:pPr>
              <w:spacing w:before="0"/>
              <w:contextualSpacing/>
              <w:rPr>
                <w:sz w:val="22"/>
                <w:szCs w:val="22"/>
              </w:rPr>
            </w:pPr>
          </w:p>
          <w:p w14:paraId="1EF0B822" w14:textId="77777777" w:rsidR="005508E5" w:rsidRDefault="005508E5" w:rsidP="00E672AE">
            <w:pPr>
              <w:spacing w:before="0"/>
              <w:contextualSpacing/>
              <w:rPr>
                <w:sz w:val="22"/>
                <w:szCs w:val="22"/>
              </w:rPr>
            </w:pPr>
            <w:r w:rsidRPr="000D013B">
              <w:rPr>
                <w:b/>
                <w:bCs/>
                <w:sz w:val="22"/>
                <w:szCs w:val="22"/>
              </w:rPr>
              <w:t>Investorite</w:t>
            </w:r>
            <w:r>
              <w:rPr>
                <w:sz w:val="22"/>
                <w:szCs w:val="22"/>
              </w:rPr>
              <w:t xml:space="preserve"> jaoks</w:t>
            </w:r>
            <w:r w:rsidRPr="00D85B8F">
              <w:rPr>
                <w:sz w:val="22"/>
                <w:szCs w:val="22"/>
              </w:rPr>
              <w:t xml:space="preserve"> </w:t>
            </w:r>
            <w:r>
              <w:rPr>
                <w:sz w:val="22"/>
                <w:szCs w:val="22"/>
              </w:rPr>
              <w:t>suureneb eelnõuga läbipaistvus</w:t>
            </w:r>
            <w:r w:rsidRPr="00D85B8F">
              <w:rPr>
                <w:sz w:val="22"/>
                <w:szCs w:val="22"/>
              </w:rPr>
              <w:t xml:space="preserve">, sh teave projektide kohta muutub hõlpsamini kättesaadavaks ja selgemaks, sellele tekivad ühetaolised nõuded, mis võimaldab investoril paremini </w:t>
            </w:r>
            <w:proofErr w:type="spellStart"/>
            <w:r w:rsidRPr="00D85B8F">
              <w:rPr>
                <w:sz w:val="22"/>
                <w:szCs w:val="22"/>
              </w:rPr>
              <w:lastRenderedPageBreak/>
              <w:t>ühisrahastusprojekte</w:t>
            </w:r>
            <w:proofErr w:type="spellEnd"/>
            <w:r w:rsidRPr="00D85B8F">
              <w:rPr>
                <w:sz w:val="22"/>
                <w:szCs w:val="22"/>
              </w:rPr>
              <w:t xml:space="preserve"> </w:t>
            </w:r>
            <w:r>
              <w:rPr>
                <w:sz w:val="22"/>
                <w:szCs w:val="22"/>
              </w:rPr>
              <w:t xml:space="preserve">ja </w:t>
            </w:r>
            <w:proofErr w:type="spellStart"/>
            <w:r>
              <w:rPr>
                <w:sz w:val="22"/>
                <w:szCs w:val="22"/>
              </w:rPr>
              <w:t>krüptovaraprojekte</w:t>
            </w:r>
            <w:proofErr w:type="spellEnd"/>
            <w:r>
              <w:rPr>
                <w:sz w:val="22"/>
                <w:szCs w:val="22"/>
              </w:rPr>
              <w:t xml:space="preserve"> </w:t>
            </w:r>
            <w:r w:rsidRPr="00D85B8F">
              <w:rPr>
                <w:sz w:val="22"/>
                <w:szCs w:val="22"/>
              </w:rPr>
              <w:t xml:space="preserve">omavahel võrrelda. </w:t>
            </w:r>
            <w:r w:rsidRPr="000D013B">
              <w:rPr>
                <w:b/>
                <w:bCs/>
                <w:sz w:val="22"/>
                <w:szCs w:val="22"/>
              </w:rPr>
              <w:t>Kokkuvõttes paraneb eelnõuga investorite jaoks kindlus, et nende vahendid on nö piisavalt kaitstud.</w:t>
            </w:r>
            <w:r w:rsidRPr="00D85B8F">
              <w:rPr>
                <w:sz w:val="22"/>
                <w:szCs w:val="22"/>
              </w:rPr>
              <w:t xml:space="preserve"> </w:t>
            </w:r>
          </w:p>
          <w:p w14:paraId="13D4AE8C" w14:textId="77777777" w:rsidR="005508E5" w:rsidRDefault="005508E5" w:rsidP="00E672AE">
            <w:pPr>
              <w:spacing w:before="0"/>
              <w:rPr>
                <w:b/>
                <w:sz w:val="22"/>
                <w:szCs w:val="22"/>
              </w:rPr>
            </w:pPr>
          </w:p>
        </w:tc>
      </w:tr>
    </w:tbl>
    <w:p w14:paraId="5D3DD8B1" w14:textId="77777777" w:rsidR="005508E5" w:rsidRPr="005D3D7B" w:rsidRDefault="005508E5" w:rsidP="005508E5">
      <w:pPr>
        <w:spacing w:before="0"/>
        <w:rPr>
          <w:sz w:val="22"/>
          <w:szCs w:val="22"/>
        </w:rPr>
      </w:pPr>
    </w:p>
    <w:p w14:paraId="28AEDBBD" w14:textId="77777777" w:rsidR="005508E5" w:rsidRDefault="005508E5" w:rsidP="002B2C7C">
      <w:pPr>
        <w:pStyle w:val="Heading1"/>
        <w:numPr>
          <w:ilvl w:val="0"/>
          <w:numId w:val="45"/>
        </w:numPr>
        <w:ind w:left="567" w:hanging="567"/>
        <w:rPr>
          <w:sz w:val="22"/>
          <w:szCs w:val="22"/>
          <w:lang w:val="et-EE"/>
        </w:rPr>
      </w:pPr>
      <w:r w:rsidRPr="005D3D7B">
        <w:rPr>
          <w:sz w:val="22"/>
          <w:szCs w:val="22"/>
          <w:lang w:val="et-EE"/>
        </w:rPr>
        <w:t>Seaduse rakendamisega seotud riigi ja kohaliku omavalitsuse tegevused, eeldatavad kulud ja tulud</w:t>
      </w:r>
    </w:p>
    <w:p w14:paraId="5730A88B" w14:textId="77777777" w:rsidR="005508E5" w:rsidRPr="005D3D7B" w:rsidRDefault="005508E5" w:rsidP="005508E5">
      <w:pPr>
        <w:spacing w:before="0"/>
        <w:ind w:right="71"/>
        <w:rPr>
          <w:sz w:val="22"/>
          <w:szCs w:val="22"/>
          <w:lang w:eastAsia="en-US"/>
        </w:rPr>
      </w:pPr>
    </w:p>
    <w:p w14:paraId="00BEAFE5" w14:textId="77777777" w:rsidR="005508E5" w:rsidRDefault="005508E5" w:rsidP="005508E5">
      <w:pPr>
        <w:spacing w:before="0"/>
        <w:ind w:right="71"/>
        <w:rPr>
          <w:sz w:val="22"/>
          <w:szCs w:val="22"/>
          <w:lang w:eastAsia="en-US"/>
        </w:rPr>
      </w:pPr>
      <w:r>
        <w:rPr>
          <w:sz w:val="22"/>
          <w:szCs w:val="22"/>
          <w:lang w:eastAsia="en-US"/>
        </w:rPr>
        <w:t xml:space="preserve">Seaduse rakendamisel puuduvad mõjud riigi ja kohaliku omavalitsuste tegevustele. </w:t>
      </w:r>
    </w:p>
    <w:p w14:paraId="2E6E9E0A" w14:textId="77777777" w:rsidR="005508E5" w:rsidRDefault="005508E5" w:rsidP="005508E5">
      <w:pPr>
        <w:spacing w:before="0"/>
        <w:ind w:right="71"/>
        <w:rPr>
          <w:sz w:val="22"/>
          <w:szCs w:val="22"/>
          <w:lang w:eastAsia="en-US"/>
        </w:rPr>
      </w:pPr>
    </w:p>
    <w:p w14:paraId="64B1A1CD" w14:textId="3DF1C2B1" w:rsidR="005508E5" w:rsidRDefault="005508E5" w:rsidP="005508E5">
      <w:pPr>
        <w:spacing w:before="0"/>
        <w:ind w:right="71"/>
        <w:rPr>
          <w:sz w:val="22"/>
          <w:szCs w:val="22"/>
          <w:lang w:eastAsia="en-US"/>
        </w:rPr>
      </w:pPr>
      <w:r w:rsidRPr="00067D5A">
        <w:rPr>
          <w:sz w:val="22"/>
          <w:szCs w:val="22"/>
          <w:lang w:eastAsia="en-US"/>
        </w:rPr>
        <w:t xml:space="preserve">Seda kas seaduse vastuvõtmise tulemusena tekib kulude kokkuhoid riigieelarve tähenduses on keeruline hinnata (vt eespool märgitut). Tõenäoliselt riigieelarve mõttes kulud ei vähene – </w:t>
      </w:r>
      <w:proofErr w:type="spellStart"/>
      <w:r w:rsidRPr="00067D5A">
        <w:rPr>
          <w:sz w:val="22"/>
          <w:szCs w:val="22"/>
          <w:lang w:eastAsia="en-US"/>
        </w:rPr>
        <w:t>RABi</w:t>
      </w:r>
      <w:proofErr w:type="spellEnd"/>
      <w:r w:rsidRPr="00067D5A">
        <w:rPr>
          <w:sz w:val="22"/>
          <w:szCs w:val="22"/>
          <w:lang w:eastAsia="en-US"/>
        </w:rPr>
        <w:t xml:space="preserve"> sees toimuvad ilmselt teatud struktuursed ümberkorraldused, kuid need ei too kaasa kulude vähenemist.</w:t>
      </w:r>
    </w:p>
    <w:p w14:paraId="7EC6DD22" w14:textId="77777777" w:rsidR="005508E5" w:rsidRDefault="005508E5" w:rsidP="005508E5">
      <w:pPr>
        <w:spacing w:before="0"/>
        <w:ind w:right="71"/>
      </w:pPr>
    </w:p>
    <w:bookmarkEnd w:id="43"/>
    <w:p w14:paraId="26989862" w14:textId="77777777" w:rsidR="008876BD" w:rsidRPr="008876BD" w:rsidRDefault="008876BD" w:rsidP="00D375E5">
      <w:pPr>
        <w:spacing w:before="0"/>
        <w:rPr>
          <w:lang w:eastAsia="en-US"/>
        </w:rPr>
      </w:pPr>
    </w:p>
    <w:p w14:paraId="28186CBF" w14:textId="6DB19173" w:rsidR="008C3E70" w:rsidRDefault="00B9578A" w:rsidP="002B2C7C">
      <w:pPr>
        <w:pStyle w:val="Heading1"/>
        <w:numPr>
          <w:ilvl w:val="0"/>
          <w:numId w:val="45"/>
        </w:numPr>
        <w:ind w:left="567" w:hanging="567"/>
        <w:rPr>
          <w:sz w:val="22"/>
          <w:szCs w:val="22"/>
          <w:lang w:val="et-EE"/>
        </w:rPr>
      </w:pPr>
      <w:bookmarkStart w:id="45" w:name="_Toc55577757"/>
      <w:r w:rsidRPr="005D3D7B">
        <w:rPr>
          <w:sz w:val="22"/>
          <w:szCs w:val="22"/>
          <w:lang w:val="et-EE"/>
        </w:rPr>
        <w:t>Rakendusaktid</w:t>
      </w:r>
      <w:bookmarkEnd w:id="45"/>
    </w:p>
    <w:p w14:paraId="4C10906F" w14:textId="77777777" w:rsidR="008C3E70" w:rsidRPr="005D3D7B" w:rsidRDefault="008C3E70" w:rsidP="00D375E5">
      <w:pPr>
        <w:spacing w:before="0"/>
        <w:jc w:val="left"/>
        <w:rPr>
          <w:sz w:val="22"/>
          <w:szCs w:val="22"/>
          <w:lang w:eastAsia="en-US"/>
        </w:rPr>
      </w:pPr>
    </w:p>
    <w:p w14:paraId="65D0BF6D" w14:textId="7BCFEFFC" w:rsidR="009D2267" w:rsidRDefault="009D2267" w:rsidP="002B2C7C">
      <w:pPr>
        <w:numPr>
          <w:ilvl w:val="0"/>
          <w:numId w:val="26"/>
        </w:numPr>
        <w:ind w:left="567" w:hanging="567"/>
        <w:rPr>
          <w:sz w:val="22"/>
          <w:szCs w:val="22"/>
        </w:rPr>
      </w:pPr>
      <w:r w:rsidRPr="00BA010E">
        <w:rPr>
          <w:rStyle w:val="Heading8Char"/>
          <w:color w:val="auto"/>
          <w:sz w:val="22"/>
          <w:szCs w:val="22"/>
        </w:rPr>
        <w:t>Valdkonna eest vastutav minister</w:t>
      </w:r>
      <w:r w:rsidRPr="00B82ABA">
        <w:rPr>
          <w:sz w:val="22"/>
          <w:szCs w:val="22"/>
        </w:rPr>
        <w:t> võib kehtestada määruse, milles täpsustatakse Finantsinspektsioonile esitatavaid käesoleva paragrahvi lõikes 1 nimetatud andmeid ja dokumente</w:t>
      </w:r>
      <w:r w:rsidR="00B82ABA" w:rsidRPr="00B56568">
        <w:rPr>
          <w:sz w:val="22"/>
          <w:szCs w:val="22"/>
        </w:rPr>
        <w:t xml:space="preserve"> (§ </w:t>
      </w:r>
      <w:r w:rsidR="00765833">
        <w:rPr>
          <w:sz w:val="22"/>
          <w:szCs w:val="22"/>
        </w:rPr>
        <w:t>20</w:t>
      </w:r>
      <w:r w:rsidR="00B82ABA" w:rsidRPr="00B56568">
        <w:rPr>
          <w:sz w:val="22"/>
          <w:szCs w:val="22"/>
        </w:rPr>
        <w:t xml:space="preserve"> lg </w:t>
      </w:r>
      <w:r w:rsidR="007A32B8">
        <w:rPr>
          <w:sz w:val="22"/>
          <w:szCs w:val="22"/>
        </w:rPr>
        <w:t>5</w:t>
      </w:r>
      <w:r w:rsidR="00B82ABA" w:rsidRPr="00B56568">
        <w:rPr>
          <w:sz w:val="22"/>
          <w:szCs w:val="22"/>
        </w:rPr>
        <w:t>)</w:t>
      </w:r>
      <w:r w:rsidRPr="00B56568">
        <w:rPr>
          <w:sz w:val="22"/>
          <w:szCs w:val="22"/>
        </w:rPr>
        <w:t>.</w:t>
      </w:r>
    </w:p>
    <w:p w14:paraId="7FAC3302" w14:textId="497947B1" w:rsidR="007A32B8" w:rsidRPr="007A32B8" w:rsidRDefault="007A32B8" w:rsidP="002B2C7C">
      <w:pPr>
        <w:numPr>
          <w:ilvl w:val="0"/>
          <w:numId w:val="26"/>
        </w:numPr>
        <w:ind w:left="567" w:hanging="567"/>
        <w:rPr>
          <w:sz w:val="22"/>
          <w:szCs w:val="22"/>
        </w:rPr>
      </w:pPr>
      <w:r w:rsidRPr="007A32B8">
        <w:rPr>
          <w:color w:val="202020"/>
          <w:sz w:val="22"/>
          <w:szCs w:val="22"/>
        </w:rPr>
        <w:t>Valdkonna eest vastutav minister võib kehtestada määrusega täpsemad nõuded andmete registreerimisele ja säilitamisele (§ 34 lg 8).</w:t>
      </w:r>
    </w:p>
    <w:p w14:paraId="4CC039C0" w14:textId="35B0AC56" w:rsidR="007A32B8" w:rsidRPr="00C868B8" w:rsidRDefault="007A32B8" w:rsidP="002B2C7C">
      <w:pPr>
        <w:numPr>
          <w:ilvl w:val="0"/>
          <w:numId w:val="26"/>
        </w:numPr>
        <w:ind w:left="567" w:hanging="567"/>
        <w:rPr>
          <w:sz w:val="22"/>
          <w:szCs w:val="22"/>
        </w:rPr>
      </w:pPr>
      <w:r w:rsidRPr="00C868B8">
        <w:rPr>
          <w:color w:val="000000" w:themeColor="text1"/>
          <w:sz w:val="22"/>
          <w:szCs w:val="22"/>
        </w:rPr>
        <w:t>Valdkonna eest vastutav minister võib määrusega kehtestada täpsemad nõuded finantsvahendusplatvormil tehingute tegemise kohta (§ 40 lg 10).</w:t>
      </w:r>
    </w:p>
    <w:p w14:paraId="30F3E340" w14:textId="4769D7BD" w:rsidR="007A32B8" w:rsidRPr="00C868B8" w:rsidRDefault="007A32B8" w:rsidP="002B2C7C">
      <w:pPr>
        <w:numPr>
          <w:ilvl w:val="0"/>
          <w:numId w:val="26"/>
        </w:numPr>
        <w:ind w:left="567" w:hanging="567"/>
        <w:rPr>
          <w:color w:val="000000" w:themeColor="text1"/>
          <w:sz w:val="22"/>
          <w:szCs w:val="22"/>
        </w:rPr>
      </w:pPr>
      <w:r w:rsidRPr="00C868B8">
        <w:rPr>
          <w:color w:val="000000" w:themeColor="text1"/>
          <w:sz w:val="22"/>
          <w:szCs w:val="22"/>
        </w:rPr>
        <w:t>Valdkonna eest vastutav minister võib määrusega kehtestada täpsemad nõuded kaebuste käsitlemisele ja standardiseeritud kaebuse esitamise dokumendipõhjale (§ 42 lg 7).</w:t>
      </w:r>
    </w:p>
    <w:p w14:paraId="42865433" w14:textId="6FA04D2E" w:rsidR="007A32B8" w:rsidRPr="00C868B8" w:rsidRDefault="007A32B8" w:rsidP="002B2C7C">
      <w:pPr>
        <w:numPr>
          <w:ilvl w:val="0"/>
          <w:numId w:val="26"/>
        </w:numPr>
        <w:ind w:left="567" w:hanging="567"/>
        <w:rPr>
          <w:color w:val="000000" w:themeColor="text1"/>
          <w:sz w:val="22"/>
          <w:szCs w:val="22"/>
        </w:rPr>
      </w:pPr>
      <w:r w:rsidRPr="00C868B8">
        <w:rPr>
          <w:sz w:val="22"/>
          <w:szCs w:val="22"/>
        </w:rPr>
        <w:t>Valdkonna eest vastutav minister võib määrusega kehtestada info- ja kommunikatsioonitehnoloogiaga seotud riskide juhtimisele ja intsidentidest teavitamisele täpsemad nõuded (§ 44 lg 6).</w:t>
      </w:r>
    </w:p>
    <w:p w14:paraId="608F7686" w14:textId="0FCF1AAC" w:rsidR="009D2267" w:rsidRPr="00C868B8" w:rsidRDefault="009D2267" w:rsidP="002B2C7C">
      <w:pPr>
        <w:numPr>
          <w:ilvl w:val="0"/>
          <w:numId w:val="26"/>
        </w:numPr>
        <w:ind w:left="567" w:hanging="567"/>
        <w:rPr>
          <w:sz w:val="22"/>
          <w:szCs w:val="22"/>
        </w:rPr>
      </w:pPr>
      <w:r w:rsidRPr="00C868B8">
        <w:rPr>
          <w:sz w:val="22"/>
          <w:szCs w:val="22"/>
        </w:rPr>
        <w:t xml:space="preserve">Valdkonna eest vastutav minister võib määrusega kehtestada </w:t>
      </w:r>
      <w:r w:rsidR="00974BA5" w:rsidRPr="00C868B8">
        <w:rPr>
          <w:sz w:val="22"/>
          <w:szCs w:val="22"/>
        </w:rPr>
        <w:t xml:space="preserve">täiendavalt avalikustamisele kuuluvate andmete loetelu, aruannete vormid ja koostamise metoodika ning avalikustamise tähtajad </w:t>
      </w:r>
      <w:r w:rsidR="00B82ABA" w:rsidRPr="00C868B8">
        <w:rPr>
          <w:sz w:val="22"/>
          <w:szCs w:val="22"/>
        </w:rPr>
        <w:t>(§ 4</w:t>
      </w:r>
      <w:r w:rsidR="007A32B8" w:rsidRPr="00C868B8">
        <w:rPr>
          <w:sz w:val="22"/>
          <w:szCs w:val="22"/>
        </w:rPr>
        <w:t>7</w:t>
      </w:r>
      <w:r w:rsidR="00B82ABA" w:rsidRPr="00C868B8">
        <w:rPr>
          <w:sz w:val="22"/>
          <w:szCs w:val="22"/>
        </w:rPr>
        <w:t xml:space="preserve"> lg </w:t>
      </w:r>
      <w:r w:rsidR="007A32B8" w:rsidRPr="00C868B8">
        <w:rPr>
          <w:sz w:val="22"/>
          <w:szCs w:val="22"/>
        </w:rPr>
        <w:t>4</w:t>
      </w:r>
      <w:r w:rsidR="00B82ABA" w:rsidRPr="00C868B8">
        <w:rPr>
          <w:sz w:val="22"/>
          <w:szCs w:val="22"/>
        </w:rPr>
        <w:t>)</w:t>
      </w:r>
      <w:r w:rsidRPr="00C868B8">
        <w:rPr>
          <w:sz w:val="22"/>
          <w:szCs w:val="22"/>
        </w:rPr>
        <w:t>.</w:t>
      </w:r>
    </w:p>
    <w:p w14:paraId="53B74B0E" w14:textId="249ACCD5" w:rsidR="004B79DE" w:rsidRPr="00C868B8" w:rsidRDefault="004B79DE" w:rsidP="002B2C7C">
      <w:pPr>
        <w:numPr>
          <w:ilvl w:val="0"/>
          <w:numId w:val="26"/>
        </w:numPr>
        <w:ind w:left="567" w:hanging="567"/>
        <w:rPr>
          <w:sz w:val="22"/>
          <w:szCs w:val="22"/>
        </w:rPr>
      </w:pPr>
      <w:r w:rsidRPr="00C868B8">
        <w:rPr>
          <w:color w:val="000000" w:themeColor="text1"/>
          <w:sz w:val="22"/>
          <w:szCs w:val="22"/>
        </w:rPr>
        <w:t>Valdkonna eest vastutav minister võib määrusega kehtestada täpsemad nõuded investeerimisprojekti pakkumise kohta avalikustatavale teabele (§ 49 lg 2).</w:t>
      </w:r>
    </w:p>
    <w:p w14:paraId="04EAADCE" w14:textId="66A0EF00" w:rsidR="009D2267" w:rsidRPr="00C868B8" w:rsidRDefault="009D2267" w:rsidP="002B2C7C">
      <w:pPr>
        <w:numPr>
          <w:ilvl w:val="0"/>
          <w:numId w:val="26"/>
        </w:numPr>
        <w:ind w:left="567" w:hanging="567"/>
        <w:rPr>
          <w:sz w:val="22"/>
          <w:szCs w:val="22"/>
        </w:rPr>
      </w:pPr>
      <w:r w:rsidRPr="00C868B8">
        <w:rPr>
          <w:sz w:val="22"/>
          <w:szCs w:val="22"/>
        </w:rPr>
        <w:t>Valdkonna eest vastutav minister võib määrusega kehtestada täiendavad tehingute kohta käivate andmete avalikustamise nõuded, sealhulgas käe</w:t>
      </w:r>
      <w:r w:rsidRPr="007F70E6">
        <w:rPr>
          <w:sz w:val="22"/>
          <w:szCs w:val="22"/>
        </w:rPr>
        <w:t>soleva §-i lõikes 1 nimetatud andmete avalikustamise sageduse</w:t>
      </w:r>
      <w:r w:rsidR="00B82ABA" w:rsidRPr="007F70E6">
        <w:rPr>
          <w:sz w:val="22"/>
          <w:szCs w:val="22"/>
        </w:rPr>
        <w:t xml:space="preserve"> (§ </w:t>
      </w:r>
      <w:r w:rsidR="004B79DE" w:rsidRPr="007F70E6">
        <w:rPr>
          <w:sz w:val="22"/>
          <w:szCs w:val="22"/>
        </w:rPr>
        <w:t>51</w:t>
      </w:r>
      <w:r w:rsidR="00B82ABA" w:rsidRPr="00C868B8">
        <w:rPr>
          <w:sz w:val="22"/>
          <w:szCs w:val="22"/>
        </w:rPr>
        <w:t xml:space="preserve"> lg 3)</w:t>
      </w:r>
      <w:r w:rsidRPr="00C868B8">
        <w:rPr>
          <w:sz w:val="22"/>
          <w:szCs w:val="22"/>
        </w:rPr>
        <w:t>.</w:t>
      </w:r>
    </w:p>
    <w:p w14:paraId="4913C5DB" w14:textId="2B6175F1" w:rsidR="009D2267" w:rsidRPr="00C868B8" w:rsidRDefault="00974BA5" w:rsidP="002B2C7C">
      <w:pPr>
        <w:numPr>
          <w:ilvl w:val="0"/>
          <w:numId w:val="26"/>
        </w:numPr>
        <w:ind w:left="567" w:hanging="567"/>
        <w:rPr>
          <w:sz w:val="22"/>
          <w:szCs w:val="22"/>
        </w:rPr>
      </w:pPr>
      <w:r w:rsidRPr="00C868B8">
        <w:rPr>
          <w:sz w:val="22"/>
          <w:szCs w:val="22"/>
        </w:rPr>
        <w:t xml:space="preserve">Valdkonna eest vastutav minister võib määrusega kehtestada täiendavad nõuded </w:t>
      </w:r>
      <w:r w:rsidR="009D2267" w:rsidRPr="00C868B8">
        <w:rPr>
          <w:sz w:val="22"/>
          <w:szCs w:val="22"/>
        </w:rPr>
        <w:t>investeerimis</w:t>
      </w:r>
      <w:r w:rsidR="004B79DE" w:rsidRPr="00C868B8">
        <w:rPr>
          <w:sz w:val="22"/>
          <w:szCs w:val="22"/>
        </w:rPr>
        <w:t>projekti</w:t>
      </w:r>
      <w:r w:rsidR="009D2267" w:rsidRPr="00C868B8">
        <w:rPr>
          <w:sz w:val="22"/>
          <w:szCs w:val="22"/>
        </w:rPr>
        <w:t xml:space="preserve"> tulususe või tootluse garanteerimisele või tagasiostugarantii rakendamisele, sealhulgas garantiifondi tingimuste kohta</w:t>
      </w:r>
      <w:r w:rsidR="00B82ABA" w:rsidRPr="00C868B8">
        <w:rPr>
          <w:sz w:val="22"/>
          <w:szCs w:val="22"/>
        </w:rPr>
        <w:t xml:space="preserve"> (§ </w:t>
      </w:r>
      <w:r w:rsidR="004B79DE" w:rsidRPr="00C868B8">
        <w:rPr>
          <w:sz w:val="22"/>
          <w:szCs w:val="22"/>
        </w:rPr>
        <w:t>63</w:t>
      </w:r>
      <w:r w:rsidR="00B82ABA" w:rsidRPr="00C868B8">
        <w:rPr>
          <w:sz w:val="22"/>
          <w:szCs w:val="22"/>
        </w:rPr>
        <w:t xml:space="preserve"> lg </w:t>
      </w:r>
      <w:r w:rsidR="004B79DE" w:rsidRPr="00C868B8">
        <w:rPr>
          <w:sz w:val="22"/>
          <w:szCs w:val="22"/>
        </w:rPr>
        <w:t>8</w:t>
      </w:r>
      <w:r w:rsidR="00B82ABA" w:rsidRPr="00C868B8">
        <w:rPr>
          <w:sz w:val="22"/>
          <w:szCs w:val="22"/>
        </w:rPr>
        <w:t>)</w:t>
      </w:r>
      <w:r w:rsidR="009D2267" w:rsidRPr="00C868B8">
        <w:rPr>
          <w:sz w:val="22"/>
          <w:szCs w:val="22"/>
        </w:rPr>
        <w:t>.</w:t>
      </w:r>
    </w:p>
    <w:p w14:paraId="5C7DFDCE" w14:textId="13E85F47" w:rsidR="009D2267" w:rsidRPr="00C868B8" w:rsidRDefault="009D2267" w:rsidP="002B2C7C">
      <w:pPr>
        <w:numPr>
          <w:ilvl w:val="0"/>
          <w:numId w:val="26"/>
        </w:numPr>
        <w:ind w:left="567" w:hanging="567"/>
        <w:rPr>
          <w:sz w:val="22"/>
          <w:szCs w:val="22"/>
        </w:rPr>
      </w:pPr>
      <w:r w:rsidRPr="00C868B8">
        <w:rPr>
          <w:sz w:val="22"/>
          <w:szCs w:val="22"/>
        </w:rPr>
        <w:t xml:space="preserve">Valdkonna eest vastutav minister võib määrusega kehtestada täpsemad nõuded eelseadistatud investeerimise, eelkõige volituse andmisel kasutatavate kriteeriumite ja </w:t>
      </w:r>
      <w:r w:rsidR="004A5F19">
        <w:rPr>
          <w:sz w:val="22"/>
          <w:szCs w:val="22"/>
        </w:rPr>
        <w:t>kliendile</w:t>
      </w:r>
      <w:r w:rsidRPr="00C868B8">
        <w:rPr>
          <w:sz w:val="22"/>
          <w:szCs w:val="22"/>
        </w:rPr>
        <w:t xml:space="preserve"> asjakohase teabe andmise kohta</w:t>
      </w:r>
      <w:r w:rsidR="00B82ABA" w:rsidRPr="00C868B8">
        <w:rPr>
          <w:sz w:val="22"/>
          <w:szCs w:val="22"/>
        </w:rPr>
        <w:t xml:space="preserve"> (§ </w:t>
      </w:r>
      <w:r w:rsidR="00C868B8" w:rsidRPr="00C868B8">
        <w:rPr>
          <w:sz w:val="22"/>
          <w:szCs w:val="22"/>
        </w:rPr>
        <w:t>64</w:t>
      </w:r>
      <w:r w:rsidR="00B82ABA" w:rsidRPr="00C868B8">
        <w:rPr>
          <w:sz w:val="22"/>
          <w:szCs w:val="22"/>
        </w:rPr>
        <w:t xml:space="preserve"> lg </w:t>
      </w:r>
      <w:r w:rsidR="00C868B8" w:rsidRPr="00C868B8">
        <w:rPr>
          <w:sz w:val="22"/>
          <w:szCs w:val="22"/>
        </w:rPr>
        <w:t>7</w:t>
      </w:r>
      <w:r w:rsidR="00B82ABA" w:rsidRPr="00C868B8">
        <w:rPr>
          <w:sz w:val="22"/>
          <w:szCs w:val="22"/>
        </w:rPr>
        <w:t>)</w:t>
      </w:r>
      <w:r w:rsidRPr="00C868B8">
        <w:rPr>
          <w:sz w:val="22"/>
          <w:szCs w:val="22"/>
        </w:rPr>
        <w:t>.</w:t>
      </w:r>
      <w:r w:rsidR="00527EFB" w:rsidRPr="00C868B8">
        <w:rPr>
          <w:sz w:val="22"/>
          <w:szCs w:val="22"/>
        </w:rPr>
        <w:t xml:space="preserve"> </w:t>
      </w:r>
    </w:p>
    <w:p w14:paraId="654FA70F" w14:textId="7CB1FC79" w:rsidR="009D2267" w:rsidRPr="00C868B8" w:rsidRDefault="009D2267" w:rsidP="002B2C7C">
      <w:pPr>
        <w:numPr>
          <w:ilvl w:val="0"/>
          <w:numId w:val="26"/>
        </w:numPr>
        <w:ind w:left="567" w:hanging="567"/>
        <w:rPr>
          <w:sz w:val="22"/>
          <w:szCs w:val="22"/>
        </w:rPr>
      </w:pPr>
      <w:r w:rsidRPr="00C868B8">
        <w:rPr>
          <w:sz w:val="22"/>
          <w:szCs w:val="22"/>
        </w:rPr>
        <w:t>Täpsemad nõuded põhiteabedokumendile ja selles sisalduvate andmete loetelule kehtestab valdkonna eest vastutav minister määrusega</w:t>
      </w:r>
      <w:r w:rsidR="00B82ABA" w:rsidRPr="00C868B8">
        <w:rPr>
          <w:sz w:val="22"/>
          <w:szCs w:val="22"/>
        </w:rPr>
        <w:t xml:space="preserve"> (§ </w:t>
      </w:r>
      <w:r w:rsidR="00C868B8" w:rsidRPr="00C868B8">
        <w:rPr>
          <w:sz w:val="22"/>
          <w:szCs w:val="22"/>
        </w:rPr>
        <w:t>66</w:t>
      </w:r>
      <w:r w:rsidR="00B82ABA" w:rsidRPr="00C868B8">
        <w:rPr>
          <w:sz w:val="22"/>
          <w:szCs w:val="22"/>
        </w:rPr>
        <w:t xml:space="preserve"> lg 11)</w:t>
      </w:r>
      <w:r w:rsidRPr="00C868B8">
        <w:rPr>
          <w:sz w:val="22"/>
          <w:szCs w:val="22"/>
        </w:rPr>
        <w:t>.</w:t>
      </w:r>
    </w:p>
    <w:p w14:paraId="01933C6F" w14:textId="32BA8635" w:rsidR="00C868B8" w:rsidRPr="00C868B8" w:rsidRDefault="00C868B8" w:rsidP="002B2C7C">
      <w:pPr>
        <w:numPr>
          <w:ilvl w:val="0"/>
          <w:numId w:val="26"/>
        </w:numPr>
        <w:ind w:left="567" w:hanging="567"/>
        <w:rPr>
          <w:sz w:val="22"/>
          <w:szCs w:val="22"/>
        </w:rPr>
      </w:pPr>
      <w:r w:rsidRPr="00C868B8">
        <w:rPr>
          <w:sz w:val="22"/>
          <w:szCs w:val="22"/>
        </w:rPr>
        <w:t>Majandusaasta püsivate üldkulude arvutamise põhimõtted kehtestab valdkonna eest vastutav minister määrusega (§ 73 lg 5).</w:t>
      </w:r>
    </w:p>
    <w:p w14:paraId="672C4308" w14:textId="67F22059" w:rsidR="009D2267" w:rsidRPr="00C868B8" w:rsidRDefault="009D2267" w:rsidP="002B2C7C">
      <w:pPr>
        <w:numPr>
          <w:ilvl w:val="0"/>
          <w:numId w:val="26"/>
        </w:numPr>
        <w:ind w:left="567" w:hanging="567"/>
        <w:rPr>
          <w:sz w:val="22"/>
          <w:szCs w:val="22"/>
        </w:rPr>
      </w:pPr>
      <w:r w:rsidRPr="00C868B8">
        <w:rPr>
          <w:sz w:val="22"/>
          <w:szCs w:val="22"/>
        </w:rPr>
        <w:t>Valdkonna eest vastutav minister võib määrusega kehtestada teenuseosutajale täpsemad vara hoidmise nõuded</w:t>
      </w:r>
      <w:r w:rsidR="00B82ABA" w:rsidRPr="00C868B8">
        <w:rPr>
          <w:sz w:val="22"/>
          <w:szCs w:val="22"/>
        </w:rPr>
        <w:t xml:space="preserve"> (§ </w:t>
      </w:r>
      <w:r w:rsidR="00C243F1" w:rsidRPr="00C868B8">
        <w:rPr>
          <w:sz w:val="22"/>
          <w:szCs w:val="22"/>
        </w:rPr>
        <w:t>74</w:t>
      </w:r>
      <w:r w:rsidR="00B82ABA" w:rsidRPr="00C868B8">
        <w:rPr>
          <w:sz w:val="22"/>
          <w:szCs w:val="22"/>
        </w:rPr>
        <w:t xml:space="preserve"> lg 7)</w:t>
      </w:r>
      <w:r w:rsidRPr="00C868B8">
        <w:rPr>
          <w:sz w:val="22"/>
          <w:szCs w:val="22"/>
        </w:rPr>
        <w:t>.</w:t>
      </w:r>
    </w:p>
    <w:p w14:paraId="23240F79" w14:textId="5F6EA51D" w:rsidR="00C243F1" w:rsidRPr="00C868B8" w:rsidRDefault="00C243F1" w:rsidP="002B2C7C">
      <w:pPr>
        <w:numPr>
          <w:ilvl w:val="0"/>
          <w:numId w:val="26"/>
        </w:numPr>
        <w:ind w:left="567" w:hanging="567"/>
        <w:rPr>
          <w:sz w:val="22"/>
          <w:szCs w:val="22"/>
        </w:rPr>
      </w:pPr>
      <w:r w:rsidRPr="00C868B8">
        <w:rPr>
          <w:sz w:val="22"/>
          <w:szCs w:val="22"/>
        </w:rPr>
        <w:t>Finantsinspektsioonile esitavate aruannete sisu, vormid, koostamise metoodika ja esitamise korra kehtestab valdkonna eest vastutav minister määrusega (§ 76 lg 6).</w:t>
      </w:r>
    </w:p>
    <w:p w14:paraId="32C12E3D" w14:textId="68CE47A9" w:rsidR="00C868B8" w:rsidRPr="00C868B8" w:rsidRDefault="00C868B8" w:rsidP="002B2C7C">
      <w:pPr>
        <w:numPr>
          <w:ilvl w:val="0"/>
          <w:numId w:val="26"/>
        </w:numPr>
        <w:ind w:left="567" w:hanging="567"/>
        <w:rPr>
          <w:sz w:val="22"/>
          <w:szCs w:val="22"/>
        </w:rPr>
      </w:pPr>
      <w:r w:rsidRPr="00C868B8">
        <w:rPr>
          <w:bCs/>
          <w:sz w:val="22"/>
          <w:szCs w:val="22"/>
        </w:rPr>
        <w:lastRenderedPageBreak/>
        <w:t xml:space="preserve">Valdkonna eest </w:t>
      </w:r>
      <w:proofErr w:type="spellStart"/>
      <w:r w:rsidRPr="00C868B8">
        <w:rPr>
          <w:bCs/>
          <w:sz w:val="22"/>
          <w:szCs w:val="22"/>
        </w:rPr>
        <w:t>vasutav</w:t>
      </w:r>
      <w:proofErr w:type="spellEnd"/>
      <w:r w:rsidRPr="00C868B8">
        <w:rPr>
          <w:bCs/>
          <w:sz w:val="22"/>
          <w:szCs w:val="22"/>
        </w:rPr>
        <w:t xml:space="preserve"> minister võib kehtestada määrusega täpsemad nõuded käesoleva paragrahvi lõikes 4</w:t>
      </w:r>
      <w:r w:rsidRPr="00C868B8">
        <w:rPr>
          <w:bCs/>
          <w:sz w:val="22"/>
          <w:szCs w:val="22"/>
          <w:vertAlign w:val="superscript"/>
        </w:rPr>
        <w:t>1</w:t>
      </w:r>
      <w:r w:rsidRPr="00C868B8">
        <w:rPr>
          <w:bCs/>
          <w:sz w:val="22"/>
          <w:szCs w:val="22"/>
        </w:rPr>
        <w:t xml:space="preserve"> sätestatud vara registreerimisele ja nendega tehingute tegemisele </w:t>
      </w:r>
      <w:proofErr w:type="spellStart"/>
      <w:r w:rsidRPr="00C868B8">
        <w:rPr>
          <w:bCs/>
          <w:sz w:val="22"/>
          <w:szCs w:val="22"/>
        </w:rPr>
        <w:t>keskdepositooriumis</w:t>
      </w:r>
      <w:proofErr w:type="spellEnd"/>
      <w:r w:rsidRPr="00C868B8">
        <w:rPr>
          <w:bCs/>
          <w:sz w:val="22"/>
          <w:szCs w:val="22"/>
        </w:rPr>
        <w:t>.“ (§ 130 p 2).</w:t>
      </w:r>
    </w:p>
    <w:p w14:paraId="3BF79119" w14:textId="016FF4AF" w:rsidR="008C3E70" w:rsidRDefault="008C3E70" w:rsidP="00D375E5">
      <w:pPr>
        <w:spacing w:before="0"/>
        <w:rPr>
          <w:sz w:val="22"/>
          <w:szCs w:val="22"/>
          <w:lang w:eastAsia="en-US"/>
        </w:rPr>
      </w:pPr>
    </w:p>
    <w:p w14:paraId="3F0A7F5E" w14:textId="77777777" w:rsidR="00067D5A" w:rsidRPr="005D3D7B" w:rsidRDefault="00067D5A" w:rsidP="00D375E5">
      <w:pPr>
        <w:spacing w:before="0"/>
        <w:rPr>
          <w:sz w:val="22"/>
          <w:szCs w:val="22"/>
          <w:lang w:eastAsia="en-US"/>
        </w:rPr>
      </w:pPr>
    </w:p>
    <w:p w14:paraId="2386422D" w14:textId="3D16607A" w:rsidR="008C3E70" w:rsidRDefault="00B9578A" w:rsidP="00F40FC4">
      <w:pPr>
        <w:pStyle w:val="Heading1"/>
        <w:numPr>
          <w:ilvl w:val="0"/>
          <w:numId w:val="48"/>
        </w:numPr>
        <w:rPr>
          <w:sz w:val="22"/>
          <w:szCs w:val="22"/>
          <w:lang w:val="et-EE"/>
        </w:rPr>
      </w:pPr>
      <w:bookmarkStart w:id="46" w:name="_Toc55577758"/>
      <w:r w:rsidRPr="005D3D7B">
        <w:rPr>
          <w:sz w:val="22"/>
          <w:szCs w:val="22"/>
          <w:lang w:val="et-EE"/>
        </w:rPr>
        <w:t>Seaduse jõustumine</w:t>
      </w:r>
      <w:bookmarkEnd w:id="46"/>
    </w:p>
    <w:p w14:paraId="28813059" w14:textId="22481C85" w:rsidR="00F13D9D" w:rsidRDefault="008C3E70" w:rsidP="00D375E5">
      <w:pPr>
        <w:rPr>
          <w:bCs/>
          <w:sz w:val="22"/>
          <w:szCs w:val="22"/>
        </w:rPr>
      </w:pPr>
      <w:r w:rsidRPr="005D3D7B">
        <w:rPr>
          <w:bCs/>
          <w:sz w:val="22"/>
          <w:szCs w:val="22"/>
        </w:rPr>
        <w:t xml:space="preserve">Seadus jõustub </w:t>
      </w:r>
      <w:r w:rsidR="00F13D9D" w:rsidRPr="00F13D9D">
        <w:rPr>
          <w:bCs/>
          <w:sz w:val="22"/>
          <w:szCs w:val="22"/>
        </w:rPr>
        <w:t>202</w:t>
      </w:r>
      <w:r w:rsidR="007F70E6">
        <w:rPr>
          <w:bCs/>
          <w:sz w:val="22"/>
          <w:szCs w:val="22"/>
        </w:rPr>
        <w:t>3</w:t>
      </w:r>
      <w:r w:rsidR="00F13D9D" w:rsidRPr="00F13D9D">
        <w:rPr>
          <w:bCs/>
          <w:sz w:val="22"/>
          <w:szCs w:val="22"/>
        </w:rPr>
        <w:t xml:space="preserve">. aasta 1. </w:t>
      </w:r>
      <w:r w:rsidR="007F70E6">
        <w:rPr>
          <w:bCs/>
          <w:sz w:val="22"/>
          <w:szCs w:val="22"/>
        </w:rPr>
        <w:t>juulil</w:t>
      </w:r>
      <w:r w:rsidR="00F13D9D" w:rsidRPr="00F13D9D">
        <w:rPr>
          <w:bCs/>
          <w:sz w:val="22"/>
          <w:szCs w:val="22"/>
        </w:rPr>
        <w:t>.</w:t>
      </w:r>
    </w:p>
    <w:p w14:paraId="05F2BC5F" w14:textId="4B0DDA42" w:rsidR="00C868B8" w:rsidRPr="00F13D9D" w:rsidRDefault="00C868B8" w:rsidP="00D375E5">
      <w:pPr>
        <w:rPr>
          <w:bCs/>
          <w:sz w:val="22"/>
          <w:szCs w:val="22"/>
        </w:rPr>
      </w:pPr>
      <w:r>
        <w:rPr>
          <w:rFonts w:eastAsiaTheme="minorHAnsi"/>
          <w:bCs/>
          <w:sz w:val="22"/>
          <w:szCs w:val="22"/>
        </w:rPr>
        <w:t>E</w:t>
      </w:r>
      <w:r>
        <w:rPr>
          <w:rFonts w:eastAsiaTheme="minorHAnsi"/>
          <w:bCs/>
          <w:sz w:val="22"/>
          <w:szCs w:val="22"/>
          <w:lang w:eastAsia="en-US"/>
        </w:rPr>
        <w:t xml:space="preserve">elnõu koostajate hinnangul on vajalik </w:t>
      </w:r>
      <w:r w:rsidR="007F70E6">
        <w:rPr>
          <w:rFonts w:eastAsiaTheme="minorHAnsi"/>
          <w:bCs/>
          <w:sz w:val="22"/>
          <w:szCs w:val="22"/>
        </w:rPr>
        <w:t xml:space="preserve">(võrreldes </w:t>
      </w:r>
      <w:proofErr w:type="spellStart"/>
      <w:r w:rsidR="007F70E6">
        <w:rPr>
          <w:rFonts w:eastAsiaTheme="minorHAnsi"/>
          <w:bCs/>
          <w:sz w:val="22"/>
          <w:szCs w:val="22"/>
        </w:rPr>
        <w:t>üldkorras</w:t>
      </w:r>
      <w:proofErr w:type="spellEnd"/>
      <w:r w:rsidR="007F70E6">
        <w:rPr>
          <w:rFonts w:eastAsiaTheme="minorHAnsi"/>
          <w:bCs/>
          <w:sz w:val="22"/>
          <w:szCs w:val="22"/>
        </w:rPr>
        <w:t xml:space="preserve"> seaduse jõustumise tähtajaga) </w:t>
      </w:r>
      <w:r>
        <w:rPr>
          <w:rFonts w:eastAsiaTheme="minorHAnsi"/>
          <w:bCs/>
          <w:sz w:val="22"/>
          <w:szCs w:val="22"/>
          <w:lang w:eastAsia="en-US"/>
        </w:rPr>
        <w:t>seada täiendav üleminekuperiood nii</w:t>
      </w:r>
      <w:r>
        <w:rPr>
          <w:sz w:val="22"/>
          <w:szCs w:val="22"/>
        </w:rPr>
        <w:t xml:space="preserve"> Finantsinspektsiooni jaoks, et </w:t>
      </w:r>
      <w:r w:rsidRPr="00D55A5B">
        <w:rPr>
          <w:sz w:val="22"/>
          <w:szCs w:val="22"/>
        </w:rPr>
        <w:t>Finantsinspektsioonil oleks aega end ette valmistada täiendavate tegevuslubade taotlemiseks</w:t>
      </w:r>
      <w:r>
        <w:rPr>
          <w:sz w:val="22"/>
          <w:szCs w:val="22"/>
        </w:rPr>
        <w:t xml:space="preserve"> (vt ka § 120 lg 2) ning vajadusel kaasata täiendavaid ressursse, sh personali tegevusloa taotluste menetlemiseks, kui ka turuosaliste jaoks, kellel on vaja täiendavat aega enda tegevuse viimiseks kooskõlla seaduse nõuetega, sh taotleda asjaomast tegevusluba Finantsinspektsioonilt.</w:t>
      </w:r>
    </w:p>
    <w:p w14:paraId="2F2E27CB" w14:textId="77777777" w:rsidR="008C3E70" w:rsidRPr="005D3D7B" w:rsidRDefault="008C3E70" w:rsidP="00D375E5">
      <w:pPr>
        <w:rPr>
          <w:sz w:val="22"/>
          <w:szCs w:val="22"/>
        </w:rPr>
      </w:pPr>
      <w:r w:rsidRPr="005D3D7B">
        <w:rPr>
          <w:bCs/>
          <w:sz w:val="22"/>
          <w:szCs w:val="22"/>
        </w:rPr>
        <w:t xml:space="preserve"> </w:t>
      </w:r>
    </w:p>
    <w:p w14:paraId="5C013CDB" w14:textId="3ACA4D91" w:rsidR="005B2696" w:rsidRDefault="00B9578A" w:rsidP="00F40FC4">
      <w:pPr>
        <w:pStyle w:val="Heading1"/>
        <w:numPr>
          <w:ilvl w:val="0"/>
          <w:numId w:val="48"/>
        </w:numPr>
        <w:rPr>
          <w:sz w:val="22"/>
          <w:szCs w:val="22"/>
          <w:lang w:val="et-EE"/>
        </w:rPr>
      </w:pPr>
      <w:bookmarkStart w:id="47" w:name="_Toc55577759"/>
      <w:r w:rsidRPr="005D3D7B">
        <w:rPr>
          <w:sz w:val="22"/>
          <w:szCs w:val="22"/>
          <w:lang w:val="et-EE"/>
        </w:rPr>
        <w:t>Eelnõu kooskõlastamine</w:t>
      </w:r>
      <w:r>
        <w:rPr>
          <w:sz w:val="22"/>
          <w:szCs w:val="22"/>
          <w:lang w:val="et-EE"/>
        </w:rPr>
        <w:t>,</w:t>
      </w:r>
      <w:r w:rsidRPr="005D3D7B">
        <w:rPr>
          <w:sz w:val="22"/>
          <w:szCs w:val="22"/>
          <w:lang w:val="et-EE"/>
        </w:rPr>
        <w:t xml:space="preserve"> huvirühmade kaasamine</w:t>
      </w:r>
      <w:bookmarkEnd w:id="47"/>
      <w:r>
        <w:rPr>
          <w:sz w:val="22"/>
          <w:szCs w:val="22"/>
          <w:lang w:val="et-EE"/>
        </w:rPr>
        <w:t xml:space="preserve"> ja avalik konsultatsioon</w:t>
      </w:r>
    </w:p>
    <w:p w14:paraId="19A02484" w14:textId="77777777" w:rsidR="008C3E70" w:rsidRPr="005D3D7B" w:rsidRDefault="008C3E70" w:rsidP="00D375E5">
      <w:pPr>
        <w:spacing w:before="0"/>
        <w:jc w:val="left"/>
        <w:rPr>
          <w:sz w:val="22"/>
          <w:szCs w:val="22"/>
          <w:lang w:eastAsia="en-US"/>
        </w:rPr>
      </w:pPr>
    </w:p>
    <w:p w14:paraId="5B217804" w14:textId="3EC50929" w:rsidR="00630488" w:rsidRDefault="00630488" w:rsidP="00D375E5">
      <w:pPr>
        <w:spacing w:before="0"/>
        <w:rPr>
          <w:sz w:val="22"/>
          <w:szCs w:val="22"/>
        </w:rPr>
      </w:pPr>
      <w:r w:rsidRPr="00CA19D4">
        <w:rPr>
          <w:sz w:val="22"/>
          <w:szCs w:val="22"/>
          <w:lang w:eastAsia="en-US"/>
        </w:rPr>
        <w:t xml:space="preserve">Eelnõu </w:t>
      </w:r>
      <w:r w:rsidR="007965D6" w:rsidRPr="00CA19D4">
        <w:rPr>
          <w:sz w:val="22"/>
          <w:szCs w:val="22"/>
          <w:lang w:eastAsia="en-US"/>
        </w:rPr>
        <w:t xml:space="preserve">on varasemalt esitatud </w:t>
      </w:r>
      <w:r w:rsidRPr="00E81879">
        <w:rPr>
          <w:sz w:val="22"/>
          <w:szCs w:val="22"/>
          <w:lang w:eastAsia="en-US"/>
        </w:rPr>
        <w:t xml:space="preserve">kooskõlastamiseks </w:t>
      </w:r>
      <w:r w:rsidR="00EA1F5A" w:rsidRPr="00CA19D4">
        <w:rPr>
          <w:sz w:val="22"/>
          <w:szCs w:val="22"/>
          <w:lang w:eastAsia="en-US"/>
        </w:rPr>
        <w:t xml:space="preserve">Justiitsministeeriumile, </w:t>
      </w:r>
      <w:r w:rsidR="002C75A9" w:rsidRPr="00CA19D4">
        <w:rPr>
          <w:sz w:val="22"/>
          <w:szCs w:val="22"/>
          <w:lang w:eastAsia="en-US"/>
        </w:rPr>
        <w:t>Majandus</w:t>
      </w:r>
      <w:r w:rsidRPr="00CA19D4">
        <w:rPr>
          <w:sz w:val="22"/>
          <w:szCs w:val="22"/>
          <w:lang w:eastAsia="en-US"/>
        </w:rPr>
        <w:t xml:space="preserve">- ja </w:t>
      </w:r>
      <w:r w:rsidR="002C75A9" w:rsidRPr="00CA19D4">
        <w:rPr>
          <w:sz w:val="22"/>
          <w:szCs w:val="22"/>
          <w:lang w:eastAsia="en-US"/>
        </w:rPr>
        <w:t>Kommunikatsiooniministeeriumile</w:t>
      </w:r>
      <w:r w:rsidRPr="00CA19D4">
        <w:rPr>
          <w:sz w:val="22"/>
          <w:szCs w:val="22"/>
          <w:lang w:eastAsia="en-US"/>
        </w:rPr>
        <w:t xml:space="preserve"> </w:t>
      </w:r>
      <w:r w:rsidR="005E50A0" w:rsidRPr="00CA19D4">
        <w:rPr>
          <w:sz w:val="22"/>
          <w:szCs w:val="22"/>
          <w:lang w:eastAsia="en-US"/>
        </w:rPr>
        <w:t xml:space="preserve">ning </w:t>
      </w:r>
      <w:r w:rsidR="002C75A9" w:rsidRPr="00CA19D4">
        <w:rPr>
          <w:sz w:val="22"/>
          <w:szCs w:val="22"/>
          <w:lang w:eastAsia="en-US"/>
        </w:rPr>
        <w:t>Siseministeeriumile</w:t>
      </w:r>
      <w:r w:rsidR="005E50A0" w:rsidRPr="00CA19D4">
        <w:rPr>
          <w:sz w:val="22"/>
          <w:szCs w:val="22"/>
          <w:lang w:eastAsia="en-US"/>
        </w:rPr>
        <w:t xml:space="preserve"> ja arvamuse avaldamiseks</w:t>
      </w:r>
      <w:r w:rsidRPr="00CA19D4">
        <w:rPr>
          <w:sz w:val="22"/>
          <w:szCs w:val="22"/>
          <w:lang w:eastAsia="en-US"/>
        </w:rPr>
        <w:t xml:space="preserve"> Finantsinspek</w:t>
      </w:r>
      <w:r w:rsidR="00B82ABA" w:rsidRPr="00CA19D4">
        <w:rPr>
          <w:sz w:val="22"/>
          <w:szCs w:val="22"/>
          <w:lang w:eastAsia="en-US"/>
        </w:rPr>
        <w:t>t</w:t>
      </w:r>
      <w:r w:rsidRPr="00CA19D4">
        <w:rPr>
          <w:sz w:val="22"/>
          <w:szCs w:val="22"/>
          <w:lang w:eastAsia="en-US"/>
        </w:rPr>
        <w:t xml:space="preserve">sioonile, Tarbijakaitse ja Tehnilise Järelevalve Ametile, Eesti Pangale, </w:t>
      </w:r>
      <w:r w:rsidR="00EC6EE1" w:rsidRPr="00CA19D4">
        <w:rPr>
          <w:sz w:val="22"/>
          <w:szCs w:val="22"/>
        </w:rPr>
        <w:t>Rahapesu Andmebüroole,</w:t>
      </w:r>
      <w:r w:rsidR="00527EFB" w:rsidRPr="00CA19D4">
        <w:rPr>
          <w:sz w:val="22"/>
          <w:szCs w:val="22"/>
        </w:rPr>
        <w:t xml:space="preserve"> </w:t>
      </w:r>
      <w:r w:rsidR="00EC6EE1" w:rsidRPr="00CA19D4">
        <w:rPr>
          <w:sz w:val="22"/>
          <w:szCs w:val="22"/>
          <w:lang w:eastAsia="en-US"/>
        </w:rPr>
        <w:t xml:space="preserve">Kaitsepolitsei Ametile, </w:t>
      </w:r>
      <w:r w:rsidR="00B82ABA" w:rsidRPr="00CA19D4">
        <w:rPr>
          <w:sz w:val="22"/>
          <w:szCs w:val="22"/>
          <w:lang w:eastAsia="en-US"/>
        </w:rPr>
        <w:t xml:space="preserve">MTÜ </w:t>
      </w:r>
      <w:proofErr w:type="spellStart"/>
      <w:r w:rsidRPr="00CA19D4">
        <w:rPr>
          <w:sz w:val="22"/>
          <w:szCs w:val="22"/>
          <w:lang w:eastAsia="en-US"/>
        </w:rPr>
        <w:t>FinanceEstonia</w:t>
      </w:r>
      <w:r w:rsidR="00B82ABA" w:rsidRPr="00CA19D4">
        <w:rPr>
          <w:sz w:val="22"/>
          <w:szCs w:val="22"/>
          <w:lang w:eastAsia="en-US"/>
        </w:rPr>
        <w:t>’</w:t>
      </w:r>
      <w:r w:rsidRPr="00CA19D4">
        <w:rPr>
          <w:sz w:val="22"/>
          <w:szCs w:val="22"/>
          <w:lang w:eastAsia="en-US"/>
        </w:rPr>
        <w:t>le</w:t>
      </w:r>
      <w:proofErr w:type="spellEnd"/>
      <w:r w:rsidRPr="00CA19D4">
        <w:rPr>
          <w:sz w:val="22"/>
          <w:szCs w:val="22"/>
          <w:lang w:eastAsia="en-US"/>
        </w:rPr>
        <w:t xml:space="preserve">, </w:t>
      </w:r>
      <w:r w:rsidR="002C75A9" w:rsidRPr="00CA19D4">
        <w:rPr>
          <w:sz w:val="22"/>
          <w:szCs w:val="22"/>
          <w:lang w:eastAsia="en-US"/>
        </w:rPr>
        <w:t xml:space="preserve">Eesti </w:t>
      </w:r>
      <w:r w:rsidRPr="00CA19D4">
        <w:rPr>
          <w:sz w:val="22"/>
          <w:szCs w:val="22"/>
          <w:lang w:eastAsia="en-US"/>
        </w:rPr>
        <w:t xml:space="preserve">Pangaliidule, </w:t>
      </w:r>
      <w:r w:rsidRPr="00CA19D4">
        <w:rPr>
          <w:sz w:val="22"/>
          <w:szCs w:val="22"/>
        </w:rPr>
        <w:t xml:space="preserve">Politsei- ja Piirivalveametile, </w:t>
      </w:r>
      <w:proofErr w:type="spellStart"/>
      <w:r w:rsidRPr="00CA19D4">
        <w:rPr>
          <w:sz w:val="22"/>
          <w:szCs w:val="22"/>
        </w:rPr>
        <w:t>Nasdaq</w:t>
      </w:r>
      <w:proofErr w:type="spellEnd"/>
      <w:r w:rsidRPr="00CA19D4">
        <w:rPr>
          <w:sz w:val="22"/>
          <w:szCs w:val="22"/>
        </w:rPr>
        <w:t xml:space="preserve"> Tallinna Börsile, Eesti Advokatuurile</w:t>
      </w:r>
      <w:r w:rsidR="00EC6EE1" w:rsidRPr="00CA19D4">
        <w:rPr>
          <w:sz w:val="22"/>
          <w:szCs w:val="22"/>
        </w:rPr>
        <w:t xml:space="preserve">, </w:t>
      </w:r>
      <w:r w:rsidRPr="00CA19D4">
        <w:rPr>
          <w:sz w:val="22"/>
          <w:szCs w:val="22"/>
        </w:rPr>
        <w:t>Eesti Krüptoraha Liidule</w:t>
      </w:r>
      <w:r w:rsidR="00EC6EE1" w:rsidRPr="00CA19D4">
        <w:rPr>
          <w:sz w:val="22"/>
          <w:szCs w:val="22"/>
        </w:rPr>
        <w:t xml:space="preserve">, </w:t>
      </w:r>
      <w:r w:rsidR="00323322" w:rsidRPr="00CA19D4">
        <w:rPr>
          <w:sz w:val="22"/>
          <w:szCs w:val="22"/>
        </w:rPr>
        <w:t xml:space="preserve">Eesti </w:t>
      </w:r>
      <w:r w:rsidR="00EC6EE1" w:rsidRPr="00CA19D4">
        <w:rPr>
          <w:sz w:val="22"/>
          <w:szCs w:val="22"/>
        </w:rPr>
        <w:t>Kaubandus-Tööstuskojale, Notarite Kojale</w:t>
      </w:r>
      <w:r w:rsidR="00797E91" w:rsidRPr="00CA19D4">
        <w:rPr>
          <w:sz w:val="22"/>
          <w:szCs w:val="22"/>
        </w:rPr>
        <w:t xml:space="preserve"> ning </w:t>
      </w:r>
      <w:r w:rsidR="00797E91" w:rsidRPr="00D80EBF">
        <w:rPr>
          <w:sz w:val="22"/>
          <w:szCs w:val="22"/>
        </w:rPr>
        <w:t>Eesti Väike- ja Keskmiste Ettevõtjate Assotsiatsioonile</w:t>
      </w:r>
      <w:r w:rsidR="00D80EBF">
        <w:rPr>
          <w:sz w:val="22"/>
          <w:szCs w:val="22"/>
        </w:rPr>
        <w:t>, ja arvamuse avaldamiseks kohtutele</w:t>
      </w:r>
      <w:r w:rsidR="00EC6EE1" w:rsidRPr="00CA19D4">
        <w:rPr>
          <w:sz w:val="22"/>
          <w:szCs w:val="22"/>
        </w:rPr>
        <w:t>.</w:t>
      </w:r>
    </w:p>
    <w:p w14:paraId="1CCD5B8D" w14:textId="77777777" w:rsidR="00CA19D4" w:rsidRPr="00CA19D4" w:rsidRDefault="00CA19D4" w:rsidP="00D375E5">
      <w:pPr>
        <w:spacing w:before="0"/>
        <w:rPr>
          <w:sz w:val="22"/>
          <w:szCs w:val="22"/>
        </w:rPr>
      </w:pPr>
    </w:p>
    <w:p w14:paraId="4E0DD5F0" w14:textId="27FD375F" w:rsidR="007965D6" w:rsidRPr="00CA19D4" w:rsidRDefault="007965D6" w:rsidP="00D375E5">
      <w:pPr>
        <w:spacing w:before="0"/>
        <w:rPr>
          <w:sz w:val="22"/>
          <w:szCs w:val="22"/>
        </w:rPr>
      </w:pPr>
      <w:r w:rsidRPr="00CA19D4">
        <w:rPr>
          <w:sz w:val="22"/>
          <w:szCs w:val="22"/>
        </w:rPr>
        <w:t xml:space="preserve">Käesolevaga esitatakse eelnõu </w:t>
      </w:r>
      <w:r w:rsidR="00EA1F5A" w:rsidRPr="00CA19D4">
        <w:rPr>
          <w:sz w:val="22"/>
          <w:szCs w:val="22"/>
        </w:rPr>
        <w:t>heakskiitmiseks Vabariigi Valitsusele</w:t>
      </w:r>
      <w:r w:rsidRPr="00CA19D4">
        <w:rPr>
          <w:sz w:val="22"/>
          <w:szCs w:val="22"/>
        </w:rPr>
        <w:t>.</w:t>
      </w:r>
    </w:p>
    <w:p w14:paraId="08E0FF54" w14:textId="60150531" w:rsidR="005A55CA" w:rsidRPr="005D3D7B" w:rsidRDefault="005A55CA" w:rsidP="00D375E5">
      <w:pPr>
        <w:spacing w:before="0"/>
        <w:rPr>
          <w:sz w:val="22"/>
          <w:szCs w:val="22"/>
          <w:lang w:eastAsia="en-US"/>
        </w:rPr>
      </w:pPr>
    </w:p>
    <w:p w14:paraId="2E4E5DD1" w14:textId="77777777" w:rsidR="00630488" w:rsidRPr="005D3D7B" w:rsidRDefault="00630488" w:rsidP="00D375E5">
      <w:pPr>
        <w:spacing w:before="0"/>
        <w:jc w:val="left"/>
        <w:rPr>
          <w:sz w:val="22"/>
          <w:szCs w:val="22"/>
          <w:lang w:eastAsia="en-US"/>
        </w:rPr>
      </w:pPr>
    </w:p>
    <w:p w14:paraId="72F1DADE" w14:textId="77777777" w:rsidR="008C3E70" w:rsidRPr="005D3D7B" w:rsidRDefault="00C95F0D" w:rsidP="00D375E5">
      <w:pPr>
        <w:pStyle w:val="vk"/>
        <w:jc w:val="both"/>
        <w:rPr>
          <w:sz w:val="22"/>
          <w:szCs w:val="22"/>
        </w:rPr>
      </w:pPr>
      <w:r>
        <w:rPr>
          <w:sz w:val="22"/>
          <w:szCs w:val="22"/>
        </w:rPr>
        <w:pict w14:anchorId="3C566C98">
          <v:rect id="_x0000_i1025" style="width:0;height:1.5pt" o:hralign="center" o:hrstd="t" o:hr="t" fillcolor="#a0a0a0" stroked="f"/>
        </w:pict>
      </w:r>
    </w:p>
    <w:p w14:paraId="43667CD8" w14:textId="38420A4F" w:rsidR="008C3E70" w:rsidRPr="005D3D7B" w:rsidRDefault="008C3E70" w:rsidP="00D375E5">
      <w:pPr>
        <w:pStyle w:val="vk"/>
        <w:jc w:val="both"/>
        <w:rPr>
          <w:sz w:val="22"/>
          <w:szCs w:val="22"/>
        </w:rPr>
      </w:pPr>
      <w:r w:rsidRPr="005D3D7B">
        <w:rPr>
          <w:sz w:val="22"/>
          <w:szCs w:val="22"/>
        </w:rPr>
        <w:t>Algatab Vabariigi Valitsus</w:t>
      </w:r>
      <w:r w:rsidR="00613D38">
        <w:rPr>
          <w:sz w:val="22"/>
          <w:szCs w:val="22"/>
        </w:rPr>
        <w:t xml:space="preserve">                           </w:t>
      </w:r>
      <w:r w:rsidR="00E81879">
        <w:rPr>
          <w:sz w:val="22"/>
          <w:szCs w:val="22"/>
        </w:rPr>
        <w:t>2022</w:t>
      </w:r>
    </w:p>
    <w:p w14:paraId="4DD05098" w14:textId="77777777" w:rsidR="008C3E70" w:rsidRPr="005D3D7B" w:rsidRDefault="008C3E70" w:rsidP="00D375E5">
      <w:pPr>
        <w:pStyle w:val="vk"/>
        <w:jc w:val="both"/>
        <w:rPr>
          <w:sz w:val="22"/>
          <w:szCs w:val="22"/>
        </w:rPr>
      </w:pPr>
    </w:p>
    <w:p w14:paraId="5BBD6C1D" w14:textId="5711D510" w:rsidR="008C3E70" w:rsidRDefault="008C3E70" w:rsidP="00D375E5">
      <w:pPr>
        <w:pStyle w:val="vk"/>
        <w:jc w:val="both"/>
        <w:rPr>
          <w:i/>
          <w:sz w:val="22"/>
          <w:szCs w:val="22"/>
        </w:rPr>
      </w:pPr>
      <w:r w:rsidRPr="005D3D7B">
        <w:rPr>
          <w:i/>
          <w:sz w:val="22"/>
          <w:szCs w:val="22"/>
        </w:rPr>
        <w:t>(allkirjastatud digitaalselt)</w:t>
      </w:r>
    </w:p>
    <w:p w14:paraId="5ADBABDF" w14:textId="77777777" w:rsidR="002C75A9" w:rsidRDefault="002C75A9" w:rsidP="00D375E5">
      <w:pPr>
        <w:pStyle w:val="vk"/>
        <w:jc w:val="both"/>
        <w:rPr>
          <w:i/>
          <w:sz w:val="22"/>
          <w:szCs w:val="22"/>
        </w:rPr>
      </w:pPr>
    </w:p>
    <w:p w14:paraId="768CED83" w14:textId="77777777" w:rsidR="00C868B8" w:rsidRDefault="00C868B8">
      <w:pPr>
        <w:spacing w:before="0" w:after="160" w:line="259" w:lineRule="auto"/>
        <w:jc w:val="left"/>
        <w:rPr>
          <w:rFonts w:eastAsia="Calibri"/>
          <w:b/>
          <w:bCs/>
          <w:sz w:val="22"/>
          <w:szCs w:val="22"/>
        </w:rPr>
      </w:pPr>
      <w:r>
        <w:rPr>
          <w:rFonts w:eastAsia="Calibri"/>
          <w:b/>
          <w:bCs/>
          <w:sz w:val="22"/>
          <w:szCs w:val="22"/>
        </w:rPr>
        <w:br w:type="page"/>
      </w:r>
    </w:p>
    <w:p w14:paraId="2897199B" w14:textId="65C94C9C" w:rsidR="009347C0" w:rsidRPr="009347C0" w:rsidRDefault="009347C0" w:rsidP="009347C0">
      <w:pPr>
        <w:spacing w:before="0"/>
        <w:contextualSpacing/>
        <w:rPr>
          <w:rFonts w:eastAsia="Calibri"/>
          <w:b/>
          <w:bCs/>
          <w:sz w:val="22"/>
          <w:szCs w:val="22"/>
        </w:rPr>
      </w:pPr>
      <w:r w:rsidRPr="009347C0">
        <w:rPr>
          <w:rFonts w:eastAsia="Calibri"/>
          <w:b/>
          <w:bCs/>
          <w:sz w:val="22"/>
          <w:szCs w:val="22"/>
        </w:rPr>
        <w:lastRenderedPageBreak/>
        <w:t>LISA 1. Rakendusaktide kavandid</w:t>
      </w:r>
    </w:p>
    <w:p w14:paraId="47BE0D80" w14:textId="77777777" w:rsidR="009347C0" w:rsidRPr="009347C0" w:rsidRDefault="009347C0" w:rsidP="009347C0">
      <w:pPr>
        <w:spacing w:before="0"/>
        <w:contextualSpacing/>
        <w:rPr>
          <w:rFonts w:eastAsia="Calibri"/>
          <w:b/>
          <w:bCs/>
          <w:sz w:val="22"/>
          <w:szCs w:val="22"/>
        </w:rPr>
      </w:pPr>
    </w:p>
    <w:p w14:paraId="6118B832" w14:textId="77777777" w:rsidR="009347C0" w:rsidRPr="009347C0" w:rsidRDefault="009347C0" w:rsidP="009347C0">
      <w:pPr>
        <w:spacing w:before="0"/>
        <w:contextualSpacing/>
        <w:rPr>
          <w:rFonts w:eastAsia="Calibri"/>
          <w:b/>
          <w:bCs/>
          <w:sz w:val="22"/>
          <w:szCs w:val="22"/>
          <w:u w:val="single"/>
        </w:rPr>
      </w:pPr>
      <w:r w:rsidRPr="009347C0">
        <w:rPr>
          <w:rFonts w:eastAsia="Calibri"/>
          <w:b/>
          <w:bCs/>
          <w:sz w:val="22"/>
          <w:szCs w:val="22"/>
          <w:u w:val="single"/>
        </w:rPr>
        <w:t>Määruse eelnõu kavand nr 1</w:t>
      </w:r>
    </w:p>
    <w:p w14:paraId="0C5F480F" w14:textId="77777777" w:rsidR="009347C0" w:rsidRPr="009347C0" w:rsidRDefault="009347C0" w:rsidP="009347C0">
      <w:pPr>
        <w:spacing w:before="0"/>
        <w:contextualSpacing/>
        <w:rPr>
          <w:rFonts w:eastAsia="Calibri"/>
          <w:b/>
          <w:bCs/>
          <w:sz w:val="22"/>
          <w:szCs w:val="22"/>
        </w:rPr>
      </w:pPr>
    </w:p>
    <w:p w14:paraId="3E5C1E86" w14:textId="77777777" w:rsidR="009347C0" w:rsidRPr="007F70E6" w:rsidRDefault="009347C0" w:rsidP="009347C0">
      <w:pPr>
        <w:spacing w:before="0"/>
        <w:contextualSpacing/>
        <w:rPr>
          <w:rFonts w:eastAsia="Calibri"/>
          <w:b/>
          <w:bCs/>
          <w:sz w:val="22"/>
          <w:szCs w:val="22"/>
        </w:rPr>
      </w:pPr>
      <w:r w:rsidRPr="007F70E6">
        <w:rPr>
          <w:rFonts w:eastAsia="Calibri"/>
          <w:b/>
          <w:bCs/>
          <w:sz w:val="22"/>
          <w:szCs w:val="22"/>
        </w:rPr>
        <w:t xml:space="preserve">Rahandusministri määrus </w:t>
      </w:r>
    </w:p>
    <w:p w14:paraId="6F0BC18F" w14:textId="77777777" w:rsidR="009347C0" w:rsidRPr="007F70E6" w:rsidRDefault="009347C0" w:rsidP="009347C0">
      <w:pPr>
        <w:spacing w:before="0"/>
        <w:contextualSpacing/>
        <w:rPr>
          <w:rFonts w:eastAsia="Calibri"/>
          <w:b/>
          <w:bCs/>
          <w:sz w:val="22"/>
          <w:szCs w:val="22"/>
        </w:rPr>
      </w:pPr>
      <w:r w:rsidRPr="007F70E6">
        <w:rPr>
          <w:rFonts w:eastAsia="Calibri"/>
          <w:b/>
          <w:bCs/>
          <w:sz w:val="22"/>
          <w:szCs w:val="22"/>
        </w:rPr>
        <w:t>„Nõuded põhiteabedokumendile ja selles sisalduvate andmete loetelu“</w:t>
      </w:r>
    </w:p>
    <w:p w14:paraId="310D84B5" w14:textId="77777777" w:rsidR="009347C0" w:rsidRPr="007F70E6" w:rsidRDefault="009347C0" w:rsidP="009347C0">
      <w:pPr>
        <w:spacing w:before="0"/>
        <w:contextualSpacing/>
        <w:jc w:val="center"/>
        <w:rPr>
          <w:rFonts w:eastAsia="Calibri"/>
          <w:b/>
          <w:bCs/>
          <w:sz w:val="22"/>
          <w:szCs w:val="22"/>
        </w:rPr>
      </w:pPr>
    </w:p>
    <w:p w14:paraId="6EA8F409" w14:textId="77777777" w:rsidR="009347C0" w:rsidRPr="002B2C7C" w:rsidRDefault="009347C0" w:rsidP="009347C0">
      <w:pPr>
        <w:spacing w:before="0"/>
        <w:contextualSpacing/>
        <w:rPr>
          <w:rFonts w:eastAsia="Calibri"/>
          <w:bCs/>
          <w:sz w:val="22"/>
          <w:szCs w:val="22"/>
        </w:rPr>
      </w:pPr>
      <w:r w:rsidRPr="00804802">
        <w:rPr>
          <w:rFonts w:eastAsia="Calibri"/>
          <w:bCs/>
          <w:sz w:val="22"/>
          <w:szCs w:val="22"/>
        </w:rPr>
        <w:t xml:space="preserve">Määrus kehtestatakse </w:t>
      </w:r>
      <w:proofErr w:type="spellStart"/>
      <w:r w:rsidRPr="002B2C7C">
        <w:rPr>
          <w:rFonts w:eastAsia="Calibri"/>
          <w:bCs/>
          <w:sz w:val="22"/>
          <w:szCs w:val="22"/>
        </w:rPr>
        <w:t>krüptovara</w:t>
      </w:r>
      <w:proofErr w:type="spellEnd"/>
      <w:r w:rsidRPr="002B2C7C">
        <w:rPr>
          <w:rFonts w:eastAsia="Calibri"/>
          <w:bCs/>
          <w:sz w:val="22"/>
          <w:szCs w:val="22"/>
        </w:rPr>
        <w:t xml:space="preserve"> ja </w:t>
      </w:r>
      <w:proofErr w:type="spellStart"/>
      <w:r w:rsidRPr="002B2C7C">
        <w:rPr>
          <w:rFonts w:eastAsia="Calibri"/>
          <w:bCs/>
          <w:sz w:val="22"/>
          <w:szCs w:val="22"/>
        </w:rPr>
        <w:t>ühisrahastuse</w:t>
      </w:r>
      <w:proofErr w:type="spellEnd"/>
      <w:r w:rsidRPr="002B2C7C">
        <w:rPr>
          <w:rFonts w:eastAsia="Calibri"/>
          <w:bCs/>
          <w:sz w:val="22"/>
          <w:szCs w:val="22"/>
        </w:rPr>
        <w:t xml:space="preserve"> seaduse (edaspidi </w:t>
      </w:r>
      <w:r w:rsidRPr="002B2C7C">
        <w:rPr>
          <w:rFonts w:eastAsia="Calibri"/>
          <w:bCs/>
          <w:i/>
          <w:sz w:val="22"/>
          <w:szCs w:val="22"/>
        </w:rPr>
        <w:t>seadus</w:t>
      </w:r>
      <w:r w:rsidRPr="002B2C7C">
        <w:rPr>
          <w:rFonts w:eastAsia="Calibri"/>
          <w:bCs/>
          <w:sz w:val="22"/>
          <w:szCs w:val="22"/>
        </w:rPr>
        <w:t>) § 66 lõike 11 alusel.</w:t>
      </w:r>
    </w:p>
    <w:p w14:paraId="62A6E6C4" w14:textId="77777777" w:rsidR="009347C0" w:rsidRPr="00AB753A" w:rsidRDefault="009347C0" w:rsidP="009347C0">
      <w:pPr>
        <w:spacing w:before="0"/>
        <w:contextualSpacing/>
        <w:rPr>
          <w:rFonts w:eastAsia="Calibri"/>
          <w:bCs/>
          <w:sz w:val="22"/>
          <w:szCs w:val="22"/>
        </w:rPr>
      </w:pPr>
    </w:p>
    <w:p w14:paraId="37EFE3D1" w14:textId="77777777" w:rsidR="009347C0" w:rsidRPr="00694D2E" w:rsidRDefault="009347C0" w:rsidP="009347C0">
      <w:pPr>
        <w:spacing w:before="0"/>
        <w:contextualSpacing/>
        <w:rPr>
          <w:rFonts w:eastAsia="Calibri"/>
          <w:b/>
          <w:bCs/>
          <w:sz w:val="22"/>
          <w:szCs w:val="22"/>
        </w:rPr>
      </w:pPr>
      <w:r w:rsidRPr="00AB753A">
        <w:rPr>
          <w:rFonts w:eastAsia="Calibri"/>
          <w:b/>
          <w:bCs/>
          <w:sz w:val="22"/>
          <w:szCs w:val="22"/>
        </w:rPr>
        <w:t>§ 1. Reguleerimisala</w:t>
      </w:r>
    </w:p>
    <w:p w14:paraId="09039103" w14:textId="77777777" w:rsidR="009347C0" w:rsidRPr="00E56916" w:rsidRDefault="009347C0" w:rsidP="009347C0">
      <w:pPr>
        <w:spacing w:before="0"/>
        <w:contextualSpacing/>
        <w:rPr>
          <w:rFonts w:eastAsia="Calibri"/>
          <w:bCs/>
          <w:sz w:val="22"/>
          <w:szCs w:val="22"/>
        </w:rPr>
      </w:pPr>
    </w:p>
    <w:p w14:paraId="68DEC986" w14:textId="77777777" w:rsidR="009347C0" w:rsidRPr="00EA1F5A" w:rsidRDefault="009347C0" w:rsidP="009347C0">
      <w:pPr>
        <w:spacing w:before="0"/>
        <w:contextualSpacing/>
        <w:rPr>
          <w:rFonts w:eastAsia="Calibri"/>
          <w:bCs/>
          <w:sz w:val="22"/>
          <w:szCs w:val="22"/>
        </w:rPr>
      </w:pPr>
      <w:r w:rsidRPr="00E56916">
        <w:rPr>
          <w:rFonts w:eastAsia="Calibri"/>
          <w:bCs/>
          <w:sz w:val="22"/>
          <w:szCs w:val="22"/>
        </w:rPr>
        <w:t>Käesolev määrus sätestab nõuded investeerimisprojekti</w:t>
      </w:r>
      <w:r w:rsidRPr="009F3584">
        <w:rPr>
          <w:rFonts w:eastAsia="Calibri"/>
          <w:bCs/>
          <w:sz w:val="22"/>
          <w:szCs w:val="22"/>
        </w:rPr>
        <w:t xml:space="preserve"> põhiteabedokumendi</w:t>
      </w:r>
      <w:r w:rsidRPr="000D0965">
        <w:rPr>
          <w:rFonts w:eastAsia="Calibri"/>
          <w:bCs/>
          <w:sz w:val="22"/>
          <w:szCs w:val="22"/>
        </w:rPr>
        <w:t xml:space="preserve">le ja </w:t>
      </w:r>
      <w:r w:rsidRPr="009F065E">
        <w:rPr>
          <w:rFonts w:eastAsia="Calibri"/>
          <w:bCs/>
          <w:sz w:val="22"/>
          <w:szCs w:val="22"/>
        </w:rPr>
        <w:t xml:space="preserve">põhiteabedokumendis </w:t>
      </w:r>
      <w:r w:rsidRPr="001B587B">
        <w:rPr>
          <w:rFonts w:eastAsia="Calibri"/>
          <w:bCs/>
          <w:sz w:val="22"/>
          <w:szCs w:val="22"/>
        </w:rPr>
        <w:t xml:space="preserve">sisalduvate andmete </w:t>
      </w:r>
      <w:r w:rsidRPr="00734E6B">
        <w:rPr>
          <w:rFonts w:eastAsia="Calibri"/>
          <w:bCs/>
          <w:sz w:val="22"/>
          <w:szCs w:val="22"/>
        </w:rPr>
        <w:t>loetelu.</w:t>
      </w:r>
    </w:p>
    <w:p w14:paraId="45E604AD" w14:textId="77777777" w:rsidR="009347C0" w:rsidRPr="00B56720" w:rsidRDefault="009347C0" w:rsidP="009347C0">
      <w:pPr>
        <w:spacing w:before="0"/>
        <w:contextualSpacing/>
        <w:rPr>
          <w:rFonts w:eastAsia="Calibri"/>
          <w:bCs/>
          <w:sz w:val="22"/>
          <w:szCs w:val="22"/>
        </w:rPr>
      </w:pPr>
    </w:p>
    <w:p w14:paraId="6A61AA42" w14:textId="77777777" w:rsidR="009347C0" w:rsidRPr="007079BF" w:rsidRDefault="009347C0" w:rsidP="009347C0">
      <w:pPr>
        <w:spacing w:before="0"/>
        <w:contextualSpacing/>
        <w:rPr>
          <w:rFonts w:eastAsia="Calibri"/>
          <w:b/>
          <w:bCs/>
          <w:sz w:val="22"/>
          <w:szCs w:val="22"/>
        </w:rPr>
      </w:pPr>
      <w:bookmarkStart w:id="48" w:name="_Hlk108026795"/>
      <w:r w:rsidRPr="007079BF">
        <w:rPr>
          <w:rFonts w:eastAsia="Calibri"/>
          <w:b/>
          <w:bCs/>
          <w:sz w:val="22"/>
          <w:szCs w:val="22"/>
        </w:rPr>
        <w:t>§ 2. Teave rahastuse taotleja ja investeerimisprojekti kohta</w:t>
      </w:r>
    </w:p>
    <w:bookmarkEnd w:id="48"/>
    <w:p w14:paraId="3FCDA3A2" w14:textId="77777777" w:rsidR="009347C0" w:rsidRPr="007079BF" w:rsidRDefault="009347C0" w:rsidP="009347C0">
      <w:pPr>
        <w:spacing w:before="0"/>
        <w:contextualSpacing/>
        <w:rPr>
          <w:rFonts w:eastAsia="Calibri"/>
          <w:sz w:val="22"/>
          <w:szCs w:val="22"/>
        </w:rPr>
      </w:pPr>
    </w:p>
    <w:p w14:paraId="4F0B48C7" w14:textId="77777777" w:rsidR="009347C0" w:rsidRPr="007079BF" w:rsidRDefault="009347C0" w:rsidP="009347C0">
      <w:pPr>
        <w:spacing w:before="0"/>
        <w:contextualSpacing/>
        <w:rPr>
          <w:rFonts w:eastAsia="Calibri"/>
          <w:sz w:val="22"/>
          <w:szCs w:val="22"/>
        </w:rPr>
      </w:pPr>
      <w:r w:rsidRPr="007079BF">
        <w:rPr>
          <w:rFonts w:eastAsia="Calibri"/>
          <w:sz w:val="22"/>
          <w:szCs w:val="22"/>
        </w:rPr>
        <w:t xml:space="preserve">(1) </w:t>
      </w:r>
      <w:r w:rsidRPr="007079BF">
        <w:rPr>
          <w:sz w:val="22"/>
          <w:szCs w:val="22"/>
        </w:rPr>
        <w:t>Seaduse § 66 lõigetes 2, 3 ja 9 nimetatu kohta avalikustatakse järgmised andmed:</w:t>
      </w:r>
    </w:p>
    <w:p w14:paraId="7EF3ECB4" w14:textId="01ACA4C5" w:rsidR="009347C0" w:rsidRPr="009347C0" w:rsidRDefault="009347C0" w:rsidP="009347C0">
      <w:pPr>
        <w:spacing w:before="0"/>
        <w:rPr>
          <w:rFonts w:eastAsia="Calibri"/>
          <w:sz w:val="22"/>
          <w:szCs w:val="22"/>
        </w:rPr>
      </w:pPr>
      <w:r>
        <w:rPr>
          <w:rFonts w:eastAsia="Calibri"/>
          <w:sz w:val="22"/>
          <w:szCs w:val="22"/>
        </w:rPr>
        <w:t xml:space="preserve">1) </w:t>
      </w:r>
      <w:r w:rsidRPr="009347C0">
        <w:rPr>
          <w:rFonts w:eastAsia="Calibri"/>
          <w:sz w:val="22"/>
          <w:szCs w:val="22"/>
        </w:rPr>
        <w:t>rahastuse taotleja (äri)nimi, õiguslik seisund, osaluse struktuur, juhtorgani liikmete nimed ja kontaktandmed;</w:t>
      </w:r>
    </w:p>
    <w:p w14:paraId="6ECCC39A" w14:textId="674AA61E" w:rsidR="009347C0" w:rsidRPr="009347C0" w:rsidRDefault="009347C0" w:rsidP="009347C0">
      <w:pPr>
        <w:spacing w:before="0"/>
        <w:rPr>
          <w:rFonts w:eastAsia="Calibri"/>
          <w:sz w:val="22"/>
          <w:szCs w:val="22"/>
        </w:rPr>
      </w:pPr>
      <w:r>
        <w:rPr>
          <w:rFonts w:eastAsia="Calibri"/>
          <w:sz w:val="22"/>
          <w:szCs w:val="22"/>
        </w:rPr>
        <w:t xml:space="preserve">2) </w:t>
      </w:r>
      <w:r w:rsidRPr="009347C0">
        <w:rPr>
          <w:rFonts w:eastAsia="Calibri"/>
          <w:sz w:val="22"/>
          <w:szCs w:val="22"/>
        </w:rPr>
        <w:t>põhiteabedokumendis esitatud teabe õigsuse eest vastutavate isikute nimi ja funktsioon, juriidiliste isikute puhul  registrijärgne asukoht;</w:t>
      </w:r>
    </w:p>
    <w:p w14:paraId="4078E1DB" w14:textId="4125555A" w:rsidR="009347C0" w:rsidRPr="009347C0" w:rsidRDefault="009347C0" w:rsidP="009347C0">
      <w:pPr>
        <w:spacing w:before="0"/>
        <w:rPr>
          <w:rFonts w:eastAsia="Calibri"/>
          <w:sz w:val="22"/>
          <w:szCs w:val="22"/>
        </w:rPr>
      </w:pPr>
      <w:r>
        <w:rPr>
          <w:rFonts w:eastAsia="Calibri"/>
          <w:sz w:val="22"/>
          <w:szCs w:val="22"/>
        </w:rPr>
        <w:t xml:space="preserve">3) </w:t>
      </w:r>
      <w:r w:rsidRPr="009347C0">
        <w:rPr>
          <w:rFonts w:eastAsia="Calibri"/>
          <w:sz w:val="22"/>
          <w:szCs w:val="22"/>
        </w:rPr>
        <w:t>rahastuse taotleja põhitegevusala ning asjakohasel juhul rahastuse taotleja pakutavad tooted või teenused;</w:t>
      </w:r>
    </w:p>
    <w:p w14:paraId="787D7296" w14:textId="0ABF7955" w:rsidR="009347C0" w:rsidRPr="009347C0" w:rsidRDefault="009347C0" w:rsidP="009347C0">
      <w:pPr>
        <w:spacing w:before="0"/>
        <w:rPr>
          <w:sz w:val="22"/>
          <w:szCs w:val="22"/>
        </w:rPr>
      </w:pPr>
      <w:r>
        <w:rPr>
          <w:sz w:val="22"/>
          <w:szCs w:val="22"/>
        </w:rPr>
        <w:t xml:space="preserve">4) </w:t>
      </w:r>
      <w:r w:rsidRPr="009347C0">
        <w:rPr>
          <w:sz w:val="22"/>
          <w:szCs w:val="22"/>
        </w:rPr>
        <w:t>viide rahastuse taotleja viimasele finantsaruandele, kui see on kättesaadav;</w:t>
      </w:r>
    </w:p>
    <w:p w14:paraId="7FA1D122" w14:textId="671E67CC" w:rsidR="009347C0" w:rsidRPr="009347C0" w:rsidRDefault="009347C0" w:rsidP="009347C0">
      <w:pPr>
        <w:spacing w:before="0"/>
        <w:rPr>
          <w:sz w:val="22"/>
          <w:szCs w:val="22"/>
        </w:rPr>
      </w:pPr>
      <w:r>
        <w:rPr>
          <w:sz w:val="22"/>
          <w:szCs w:val="22"/>
        </w:rPr>
        <w:t xml:space="preserve">5) </w:t>
      </w:r>
      <w:r w:rsidRPr="009347C0">
        <w:rPr>
          <w:sz w:val="22"/>
          <w:szCs w:val="22"/>
        </w:rPr>
        <w:t>rahastuse taotleja peamised aastased finantsnäitajad ja suhtarvud viimase kolme aasta kohta, kui need on kättesaadavad;</w:t>
      </w:r>
    </w:p>
    <w:p w14:paraId="7DE1143D" w14:textId="603D08A6" w:rsidR="009347C0" w:rsidRPr="009347C0" w:rsidRDefault="009347C0" w:rsidP="009347C0">
      <w:pPr>
        <w:spacing w:before="0"/>
        <w:rPr>
          <w:sz w:val="22"/>
          <w:szCs w:val="22"/>
        </w:rPr>
      </w:pPr>
      <w:r>
        <w:rPr>
          <w:sz w:val="22"/>
          <w:szCs w:val="22"/>
        </w:rPr>
        <w:t xml:space="preserve">6) </w:t>
      </w:r>
      <w:r w:rsidRPr="009347C0">
        <w:rPr>
          <w:sz w:val="22"/>
          <w:szCs w:val="22"/>
        </w:rPr>
        <w:t>investeerimisprojekti, sealhulgas selle põhiomaduste kirjeldus.</w:t>
      </w:r>
    </w:p>
    <w:p w14:paraId="235BDE59" w14:textId="77777777" w:rsidR="009347C0" w:rsidRPr="007F70E6" w:rsidRDefault="009347C0" w:rsidP="009347C0">
      <w:pPr>
        <w:spacing w:before="0"/>
        <w:rPr>
          <w:sz w:val="22"/>
          <w:szCs w:val="22"/>
        </w:rPr>
      </w:pPr>
      <w:r w:rsidRPr="009347C0">
        <w:rPr>
          <w:sz w:val="22"/>
          <w:szCs w:val="22"/>
        </w:rPr>
        <w:br/>
        <w:t xml:space="preserve">(2) Kui rahastuse taotleja on asutatud vähem kui kolm aastat tagasi ja rahastuse taotleja tegevusajaloo pikkus ei võimalda </w:t>
      </w:r>
      <w:r w:rsidRPr="007F70E6">
        <w:rPr>
          <w:sz w:val="22"/>
          <w:szCs w:val="22"/>
        </w:rPr>
        <w:t>esitada käesoleva paragrahvi lõike 1 punktis 4 nimetatud viimast finantsaruannet või sama lõike punktis 5 nimetatud suhtarvusid viimase kolme aasta kohta, siis esitab ta selle asemel olemasolevad finantsnäitajad ja finantsprognoosi järgneva aasta kohta.</w:t>
      </w:r>
    </w:p>
    <w:p w14:paraId="3BBD980B" w14:textId="166DBCB3" w:rsidR="009347C0" w:rsidRPr="009F065E" w:rsidRDefault="009347C0" w:rsidP="009347C0">
      <w:pPr>
        <w:spacing w:before="0"/>
        <w:rPr>
          <w:sz w:val="22"/>
          <w:szCs w:val="22"/>
        </w:rPr>
      </w:pPr>
      <w:r w:rsidRPr="00804802">
        <w:rPr>
          <w:sz w:val="22"/>
          <w:szCs w:val="22"/>
        </w:rPr>
        <w:br/>
      </w:r>
      <w:r w:rsidRPr="00AB753A">
        <w:rPr>
          <w:rFonts w:eastAsia="Calibri"/>
          <w:sz w:val="22"/>
          <w:szCs w:val="22"/>
        </w:rPr>
        <w:t>(3</w:t>
      </w:r>
      <w:r w:rsidRPr="00694D2E">
        <w:rPr>
          <w:rFonts w:eastAsia="Calibri"/>
          <w:sz w:val="22"/>
          <w:szCs w:val="22"/>
        </w:rPr>
        <w:t xml:space="preserve">) </w:t>
      </w:r>
      <w:r w:rsidRPr="00E56916">
        <w:rPr>
          <w:rFonts w:eastAsia="Calibri"/>
          <w:bCs/>
          <w:sz w:val="22"/>
          <w:szCs w:val="22"/>
        </w:rPr>
        <w:t xml:space="preserve">Lisaks lõikes 1 sätestatule esitab rahastuse taotleja järgneva </w:t>
      </w:r>
      <w:r w:rsidRPr="00E56916">
        <w:rPr>
          <w:rFonts w:eastAsia="Calibri"/>
          <w:sz w:val="22"/>
          <w:szCs w:val="22"/>
        </w:rPr>
        <w:t>vastutust käsitlev</w:t>
      </w:r>
      <w:r w:rsidRPr="009F3584">
        <w:rPr>
          <w:rFonts w:eastAsia="Calibri"/>
          <w:sz w:val="22"/>
          <w:szCs w:val="22"/>
        </w:rPr>
        <w:t>a</w:t>
      </w:r>
      <w:r w:rsidRPr="000D0965">
        <w:rPr>
          <w:rFonts w:eastAsia="Calibri"/>
          <w:sz w:val="22"/>
          <w:szCs w:val="22"/>
        </w:rPr>
        <w:t xml:space="preserve"> avalduse</w:t>
      </w:r>
      <w:r w:rsidRPr="009F065E">
        <w:rPr>
          <w:rFonts w:eastAsia="Calibri"/>
          <w:sz w:val="22"/>
          <w:szCs w:val="22"/>
        </w:rPr>
        <w:t>:</w:t>
      </w:r>
    </w:p>
    <w:p w14:paraId="737EC2B2" w14:textId="77777777" w:rsidR="009347C0" w:rsidRPr="007079BF" w:rsidRDefault="009347C0" w:rsidP="009347C0">
      <w:pPr>
        <w:spacing w:before="0"/>
        <w:contextualSpacing/>
        <w:rPr>
          <w:rFonts w:eastAsia="Calibri"/>
          <w:sz w:val="22"/>
          <w:szCs w:val="22"/>
        </w:rPr>
      </w:pPr>
      <w:r w:rsidRPr="001B587B">
        <w:rPr>
          <w:rFonts w:eastAsia="Calibri"/>
          <w:sz w:val="22"/>
          <w:szCs w:val="22"/>
        </w:rPr>
        <w:t>„</w:t>
      </w:r>
      <w:r w:rsidRPr="00734E6B">
        <w:rPr>
          <w:rFonts w:eastAsia="Calibri"/>
          <w:sz w:val="22"/>
          <w:szCs w:val="22"/>
        </w:rPr>
        <w:t>Rahastuse taotleja kinnitab, et talle teadaolevalt ei ole välja jäetud teavet, mis võib mõjutada investeerimisprojekti kohta tehtava investeerimisotsuse tegemist,</w:t>
      </w:r>
      <w:r w:rsidRPr="00B56720">
        <w:rPr>
          <w:rFonts w:eastAsia="Calibri"/>
          <w:sz w:val="22"/>
          <w:szCs w:val="22"/>
        </w:rPr>
        <w:t xml:space="preserve"> ning et põhiteabedokumendis esitatud teave ei ole sisuliselt eksitav või ebatäpne. Käesoleva põhiteabedokumendi </w:t>
      </w:r>
      <w:r w:rsidRPr="007079BF">
        <w:rPr>
          <w:rFonts w:eastAsia="Calibri"/>
          <w:sz w:val="22"/>
          <w:szCs w:val="22"/>
        </w:rPr>
        <w:t>koostamise ja teabe õigsuse eest vastutab projektiomanik.“.</w:t>
      </w:r>
    </w:p>
    <w:p w14:paraId="5E97DC1E" w14:textId="77777777" w:rsidR="009347C0" w:rsidRPr="007079BF" w:rsidRDefault="009347C0" w:rsidP="009347C0">
      <w:pPr>
        <w:spacing w:before="0"/>
        <w:rPr>
          <w:b/>
          <w:bCs/>
          <w:sz w:val="22"/>
          <w:szCs w:val="22"/>
        </w:rPr>
      </w:pPr>
    </w:p>
    <w:p w14:paraId="02E4500E" w14:textId="77777777" w:rsidR="009347C0" w:rsidRPr="00917B04" w:rsidRDefault="009347C0" w:rsidP="009347C0">
      <w:pPr>
        <w:spacing w:before="0"/>
        <w:contextualSpacing/>
        <w:rPr>
          <w:b/>
          <w:bCs/>
          <w:sz w:val="22"/>
          <w:szCs w:val="22"/>
        </w:rPr>
      </w:pPr>
      <w:r w:rsidRPr="007079BF">
        <w:rPr>
          <w:rFonts w:eastAsia="Calibri"/>
          <w:b/>
          <w:bCs/>
          <w:sz w:val="22"/>
          <w:szCs w:val="22"/>
        </w:rPr>
        <w:t xml:space="preserve">§ 3. </w:t>
      </w:r>
      <w:r w:rsidRPr="007079BF">
        <w:rPr>
          <w:b/>
          <w:bCs/>
          <w:sz w:val="22"/>
          <w:szCs w:val="22"/>
        </w:rPr>
        <w:t>Investeerimisprojekti põhiomaduste ja rahastuse taotlemise tingimuste kohta avalikustatav teave</w:t>
      </w:r>
    </w:p>
    <w:p w14:paraId="0BDFE4CF" w14:textId="77777777" w:rsidR="009347C0" w:rsidRPr="009B28C0" w:rsidRDefault="009347C0" w:rsidP="009347C0">
      <w:pPr>
        <w:spacing w:before="0"/>
        <w:contextualSpacing/>
        <w:rPr>
          <w:b/>
          <w:bCs/>
          <w:sz w:val="22"/>
          <w:szCs w:val="22"/>
        </w:rPr>
      </w:pPr>
    </w:p>
    <w:p w14:paraId="275983C3" w14:textId="77777777" w:rsidR="009347C0" w:rsidRPr="00670CE5" w:rsidRDefault="009347C0" w:rsidP="009347C0">
      <w:pPr>
        <w:spacing w:before="0"/>
        <w:contextualSpacing/>
        <w:rPr>
          <w:rFonts w:eastAsia="Calibri"/>
          <w:sz w:val="22"/>
          <w:szCs w:val="22"/>
        </w:rPr>
      </w:pPr>
      <w:r w:rsidRPr="00892BC1">
        <w:rPr>
          <w:bCs/>
          <w:sz w:val="22"/>
          <w:szCs w:val="22"/>
        </w:rPr>
        <w:t>(1)</w:t>
      </w:r>
      <w:r w:rsidRPr="007B11E1">
        <w:rPr>
          <w:b/>
          <w:bCs/>
          <w:sz w:val="22"/>
          <w:szCs w:val="22"/>
        </w:rPr>
        <w:t xml:space="preserve"> </w:t>
      </w:r>
      <w:r w:rsidRPr="007B11E1">
        <w:rPr>
          <w:sz w:val="22"/>
          <w:szCs w:val="22"/>
        </w:rPr>
        <w:t>Investeerimisprojekti kohta esitatakse järgmised andmed</w:t>
      </w:r>
      <w:r w:rsidRPr="00962D93">
        <w:rPr>
          <w:rFonts w:eastAsia="Calibri"/>
          <w:sz w:val="22"/>
          <w:szCs w:val="22"/>
        </w:rPr>
        <w:t>:</w:t>
      </w:r>
    </w:p>
    <w:p w14:paraId="3020A0E7" w14:textId="77777777" w:rsidR="009347C0" w:rsidRPr="00C0487D" w:rsidRDefault="009347C0" w:rsidP="002B2C7C">
      <w:pPr>
        <w:numPr>
          <w:ilvl w:val="0"/>
          <w:numId w:val="46"/>
        </w:numPr>
        <w:spacing w:before="0"/>
        <w:ind w:left="426" w:hanging="426"/>
        <w:rPr>
          <w:rFonts w:eastAsia="Calibri"/>
          <w:sz w:val="22"/>
          <w:szCs w:val="22"/>
        </w:rPr>
      </w:pPr>
      <w:r w:rsidRPr="00FD4CC7">
        <w:rPr>
          <w:rFonts w:eastAsia="Calibri"/>
          <w:sz w:val="22"/>
          <w:szCs w:val="22"/>
        </w:rPr>
        <w:t>investeerimisprojekti meeskond v</w:t>
      </w:r>
      <w:r w:rsidRPr="001E506D">
        <w:rPr>
          <w:rFonts w:eastAsia="Calibri"/>
          <w:sz w:val="22"/>
          <w:szCs w:val="22"/>
        </w:rPr>
        <w:t>õi muud vastutatav isikud, sealhulgas nende isikute vahelised võimalikud huvide konfliktid;</w:t>
      </w:r>
    </w:p>
    <w:p w14:paraId="6EC99D09" w14:textId="77777777" w:rsidR="009347C0" w:rsidRPr="00595A9D" w:rsidRDefault="009347C0" w:rsidP="002B2C7C">
      <w:pPr>
        <w:numPr>
          <w:ilvl w:val="0"/>
          <w:numId w:val="46"/>
        </w:numPr>
        <w:spacing w:before="0"/>
        <w:ind w:left="426" w:hanging="426"/>
        <w:rPr>
          <w:rFonts w:eastAsia="Calibri"/>
          <w:sz w:val="22"/>
          <w:szCs w:val="22"/>
        </w:rPr>
      </w:pPr>
      <w:r w:rsidRPr="00BA7A3A">
        <w:rPr>
          <w:rFonts w:eastAsia="Calibri"/>
          <w:sz w:val="22"/>
          <w:szCs w:val="22"/>
        </w:rPr>
        <w:t>investeerimisprojekti pakkumisega kaasatav minimaalne kapitalimaht või laenatavad minimaalsed vahendid ning rahastuse taotleja või teenuseosutaja poolt investeerimisprojekti pakkumise jaoks korraldatud pakkumiste arv;</w:t>
      </w:r>
    </w:p>
    <w:p w14:paraId="479A6608" w14:textId="77777777" w:rsidR="009347C0" w:rsidRPr="008F12CE" w:rsidRDefault="009347C0" w:rsidP="002B2C7C">
      <w:pPr>
        <w:numPr>
          <w:ilvl w:val="0"/>
          <w:numId w:val="46"/>
        </w:numPr>
        <w:spacing w:before="0"/>
        <w:ind w:left="426" w:hanging="426"/>
        <w:rPr>
          <w:rFonts w:eastAsia="Calibri"/>
          <w:sz w:val="22"/>
          <w:szCs w:val="22"/>
        </w:rPr>
      </w:pPr>
      <w:r w:rsidRPr="00595A9D">
        <w:rPr>
          <w:rFonts w:eastAsia="Calibri"/>
          <w:sz w:val="22"/>
          <w:szCs w:val="22"/>
        </w:rPr>
        <w:t>kaasatava kapitali või laenatavate vahendite eesmärgi saavutamise hiliseim tähtpäev;</w:t>
      </w:r>
    </w:p>
    <w:p w14:paraId="0949179A" w14:textId="77777777" w:rsidR="009347C0" w:rsidRPr="00491B07" w:rsidRDefault="009347C0" w:rsidP="002B2C7C">
      <w:pPr>
        <w:numPr>
          <w:ilvl w:val="0"/>
          <w:numId w:val="46"/>
        </w:numPr>
        <w:spacing w:before="0"/>
        <w:ind w:left="426" w:hanging="426"/>
        <w:rPr>
          <w:rFonts w:eastAsia="Calibri"/>
          <w:sz w:val="22"/>
          <w:szCs w:val="22"/>
        </w:rPr>
      </w:pPr>
      <w:r w:rsidRPr="008F12CE">
        <w:rPr>
          <w:rFonts w:eastAsia="Calibri"/>
          <w:sz w:val="22"/>
          <w:szCs w:val="22"/>
        </w:rPr>
        <w:t>teave tagajärgede kohta, mis tekivad juhul, kui tähtpäevaks ei õnnestu kaasata piisavalt kapitali või lae</w:t>
      </w:r>
      <w:r w:rsidRPr="00491B07">
        <w:rPr>
          <w:rFonts w:eastAsia="Calibri"/>
          <w:sz w:val="22"/>
          <w:szCs w:val="22"/>
        </w:rPr>
        <w:t>nata piisavalt vahendeid;</w:t>
      </w:r>
    </w:p>
    <w:p w14:paraId="541B287D" w14:textId="77777777" w:rsidR="009347C0" w:rsidRPr="00491B07" w:rsidRDefault="009347C0" w:rsidP="002B2C7C">
      <w:pPr>
        <w:numPr>
          <w:ilvl w:val="0"/>
          <w:numId w:val="46"/>
        </w:numPr>
        <w:spacing w:before="0"/>
        <w:ind w:left="426" w:hanging="426"/>
        <w:rPr>
          <w:rFonts w:eastAsia="Calibri"/>
          <w:sz w:val="22"/>
          <w:szCs w:val="22"/>
        </w:rPr>
      </w:pPr>
      <w:r w:rsidRPr="00491B07">
        <w:rPr>
          <w:rFonts w:eastAsia="Calibri"/>
          <w:sz w:val="22"/>
          <w:szCs w:val="22"/>
        </w:rPr>
        <w:t>rahastuse taotleja poolt investeerimisprojekti pakkumisega kaasatud vahendite summa.</w:t>
      </w:r>
    </w:p>
    <w:p w14:paraId="30ED306F" w14:textId="77777777" w:rsidR="009347C0" w:rsidRPr="00A240D8" w:rsidRDefault="009347C0" w:rsidP="009347C0">
      <w:pPr>
        <w:spacing w:before="0"/>
        <w:contextualSpacing/>
        <w:rPr>
          <w:rFonts w:eastAsia="Calibri"/>
          <w:sz w:val="22"/>
          <w:szCs w:val="22"/>
        </w:rPr>
      </w:pPr>
    </w:p>
    <w:p w14:paraId="1667D0D1" w14:textId="77777777" w:rsidR="009347C0" w:rsidRPr="00EC47C6" w:rsidRDefault="009347C0" w:rsidP="009347C0">
      <w:pPr>
        <w:spacing w:before="0"/>
        <w:contextualSpacing/>
        <w:rPr>
          <w:sz w:val="22"/>
          <w:szCs w:val="22"/>
        </w:rPr>
      </w:pPr>
      <w:r w:rsidRPr="00A240D8">
        <w:rPr>
          <w:rFonts w:eastAsia="Calibri"/>
          <w:bCs/>
          <w:sz w:val="22"/>
          <w:szCs w:val="22"/>
        </w:rPr>
        <w:t xml:space="preserve">(2) </w:t>
      </w:r>
      <w:r w:rsidRPr="00034473">
        <w:rPr>
          <w:sz w:val="22"/>
          <w:szCs w:val="22"/>
        </w:rPr>
        <w:t>Lepingueelse järelemõtlemisaja kohta avalikustatakse:</w:t>
      </w:r>
    </w:p>
    <w:p w14:paraId="27C2A823" w14:textId="77777777" w:rsidR="009347C0" w:rsidRPr="00EC47C6" w:rsidRDefault="009347C0" w:rsidP="009347C0">
      <w:pPr>
        <w:spacing w:before="0"/>
        <w:contextualSpacing/>
        <w:rPr>
          <w:sz w:val="22"/>
          <w:szCs w:val="22"/>
        </w:rPr>
      </w:pPr>
      <w:r w:rsidRPr="00EC47C6">
        <w:rPr>
          <w:sz w:val="22"/>
          <w:szCs w:val="22"/>
        </w:rPr>
        <w:t>1) lepingueelse järelemõtlemisaja olemasolu;</w:t>
      </w:r>
    </w:p>
    <w:p w14:paraId="71B901C1" w14:textId="41A83CDD" w:rsidR="009347C0" w:rsidRPr="004A5F19" w:rsidRDefault="009347C0" w:rsidP="009347C0">
      <w:pPr>
        <w:spacing w:before="0"/>
        <w:contextualSpacing/>
        <w:rPr>
          <w:sz w:val="22"/>
          <w:szCs w:val="22"/>
        </w:rPr>
      </w:pPr>
      <w:r w:rsidRPr="00EC47C6">
        <w:rPr>
          <w:sz w:val="22"/>
          <w:szCs w:val="22"/>
        </w:rPr>
        <w:t xml:space="preserve">2) tingimused mittekogenud </w:t>
      </w:r>
      <w:r w:rsidR="004A5F19">
        <w:rPr>
          <w:sz w:val="22"/>
          <w:szCs w:val="22"/>
        </w:rPr>
        <w:t>klientide</w:t>
      </w:r>
      <w:r w:rsidRPr="004A5F19">
        <w:rPr>
          <w:sz w:val="22"/>
          <w:szCs w:val="22"/>
        </w:rPr>
        <w:t xml:space="preserve"> jaoks.</w:t>
      </w:r>
    </w:p>
    <w:p w14:paraId="61854E69" w14:textId="77777777" w:rsidR="009347C0" w:rsidRPr="00917B04" w:rsidRDefault="009347C0" w:rsidP="009347C0">
      <w:pPr>
        <w:spacing w:before="0"/>
        <w:contextualSpacing/>
        <w:rPr>
          <w:rFonts w:eastAsia="Calibri"/>
          <w:sz w:val="22"/>
          <w:szCs w:val="22"/>
        </w:rPr>
      </w:pPr>
    </w:p>
    <w:p w14:paraId="521DF161" w14:textId="77777777" w:rsidR="009347C0" w:rsidRPr="00917B04" w:rsidRDefault="009347C0" w:rsidP="009347C0">
      <w:pPr>
        <w:spacing w:before="0"/>
        <w:contextualSpacing/>
        <w:rPr>
          <w:rFonts w:eastAsia="Calibri"/>
          <w:sz w:val="22"/>
          <w:szCs w:val="22"/>
        </w:rPr>
      </w:pPr>
    </w:p>
    <w:p w14:paraId="61C1EAE8" w14:textId="77777777" w:rsidR="009347C0" w:rsidRPr="00892BC1" w:rsidRDefault="009347C0" w:rsidP="009347C0">
      <w:pPr>
        <w:spacing w:before="0"/>
        <w:contextualSpacing/>
        <w:rPr>
          <w:rFonts w:eastAsia="Calibri"/>
          <w:b/>
          <w:bCs/>
          <w:sz w:val="22"/>
          <w:szCs w:val="22"/>
        </w:rPr>
      </w:pPr>
      <w:r w:rsidRPr="009B28C0">
        <w:rPr>
          <w:rFonts w:eastAsia="Calibri"/>
          <w:b/>
          <w:bCs/>
          <w:sz w:val="22"/>
          <w:szCs w:val="22"/>
        </w:rPr>
        <w:t>§ 4. Investeerimisprojekti pakkumisega otseselt ja kaudselt seotud riskide avalikustamine</w:t>
      </w:r>
    </w:p>
    <w:p w14:paraId="675DA9DC" w14:textId="77777777" w:rsidR="009347C0" w:rsidRPr="007B11E1" w:rsidRDefault="009347C0" w:rsidP="009347C0">
      <w:pPr>
        <w:spacing w:before="0"/>
        <w:contextualSpacing/>
        <w:rPr>
          <w:rFonts w:eastAsia="Calibri"/>
          <w:sz w:val="22"/>
          <w:szCs w:val="22"/>
        </w:rPr>
      </w:pPr>
    </w:p>
    <w:p w14:paraId="0F4A4620" w14:textId="77777777" w:rsidR="009347C0" w:rsidRPr="001E506D" w:rsidRDefault="009347C0" w:rsidP="009347C0">
      <w:pPr>
        <w:spacing w:before="0"/>
        <w:contextualSpacing/>
        <w:rPr>
          <w:rFonts w:eastAsia="Calibri"/>
          <w:sz w:val="22"/>
          <w:szCs w:val="22"/>
        </w:rPr>
      </w:pPr>
      <w:r w:rsidRPr="00FD4CC7">
        <w:rPr>
          <w:rFonts w:eastAsia="Calibri"/>
          <w:sz w:val="22"/>
          <w:szCs w:val="22"/>
        </w:rPr>
        <w:t>Põhiteabedokumendis avalikustatakse peamised riskid või riskitegurid, mis on seotud vähemalt järgnevaga:</w:t>
      </w:r>
    </w:p>
    <w:p w14:paraId="2F70EE00" w14:textId="77777777" w:rsidR="009347C0" w:rsidRPr="00BA7A3A" w:rsidRDefault="009347C0" w:rsidP="009347C0">
      <w:pPr>
        <w:spacing w:before="0"/>
        <w:contextualSpacing/>
        <w:rPr>
          <w:rFonts w:eastAsia="Calibri"/>
          <w:sz w:val="22"/>
          <w:szCs w:val="22"/>
        </w:rPr>
      </w:pPr>
      <w:r w:rsidRPr="00C0487D">
        <w:rPr>
          <w:rFonts w:eastAsia="Calibri"/>
          <w:sz w:val="22"/>
          <w:szCs w:val="22"/>
        </w:rPr>
        <w:t>1) investeerimisprojektiga ja selle pakkumise rahasta</w:t>
      </w:r>
      <w:r w:rsidRPr="00BA7A3A">
        <w:rPr>
          <w:rFonts w:eastAsia="Calibri"/>
          <w:sz w:val="22"/>
          <w:szCs w:val="22"/>
        </w:rPr>
        <w:t>misega;</w:t>
      </w:r>
    </w:p>
    <w:p w14:paraId="1A674E91" w14:textId="77777777" w:rsidR="009347C0" w:rsidRPr="00595A9D" w:rsidRDefault="009347C0" w:rsidP="009347C0">
      <w:pPr>
        <w:spacing w:before="0"/>
        <w:contextualSpacing/>
        <w:rPr>
          <w:rFonts w:eastAsia="Calibri"/>
          <w:sz w:val="22"/>
          <w:szCs w:val="22"/>
        </w:rPr>
      </w:pPr>
      <w:r w:rsidRPr="00595A9D">
        <w:rPr>
          <w:rFonts w:eastAsia="Calibri"/>
          <w:sz w:val="22"/>
          <w:szCs w:val="22"/>
        </w:rPr>
        <w:t>2) rahastuse taotlejaga;</w:t>
      </w:r>
    </w:p>
    <w:p w14:paraId="083DDEFB" w14:textId="77777777" w:rsidR="009347C0" w:rsidRPr="008F12CE" w:rsidRDefault="009347C0" w:rsidP="009347C0">
      <w:pPr>
        <w:spacing w:before="0"/>
        <w:contextualSpacing/>
        <w:rPr>
          <w:rFonts w:eastAsia="Calibri"/>
          <w:sz w:val="22"/>
          <w:szCs w:val="22"/>
        </w:rPr>
      </w:pPr>
      <w:r w:rsidRPr="008F12CE">
        <w:rPr>
          <w:rFonts w:eastAsia="Calibri"/>
          <w:sz w:val="22"/>
          <w:szCs w:val="22"/>
        </w:rPr>
        <w:t>3) vastava valdkonnaga;</w:t>
      </w:r>
    </w:p>
    <w:p w14:paraId="489FEF8A" w14:textId="77777777" w:rsidR="009347C0" w:rsidRPr="00491B07" w:rsidRDefault="009347C0" w:rsidP="009347C0">
      <w:pPr>
        <w:spacing w:before="0"/>
        <w:contextualSpacing/>
        <w:rPr>
          <w:rFonts w:eastAsia="Calibri"/>
          <w:sz w:val="22"/>
          <w:szCs w:val="22"/>
        </w:rPr>
      </w:pPr>
      <w:r w:rsidRPr="00491B07">
        <w:rPr>
          <w:rFonts w:eastAsia="Calibri"/>
          <w:sz w:val="22"/>
          <w:szCs w:val="22"/>
        </w:rPr>
        <w:t xml:space="preserve">4) tehnoloogiaga, sh </w:t>
      </w:r>
      <w:proofErr w:type="spellStart"/>
      <w:r w:rsidRPr="00491B07">
        <w:rPr>
          <w:rFonts w:eastAsia="Calibri"/>
          <w:sz w:val="22"/>
          <w:szCs w:val="22"/>
        </w:rPr>
        <w:t>küberriskid</w:t>
      </w:r>
      <w:proofErr w:type="spellEnd"/>
      <w:r w:rsidRPr="00491B07">
        <w:rPr>
          <w:rFonts w:eastAsia="Calibri"/>
          <w:sz w:val="22"/>
          <w:szCs w:val="22"/>
        </w:rPr>
        <w:t>.</w:t>
      </w:r>
    </w:p>
    <w:p w14:paraId="5D7DB0F3" w14:textId="77777777" w:rsidR="009347C0" w:rsidRPr="00491B07" w:rsidRDefault="009347C0" w:rsidP="009347C0">
      <w:pPr>
        <w:spacing w:before="0"/>
        <w:contextualSpacing/>
        <w:rPr>
          <w:rFonts w:eastAsia="Calibri"/>
          <w:sz w:val="22"/>
          <w:szCs w:val="22"/>
        </w:rPr>
      </w:pPr>
    </w:p>
    <w:p w14:paraId="39FA51A4" w14:textId="77777777" w:rsidR="009347C0" w:rsidRPr="00A240D8" w:rsidRDefault="009347C0" w:rsidP="009347C0">
      <w:pPr>
        <w:spacing w:before="0"/>
        <w:contextualSpacing/>
        <w:rPr>
          <w:rFonts w:eastAsia="Calibri"/>
          <w:b/>
          <w:bCs/>
          <w:sz w:val="22"/>
          <w:szCs w:val="22"/>
        </w:rPr>
      </w:pPr>
      <w:r w:rsidRPr="00491B07">
        <w:rPr>
          <w:rFonts w:eastAsia="Calibri"/>
          <w:b/>
          <w:bCs/>
          <w:sz w:val="22"/>
          <w:szCs w:val="22"/>
        </w:rPr>
        <w:t>§ 5. Investeerimisprojekti pakkumisega seotud teabe avalikustamine</w:t>
      </w:r>
    </w:p>
    <w:p w14:paraId="531AC19D" w14:textId="77777777" w:rsidR="009347C0" w:rsidRPr="00A240D8" w:rsidRDefault="009347C0" w:rsidP="009347C0">
      <w:pPr>
        <w:spacing w:before="0"/>
        <w:contextualSpacing/>
        <w:rPr>
          <w:rFonts w:eastAsia="Calibri"/>
          <w:b/>
          <w:bCs/>
          <w:sz w:val="22"/>
          <w:szCs w:val="22"/>
        </w:rPr>
      </w:pPr>
    </w:p>
    <w:p w14:paraId="4482975A" w14:textId="77777777" w:rsidR="009347C0" w:rsidRPr="00EC47C6" w:rsidRDefault="009347C0" w:rsidP="009347C0">
      <w:pPr>
        <w:spacing w:before="0"/>
        <w:contextualSpacing/>
        <w:rPr>
          <w:rFonts w:eastAsia="Calibri"/>
          <w:bCs/>
          <w:sz w:val="22"/>
          <w:szCs w:val="22"/>
        </w:rPr>
      </w:pPr>
      <w:r w:rsidRPr="00034473">
        <w:rPr>
          <w:rFonts w:eastAsia="Calibri"/>
          <w:bCs/>
          <w:sz w:val="22"/>
          <w:szCs w:val="22"/>
        </w:rPr>
        <w:t xml:space="preserve">(1) Põhiteabedokumendis avalikustatakse teave </w:t>
      </w:r>
      <w:r w:rsidRPr="00EC47C6">
        <w:rPr>
          <w:sz w:val="22"/>
          <w:szCs w:val="22"/>
        </w:rPr>
        <w:t>seaduse</w:t>
      </w:r>
      <w:r w:rsidRPr="00EC47C6">
        <w:rPr>
          <w:rFonts w:eastAsia="Calibri"/>
          <w:bCs/>
          <w:sz w:val="22"/>
          <w:szCs w:val="22"/>
        </w:rPr>
        <w:t xml:space="preserve"> § 3 lõike 1 punktides 1 ja 3 nimetatud investeerimisprojekti pakkumise kohta, sealhulgas avalikustatakse:</w:t>
      </w:r>
    </w:p>
    <w:p w14:paraId="60F52013" w14:textId="77777777" w:rsidR="009347C0" w:rsidRPr="009C01B9" w:rsidRDefault="009347C0" w:rsidP="009347C0">
      <w:pPr>
        <w:spacing w:before="0"/>
        <w:contextualSpacing/>
        <w:rPr>
          <w:rFonts w:eastAsia="Calibri"/>
          <w:sz w:val="22"/>
          <w:szCs w:val="22"/>
        </w:rPr>
      </w:pPr>
      <w:r w:rsidRPr="009C01B9">
        <w:rPr>
          <w:rFonts w:eastAsia="Calibri"/>
          <w:sz w:val="22"/>
          <w:szCs w:val="22"/>
        </w:rPr>
        <w:t>1) pakutavate projekti kogusumma ja vara või nõude liik;</w:t>
      </w:r>
    </w:p>
    <w:p w14:paraId="36DC6493" w14:textId="77777777" w:rsidR="009347C0" w:rsidRPr="00CF2ECF" w:rsidRDefault="009347C0" w:rsidP="009347C0">
      <w:pPr>
        <w:spacing w:before="0"/>
        <w:contextualSpacing/>
        <w:rPr>
          <w:rFonts w:eastAsia="Calibri"/>
          <w:sz w:val="22"/>
          <w:szCs w:val="22"/>
        </w:rPr>
      </w:pPr>
      <w:r w:rsidRPr="009C01B9">
        <w:rPr>
          <w:rFonts w:eastAsia="Calibri"/>
          <w:sz w:val="22"/>
          <w:szCs w:val="22"/>
        </w:rPr>
        <w:t>2) vastava vara või nõude märkimishind;</w:t>
      </w:r>
    </w:p>
    <w:p w14:paraId="400B35EB" w14:textId="77777777" w:rsidR="009347C0" w:rsidRPr="00CF2ECF" w:rsidRDefault="009347C0" w:rsidP="009347C0">
      <w:pPr>
        <w:spacing w:before="0"/>
        <w:contextualSpacing/>
        <w:rPr>
          <w:rFonts w:eastAsia="Calibri"/>
          <w:sz w:val="22"/>
          <w:szCs w:val="22"/>
        </w:rPr>
      </w:pPr>
      <w:r w:rsidRPr="00CF2ECF">
        <w:rPr>
          <w:rFonts w:eastAsia="Calibri"/>
          <w:sz w:val="22"/>
          <w:szCs w:val="22"/>
        </w:rPr>
        <w:t xml:space="preserve">3) kui </w:t>
      </w:r>
      <w:proofErr w:type="spellStart"/>
      <w:r w:rsidRPr="00CF2ECF">
        <w:rPr>
          <w:rFonts w:eastAsia="Calibri"/>
          <w:sz w:val="22"/>
          <w:szCs w:val="22"/>
        </w:rPr>
        <w:t>ülemärkimine</w:t>
      </w:r>
      <w:proofErr w:type="spellEnd"/>
      <w:r w:rsidRPr="00CF2ECF">
        <w:rPr>
          <w:rFonts w:eastAsia="Calibri"/>
          <w:sz w:val="22"/>
          <w:szCs w:val="22"/>
        </w:rPr>
        <w:t xml:space="preserve"> on lubatud, siis </w:t>
      </w:r>
      <w:proofErr w:type="spellStart"/>
      <w:r w:rsidRPr="00CF2ECF">
        <w:rPr>
          <w:rFonts w:eastAsia="Calibri"/>
          <w:sz w:val="22"/>
          <w:szCs w:val="22"/>
        </w:rPr>
        <w:t>ülemärkimise</w:t>
      </w:r>
      <w:proofErr w:type="spellEnd"/>
      <w:r w:rsidRPr="00CF2ECF">
        <w:rPr>
          <w:rFonts w:eastAsia="Calibri"/>
          <w:sz w:val="22"/>
          <w:szCs w:val="22"/>
        </w:rPr>
        <w:t xml:space="preserve"> jaotamise viis;</w:t>
      </w:r>
    </w:p>
    <w:p w14:paraId="09203C09" w14:textId="77777777" w:rsidR="009347C0" w:rsidRPr="009454B3" w:rsidRDefault="009347C0" w:rsidP="009347C0">
      <w:pPr>
        <w:spacing w:before="0"/>
        <w:contextualSpacing/>
        <w:rPr>
          <w:rFonts w:eastAsia="Calibri"/>
          <w:sz w:val="22"/>
          <w:szCs w:val="22"/>
        </w:rPr>
      </w:pPr>
      <w:r w:rsidRPr="00D912F3">
        <w:rPr>
          <w:rFonts w:eastAsia="Calibri"/>
          <w:sz w:val="22"/>
          <w:szCs w:val="22"/>
        </w:rPr>
        <w:t>4) märkimise ja makse tingimu</w:t>
      </w:r>
      <w:r w:rsidRPr="009454B3">
        <w:rPr>
          <w:rFonts w:eastAsia="Calibri"/>
          <w:sz w:val="22"/>
          <w:szCs w:val="22"/>
        </w:rPr>
        <w:t>sed;</w:t>
      </w:r>
    </w:p>
    <w:p w14:paraId="34ABD992" w14:textId="70927137" w:rsidR="009347C0" w:rsidRPr="004A5F19" w:rsidRDefault="009347C0" w:rsidP="009347C0">
      <w:pPr>
        <w:spacing w:before="0"/>
        <w:contextualSpacing/>
        <w:rPr>
          <w:rFonts w:eastAsia="Calibri"/>
          <w:sz w:val="22"/>
          <w:szCs w:val="22"/>
        </w:rPr>
      </w:pPr>
      <w:r w:rsidRPr="009454B3">
        <w:rPr>
          <w:rFonts w:eastAsia="Calibri"/>
          <w:sz w:val="22"/>
          <w:szCs w:val="22"/>
        </w:rPr>
        <w:t xml:space="preserve">5) vastava vara või nõude hoidmine ja üleandmine </w:t>
      </w:r>
      <w:r w:rsidR="004A5F19">
        <w:rPr>
          <w:rFonts w:eastAsia="Calibri"/>
          <w:sz w:val="22"/>
          <w:szCs w:val="22"/>
        </w:rPr>
        <w:t>klientidele</w:t>
      </w:r>
      <w:r w:rsidRPr="004A5F19">
        <w:rPr>
          <w:rFonts w:eastAsia="Calibri"/>
          <w:sz w:val="22"/>
          <w:szCs w:val="22"/>
        </w:rPr>
        <w:t>.</w:t>
      </w:r>
    </w:p>
    <w:p w14:paraId="3FC687A3" w14:textId="77777777" w:rsidR="009347C0" w:rsidRPr="00917B04" w:rsidRDefault="009347C0" w:rsidP="009347C0">
      <w:pPr>
        <w:spacing w:before="0"/>
        <w:contextualSpacing/>
        <w:rPr>
          <w:rFonts w:eastAsia="Calibri"/>
          <w:sz w:val="22"/>
          <w:szCs w:val="22"/>
        </w:rPr>
      </w:pPr>
    </w:p>
    <w:p w14:paraId="3E4E4AA3" w14:textId="77777777" w:rsidR="009347C0" w:rsidRPr="00892BC1" w:rsidRDefault="009347C0" w:rsidP="009347C0">
      <w:pPr>
        <w:spacing w:before="0"/>
        <w:contextualSpacing/>
        <w:rPr>
          <w:rFonts w:eastAsia="Calibri"/>
          <w:sz w:val="22"/>
          <w:szCs w:val="22"/>
        </w:rPr>
      </w:pPr>
      <w:r w:rsidRPr="009B28C0">
        <w:rPr>
          <w:rFonts w:eastAsia="Calibri"/>
          <w:sz w:val="22"/>
          <w:szCs w:val="22"/>
        </w:rPr>
        <w:t>(2) Kui investeeringu on taganud tagatise andja, siis avalikustatakse järgmine teave:</w:t>
      </w:r>
    </w:p>
    <w:p w14:paraId="5C92218F" w14:textId="77777777" w:rsidR="009347C0" w:rsidRPr="00962D93" w:rsidRDefault="009347C0" w:rsidP="009347C0">
      <w:pPr>
        <w:spacing w:before="0"/>
        <w:contextualSpacing/>
        <w:rPr>
          <w:rFonts w:eastAsia="Calibri"/>
          <w:sz w:val="22"/>
          <w:szCs w:val="22"/>
        </w:rPr>
      </w:pPr>
      <w:r w:rsidRPr="007B11E1">
        <w:rPr>
          <w:rFonts w:eastAsia="Calibri"/>
          <w:sz w:val="22"/>
          <w:szCs w:val="22"/>
        </w:rPr>
        <w:t>1) kas tagatise andja on juriidiline isik;</w:t>
      </w:r>
    </w:p>
    <w:p w14:paraId="6D1E5CB0" w14:textId="77777777" w:rsidR="009347C0" w:rsidRPr="00C0487D" w:rsidRDefault="009347C0" w:rsidP="009347C0">
      <w:pPr>
        <w:spacing w:before="0"/>
        <w:contextualSpacing/>
        <w:rPr>
          <w:rFonts w:eastAsia="Calibri"/>
          <w:sz w:val="22"/>
          <w:szCs w:val="22"/>
        </w:rPr>
      </w:pPr>
      <w:r w:rsidRPr="00FD4CC7">
        <w:rPr>
          <w:rFonts w:eastAsia="Calibri"/>
          <w:sz w:val="22"/>
          <w:szCs w:val="22"/>
        </w:rPr>
        <w:t xml:space="preserve">2) tagatise andja nimi, õiguslik seisund ja </w:t>
      </w:r>
      <w:r w:rsidRPr="001E506D">
        <w:rPr>
          <w:rFonts w:eastAsia="Calibri"/>
          <w:sz w:val="22"/>
          <w:szCs w:val="22"/>
        </w:rPr>
        <w:t>kontaktandmed;</w:t>
      </w:r>
    </w:p>
    <w:p w14:paraId="40D6C1CD" w14:textId="77777777" w:rsidR="009347C0" w:rsidRPr="00BA7A3A" w:rsidRDefault="009347C0" w:rsidP="009347C0">
      <w:pPr>
        <w:spacing w:before="0"/>
        <w:contextualSpacing/>
        <w:rPr>
          <w:rFonts w:eastAsia="Calibri"/>
          <w:sz w:val="22"/>
          <w:szCs w:val="22"/>
        </w:rPr>
      </w:pPr>
      <w:r w:rsidRPr="00BA7A3A">
        <w:rPr>
          <w:rFonts w:eastAsia="Calibri"/>
          <w:sz w:val="22"/>
          <w:szCs w:val="22"/>
        </w:rPr>
        <w:t>3) teave tagatise olemuse ja tingimuste kohta.</w:t>
      </w:r>
    </w:p>
    <w:p w14:paraId="09D5A4AD" w14:textId="77777777" w:rsidR="009347C0" w:rsidRPr="00595A9D" w:rsidRDefault="009347C0" w:rsidP="009347C0">
      <w:pPr>
        <w:spacing w:before="0"/>
        <w:contextualSpacing/>
        <w:rPr>
          <w:rFonts w:eastAsia="Calibri"/>
          <w:sz w:val="22"/>
          <w:szCs w:val="22"/>
        </w:rPr>
      </w:pPr>
    </w:p>
    <w:p w14:paraId="641B3419" w14:textId="77777777" w:rsidR="009347C0" w:rsidRPr="008F12CE" w:rsidRDefault="009347C0" w:rsidP="009347C0">
      <w:pPr>
        <w:spacing w:before="0"/>
        <w:rPr>
          <w:rFonts w:eastAsia="Calibri"/>
          <w:sz w:val="22"/>
          <w:szCs w:val="22"/>
        </w:rPr>
      </w:pPr>
      <w:r w:rsidRPr="00595A9D">
        <w:rPr>
          <w:rFonts w:eastAsia="Calibri"/>
          <w:sz w:val="22"/>
          <w:szCs w:val="22"/>
        </w:rPr>
        <w:t>(2) Kui see on kohaldatav, siis tingimused kohustuse kohta osta vastav vara tagasi ja tagasiostmise tähtaeg.</w:t>
      </w:r>
    </w:p>
    <w:p w14:paraId="02AA8637" w14:textId="77777777" w:rsidR="009347C0" w:rsidRPr="008F12CE" w:rsidRDefault="009347C0" w:rsidP="009347C0">
      <w:pPr>
        <w:spacing w:before="0"/>
        <w:rPr>
          <w:rFonts w:eastAsia="Calibri"/>
          <w:sz w:val="22"/>
          <w:szCs w:val="22"/>
        </w:rPr>
      </w:pPr>
    </w:p>
    <w:p w14:paraId="62EBAB5E" w14:textId="77777777" w:rsidR="009347C0" w:rsidRPr="00491B07" w:rsidRDefault="009347C0" w:rsidP="009347C0">
      <w:pPr>
        <w:spacing w:before="0"/>
        <w:contextualSpacing/>
        <w:rPr>
          <w:rFonts w:eastAsia="Calibri"/>
          <w:sz w:val="22"/>
          <w:szCs w:val="22"/>
        </w:rPr>
      </w:pPr>
      <w:r w:rsidRPr="00491B07">
        <w:rPr>
          <w:rFonts w:eastAsia="Calibri"/>
          <w:sz w:val="22"/>
          <w:szCs w:val="22"/>
        </w:rPr>
        <w:t xml:space="preserve">(3) </w:t>
      </w:r>
      <w:r w:rsidRPr="00491B07">
        <w:rPr>
          <w:rFonts w:eastAsia="Calibri"/>
          <w:bCs/>
          <w:sz w:val="22"/>
          <w:szCs w:val="22"/>
        </w:rPr>
        <w:t>Kohaldatavuse korral</w:t>
      </w:r>
      <w:r w:rsidRPr="00491B07">
        <w:rPr>
          <w:rFonts w:eastAsia="Calibri"/>
          <w:sz w:val="22"/>
          <w:szCs w:val="22"/>
        </w:rPr>
        <w:t xml:space="preserve"> avalikustatakse ka vastava vara nominaalne intressimäär, esimese intressi tasumise kuupäev, intressimaksete tähtpäevad, lunastustähtpäev ja tootlus.</w:t>
      </w:r>
    </w:p>
    <w:p w14:paraId="3494FC5B" w14:textId="77777777" w:rsidR="009347C0" w:rsidRPr="00A240D8" w:rsidRDefault="009347C0" w:rsidP="009347C0">
      <w:pPr>
        <w:spacing w:before="0"/>
        <w:contextualSpacing/>
        <w:rPr>
          <w:rFonts w:eastAsia="Calibri"/>
          <w:sz w:val="22"/>
          <w:szCs w:val="22"/>
        </w:rPr>
      </w:pPr>
    </w:p>
    <w:p w14:paraId="52A2096C" w14:textId="77777777" w:rsidR="009347C0" w:rsidRPr="00034473" w:rsidRDefault="009347C0" w:rsidP="009347C0">
      <w:pPr>
        <w:spacing w:before="0"/>
        <w:contextualSpacing/>
        <w:rPr>
          <w:rFonts w:eastAsia="Calibri"/>
          <w:b/>
          <w:bCs/>
          <w:sz w:val="22"/>
          <w:szCs w:val="22"/>
        </w:rPr>
      </w:pPr>
      <w:r w:rsidRPr="00A240D8">
        <w:rPr>
          <w:rFonts w:eastAsia="Calibri"/>
          <w:b/>
          <w:bCs/>
          <w:sz w:val="22"/>
          <w:szCs w:val="22"/>
        </w:rPr>
        <w:t>§ 6. Teave eriotstarbeliste üksuste kohta</w:t>
      </w:r>
    </w:p>
    <w:p w14:paraId="2D505053" w14:textId="77777777" w:rsidR="009347C0" w:rsidRPr="00EC47C6" w:rsidRDefault="009347C0" w:rsidP="009347C0">
      <w:pPr>
        <w:spacing w:before="0"/>
        <w:contextualSpacing/>
        <w:rPr>
          <w:rFonts w:eastAsia="Calibri"/>
          <w:sz w:val="22"/>
          <w:szCs w:val="22"/>
        </w:rPr>
      </w:pPr>
    </w:p>
    <w:p w14:paraId="7D263CB1" w14:textId="77777777" w:rsidR="009347C0" w:rsidRPr="00EC47C6" w:rsidRDefault="009347C0" w:rsidP="009347C0">
      <w:pPr>
        <w:spacing w:before="0"/>
        <w:contextualSpacing/>
        <w:rPr>
          <w:sz w:val="22"/>
          <w:szCs w:val="22"/>
        </w:rPr>
      </w:pPr>
      <w:r w:rsidRPr="00EC47C6">
        <w:rPr>
          <w:rFonts w:eastAsia="Calibri"/>
          <w:bCs/>
          <w:sz w:val="22"/>
          <w:szCs w:val="22"/>
        </w:rPr>
        <w:t xml:space="preserve">Kui investeerimisprojekti pakkumiseks või vahendamiseks kasutatakse </w:t>
      </w:r>
      <w:r w:rsidRPr="00EC47C6">
        <w:rPr>
          <w:sz w:val="22"/>
          <w:szCs w:val="22"/>
        </w:rPr>
        <w:t>eriotstarbelist üksust, avalikustatakse järgmine teave:</w:t>
      </w:r>
    </w:p>
    <w:p w14:paraId="3EF34983" w14:textId="77777777" w:rsidR="009347C0" w:rsidRPr="009C01B9" w:rsidRDefault="009347C0" w:rsidP="009347C0">
      <w:pPr>
        <w:spacing w:before="0"/>
        <w:contextualSpacing/>
        <w:rPr>
          <w:rFonts w:eastAsia="Calibri"/>
          <w:sz w:val="22"/>
          <w:szCs w:val="22"/>
        </w:rPr>
      </w:pPr>
      <w:r w:rsidRPr="009C01B9">
        <w:rPr>
          <w:rFonts w:eastAsia="Calibri"/>
          <w:sz w:val="22"/>
          <w:szCs w:val="22"/>
        </w:rPr>
        <w:t>1) eriotstarbelise üksuse kasutamise eesmärk;</w:t>
      </w:r>
    </w:p>
    <w:p w14:paraId="16580022" w14:textId="77777777" w:rsidR="009347C0" w:rsidRPr="00CF2ECF" w:rsidRDefault="009347C0" w:rsidP="009347C0">
      <w:pPr>
        <w:spacing w:before="0"/>
        <w:contextualSpacing/>
        <w:rPr>
          <w:rFonts w:eastAsia="Calibri"/>
          <w:sz w:val="22"/>
          <w:szCs w:val="22"/>
        </w:rPr>
      </w:pPr>
      <w:r w:rsidRPr="009C01B9">
        <w:rPr>
          <w:rFonts w:eastAsia="Calibri"/>
          <w:sz w:val="22"/>
          <w:szCs w:val="22"/>
        </w:rPr>
        <w:t>2) eriotstarbelise üksuse kontaktandmed;</w:t>
      </w:r>
    </w:p>
    <w:p w14:paraId="183671AE" w14:textId="265797BB" w:rsidR="009347C0" w:rsidRPr="00CF2ECF" w:rsidRDefault="009347C0" w:rsidP="009347C0">
      <w:pPr>
        <w:spacing w:before="0"/>
        <w:contextualSpacing/>
        <w:rPr>
          <w:rFonts w:eastAsia="Calibri"/>
          <w:sz w:val="22"/>
          <w:szCs w:val="22"/>
        </w:rPr>
      </w:pPr>
      <w:r w:rsidRPr="00CF2ECF">
        <w:rPr>
          <w:rFonts w:eastAsia="Calibri"/>
          <w:sz w:val="22"/>
          <w:szCs w:val="22"/>
        </w:rPr>
        <w:t>3) eriotstarbelise üksuse kasutamisega seotud võimalikud riskid.</w:t>
      </w:r>
    </w:p>
    <w:p w14:paraId="7BB3ECEF" w14:textId="77777777" w:rsidR="009347C0" w:rsidRPr="00D912F3" w:rsidRDefault="009347C0" w:rsidP="009347C0">
      <w:pPr>
        <w:spacing w:before="0"/>
        <w:contextualSpacing/>
        <w:rPr>
          <w:rFonts w:eastAsia="Calibri"/>
          <w:sz w:val="22"/>
          <w:szCs w:val="22"/>
        </w:rPr>
      </w:pPr>
    </w:p>
    <w:p w14:paraId="40958D07" w14:textId="77777777" w:rsidR="009347C0" w:rsidRPr="009454B3" w:rsidRDefault="009347C0" w:rsidP="009347C0">
      <w:pPr>
        <w:spacing w:before="0"/>
        <w:contextualSpacing/>
        <w:rPr>
          <w:rFonts w:eastAsia="Calibri"/>
          <w:b/>
          <w:sz w:val="22"/>
          <w:szCs w:val="22"/>
        </w:rPr>
      </w:pPr>
      <w:r w:rsidRPr="009454B3">
        <w:rPr>
          <w:rFonts w:eastAsia="Calibri"/>
          <w:b/>
          <w:sz w:val="22"/>
          <w:szCs w:val="22"/>
        </w:rPr>
        <w:t>§ 7. Teave kolmandate isikute kohta</w:t>
      </w:r>
    </w:p>
    <w:p w14:paraId="4450174A" w14:textId="77777777" w:rsidR="009347C0" w:rsidRPr="009454B3" w:rsidRDefault="009347C0" w:rsidP="009347C0">
      <w:pPr>
        <w:spacing w:before="0"/>
        <w:contextualSpacing/>
        <w:rPr>
          <w:rFonts w:eastAsia="Calibri"/>
          <w:sz w:val="22"/>
          <w:szCs w:val="22"/>
        </w:rPr>
      </w:pPr>
    </w:p>
    <w:p w14:paraId="4F9A523D" w14:textId="77777777" w:rsidR="009347C0" w:rsidRPr="005D02CF" w:rsidRDefault="009347C0" w:rsidP="009347C0">
      <w:pPr>
        <w:autoSpaceDE w:val="0"/>
        <w:autoSpaceDN w:val="0"/>
        <w:spacing w:before="0"/>
        <w:rPr>
          <w:color w:val="000000"/>
          <w:sz w:val="22"/>
          <w:szCs w:val="22"/>
        </w:rPr>
      </w:pPr>
      <w:r w:rsidRPr="005D02CF">
        <w:rPr>
          <w:rFonts w:eastAsia="Calibri"/>
          <w:sz w:val="22"/>
          <w:szCs w:val="22"/>
        </w:rPr>
        <w:t xml:space="preserve">(1) Kui pakkumise tulemusena saadud raha või rahalised vahendid antakse, laenatakse või tehakse muul moel kättesaadavaks kolmandale isikule, kes ei ole rahastuse taotleja või teenuse osutaja, </w:t>
      </w:r>
      <w:r w:rsidRPr="005D02CF">
        <w:rPr>
          <w:color w:val="000000"/>
          <w:sz w:val="22"/>
          <w:szCs w:val="22"/>
        </w:rPr>
        <w:t>avalikustatakse põhiteabedokumendis sellise isiku kohta järgnev teave:</w:t>
      </w:r>
    </w:p>
    <w:p w14:paraId="6E51DEA0" w14:textId="77777777" w:rsidR="009347C0" w:rsidRPr="005D02CF" w:rsidRDefault="009347C0" w:rsidP="009347C0">
      <w:pPr>
        <w:autoSpaceDE w:val="0"/>
        <w:autoSpaceDN w:val="0"/>
        <w:spacing w:before="0"/>
        <w:rPr>
          <w:sz w:val="22"/>
          <w:szCs w:val="22"/>
        </w:rPr>
      </w:pPr>
      <w:r w:rsidRPr="005D02CF">
        <w:rPr>
          <w:color w:val="000000"/>
          <w:sz w:val="22"/>
          <w:szCs w:val="22"/>
        </w:rPr>
        <w:t>1) isiku kaasamise eesmärk;</w:t>
      </w:r>
    </w:p>
    <w:p w14:paraId="55D6929D" w14:textId="77777777" w:rsidR="009347C0" w:rsidRPr="00067D5A" w:rsidRDefault="009347C0" w:rsidP="009347C0">
      <w:pPr>
        <w:autoSpaceDE w:val="0"/>
        <w:autoSpaceDN w:val="0"/>
        <w:spacing w:before="0"/>
        <w:rPr>
          <w:color w:val="000000"/>
          <w:sz w:val="22"/>
          <w:szCs w:val="22"/>
        </w:rPr>
      </w:pPr>
      <w:r w:rsidRPr="005D02CF">
        <w:rPr>
          <w:color w:val="000000"/>
          <w:sz w:val="22"/>
          <w:szCs w:val="22"/>
        </w:rPr>
        <w:t>2) isiku kontaktandmed;</w:t>
      </w:r>
    </w:p>
    <w:p w14:paraId="23C37FDB" w14:textId="77777777" w:rsidR="009347C0" w:rsidRPr="00067D5A" w:rsidRDefault="009347C0" w:rsidP="009347C0">
      <w:pPr>
        <w:autoSpaceDE w:val="0"/>
        <w:autoSpaceDN w:val="0"/>
        <w:spacing w:before="0"/>
        <w:rPr>
          <w:sz w:val="22"/>
          <w:szCs w:val="22"/>
        </w:rPr>
      </w:pPr>
      <w:r w:rsidRPr="00067D5A">
        <w:rPr>
          <w:color w:val="000000"/>
          <w:sz w:val="22"/>
          <w:szCs w:val="22"/>
        </w:rPr>
        <w:t>3) isiku kasutamisega seotud riskid.</w:t>
      </w:r>
    </w:p>
    <w:p w14:paraId="1E0CC0D7" w14:textId="77777777" w:rsidR="009347C0" w:rsidRPr="00067D5A" w:rsidRDefault="009347C0" w:rsidP="009347C0">
      <w:pPr>
        <w:spacing w:before="0"/>
        <w:contextualSpacing/>
        <w:rPr>
          <w:rFonts w:eastAsia="Calibri"/>
          <w:sz w:val="22"/>
          <w:szCs w:val="22"/>
        </w:rPr>
      </w:pPr>
    </w:p>
    <w:p w14:paraId="6A4EA822" w14:textId="77777777" w:rsidR="009347C0" w:rsidRPr="00067D5A" w:rsidRDefault="009347C0" w:rsidP="009347C0">
      <w:pPr>
        <w:spacing w:before="0"/>
        <w:contextualSpacing/>
        <w:rPr>
          <w:rFonts w:eastAsia="Calibri"/>
          <w:sz w:val="22"/>
          <w:szCs w:val="22"/>
        </w:rPr>
      </w:pPr>
      <w:r w:rsidRPr="00067D5A">
        <w:rPr>
          <w:rFonts w:eastAsia="Calibri"/>
          <w:sz w:val="22"/>
          <w:szCs w:val="22"/>
        </w:rPr>
        <w:t>(2) Kui lõikes 1 nimetatud kolmandaid isikuid on rohkem kui üks, avalikustatakse lõike 1 punktides 1-3 nimetatud teave iga nimetatud kolmanda isiku kohta eraldi.</w:t>
      </w:r>
    </w:p>
    <w:p w14:paraId="7ECA3EE3" w14:textId="77777777" w:rsidR="009347C0" w:rsidRPr="00D80EBF" w:rsidRDefault="009347C0" w:rsidP="009347C0">
      <w:pPr>
        <w:spacing w:before="0"/>
        <w:contextualSpacing/>
        <w:rPr>
          <w:rFonts w:eastAsia="Calibri"/>
          <w:sz w:val="22"/>
          <w:szCs w:val="22"/>
        </w:rPr>
      </w:pPr>
    </w:p>
    <w:p w14:paraId="2FDB942F" w14:textId="289060DB" w:rsidR="009347C0" w:rsidRPr="004A5F19" w:rsidRDefault="009347C0" w:rsidP="009347C0">
      <w:pPr>
        <w:spacing w:before="0"/>
        <w:contextualSpacing/>
        <w:rPr>
          <w:rFonts w:eastAsia="Calibri"/>
          <w:b/>
          <w:bCs/>
          <w:sz w:val="22"/>
          <w:szCs w:val="22"/>
        </w:rPr>
      </w:pPr>
      <w:r w:rsidRPr="00D80EBF">
        <w:rPr>
          <w:rFonts w:eastAsia="Calibri"/>
          <w:b/>
          <w:bCs/>
          <w:sz w:val="22"/>
          <w:szCs w:val="22"/>
        </w:rPr>
        <w:t xml:space="preserve">§ 8. </w:t>
      </w:r>
      <w:r w:rsidR="004A5F19">
        <w:rPr>
          <w:rFonts w:eastAsia="Calibri"/>
          <w:b/>
          <w:bCs/>
          <w:sz w:val="22"/>
          <w:szCs w:val="22"/>
        </w:rPr>
        <w:t>Kliendi</w:t>
      </w:r>
      <w:r w:rsidRPr="004A5F19">
        <w:rPr>
          <w:rFonts w:eastAsia="Calibri"/>
          <w:b/>
          <w:bCs/>
          <w:sz w:val="22"/>
          <w:szCs w:val="22"/>
        </w:rPr>
        <w:t xml:space="preserve"> õigustega seotud teabe avalikustamine</w:t>
      </w:r>
    </w:p>
    <w:p w14:paraId="15D0A385" w14:textId="77777777" w:rsidR="009347C0" w:rsidRPr="00917B04" w:rsidRDefault="009347C0" w:rsidP="009347C0">
      <w:pPr>
        <w:spacing w:before="0"/>
        <w:contextualSpacing/>
        <w:rPr>
          <w:rFonts w:eastAsia="Calibri"/>
          <w:sz w:val="22"/>
          <w:szCs w:val="22"/>
        </w:rPr>
      </w:pPr>
    </w:p>
    <w:p w14:paraId="001DF3FF" w14:textId="16566606" w:rsidR="009347C0" w:rsidRPr="004A5F19" w:rsidRDefault="009347C0" w:rsidP="009347C0">
      <w:pPr>
        <w:spacing w:before="0"/>
        <w:contextualSpacing/>
        <w:rPr>
          <w:rFonts w:eastAsia="Calibri"/>
          <w:sz w:val="22"/>
          <w:szCs w:val="22"/>
        </w:rPr>
      </w:pPr>
      <w:r w:rsidRPr="009B28C0">
        <w:rPr>
          <w:rFonts w:eastAsia="Calibri"/>
          <w:sz w:val="22"/>
          <w:szCs w:val="22"/>
        </w:rPr>
        <w:t xml:space="preserve">(1) Põhiteabedokumendis avalikustatakse järgmised </w:t>
      </w:r>
      <w:r w:rsidR="004A5F19">
        <w:rPr>
          <w:rFonts w:eastAsia="Calibri"/>
          <w:sz w:val="22"/>
          <w:szCs w:val="22"/>
        </w:rPr>
        <w:t>kliendi</w:t>
      </w:r>
      <w:r w:rsidRPr="004A5F19">
        <w:rPr>
          <w:rFonts w:eastAsia="Calibri"/>
          <w:sz w:val="22"/>
          <w:szCs w:val="22"/>
        </w:rPr>
        <w:t xml:space="preserve"> õigused:</w:t>
      </w:r>
    </w:p>
    <w:p w14:paraId="1826267A" w14:textId="77777777" w:rsidR="009347C0" w:rsidRPr="009B28C0" w:rsidRDefault="009347C0" w:rsidP="009347C0">
      <w:pPr>
        <w:spacing w:before="0"/>
        <w:contextualSpacing/>
        <w:rPr>
          <w:rFonts w:eastAsia="Calibri"/>
          <w:sz w:val="22"/>
          <w:szCs w:val="22"/>
        </w:rPr>
      </w:pPr>
      <w:r w:rsidRPr="00917B04">
        <w:rPr>
          <w:rFonts w:eastAsia="Calibri"/>
          <w:sz w:val="22"/>
          <w:szCs w:val="22"/>
        </w:rPr>
        <w:t>1) varaga seotud õigused;</w:t>
      </w:r>
    </w:p>
    <w:p w14:paraId="0A9EC994" w14:textId="77777777" w:rsidR="009347C0" w:rsidRPr="007B11E1" w:rsidRDefault="009347C0" w:rsidP="009347C0">
      <w:pPr>
        <w:spacing w:before="0"/>
        <w:contextualSpacing/>
        <w:rPr>
          <w:rFonts w:eastAsia="Calibri"/>
          <w:sz w:val="22"/>
          <w:szCs w:val="22"/>
        </w:rPr>
      </w:pPr>
      <w:r w:rsidRPr="00892BC1">
        <w:rPr>
          <w:rFonts w:eastAsia="Calibri"/>
          <w:sz w:val="22"/>
          <w:szCs w:val="22"/>
        </w:rPr>
        <w:t xml:space="preserve">2) piirangud, mida kohaldatakse vastava vara suhtes, sealhulgas lepingud või muud </w:t>
      </w:r>
      <w:r w:rsidRPr="007B11E1">
        <w:rPr>
          <w:rFonts w:eastAsia="Calibri"/>
          <w:sz w:val="22"/>
          <w:szCs w:val="22"/>
        </w:rPr>
        <w:t>kokkulepped, mis takistavad vara võõrandatavust;</w:t>
      </w:r>
    </w:p>
    <w:p w14:paraId="08A7D78A" w14:textId="77777777" w:rsidR="009347C0" w:rsidRPr="00962D93" w:rsidRDefault="009347C0" w:rsidP="009347C0">
      <w:pPr>
        <w:spacing w:before="0"/>
        <w:contextualSpacing/>
        <w:rPr>
          <w:rFonts w:eastAsia="Calibri"/>
          <w:sz w:val="22"/>
          <w:szCs w:val="22"/>
        </w:rPr>
      </w:pPr>
      <w:r w:rsidRPr="007B11E1">
        <w:rPr>
          <w:rFonts w:eastAsia="Calibri"/>
          <w:sz w:val="22"/>
          <w:szCs w:val="22"/>
        </w:rPr>
        <w:lastRenderedPageBreak/>
        <w:t>3) vara võõrandamise võimalike piirangute kirjeldus;</w:t>
      </w:r>
    </w:p>
    <w:p w14:paraId="2A048B94" w14:textId="77777777" w:rsidR="009347C0" w:rsidRPr="001E506D" w:rsidRDefault="009347C0" w:rsidP="009347C0">
      <w:pPr>
        <w:spacing w:before="0"/>
        <w:contextualSpacing/>
        <w:rPr>
          <w:rFonts w:eastAsia="Calibri"/>
          <w:sz w:val="22"/>
          <w:szCs w:val="22"/>
        </w:rPr>
      </w:pPr>
      <w:r w:rsidRPr="00FD4CC7">
        <w:rPr>
          <w:rFonts w:eastAsia="Calibri"/>
          <w:sz w:val="22"/>
          <w:szCs w:val="22"/>
        </w:rPr>
        <w:t>4) investeeringust väljumise võimalused.</w:t>
      </w:r>
    </w:p>
    <w:p w14:paraId="0B6B6C84" w14:textId="77777777" w:rsidR="009347C0" w:rsidRPr="00C0487D" w:rsidRDefault="009347C0" w:rsidP="009347C0">
      <w:pPr>
        <w:spacing w:before="0"/>
        <w:contextualSpacing/>
        <w:rPr>
          <w:rFonts w:eastAsia="Calibri"/>
          <w:sz w:val="22"/>
          <w:szCs w:val="22"/>
        </w:rPr>
      </w:pPr>
    </w:p>
    <w:p w14:paraId="332EAF0A" w14:textId="77777777" w:rsidR="009347C0" w:rsidRPr="00595A9D" w:rsidRDefault="009347C0" w:rsidP="009347C0">
      <w:pPr>
        <w:spacing w:before="0"/>
        <w:contextualSpacing/>
        <w:rPr>
          <w:rFonts w:eastAsia="Calibri"/>
          <w:sz w:val="22"/>
          <w:szCs w:val="22"/>
        </w:rPr>
      </w:pPr>
      <w:r w:rsidRPr="00BA7A3A">
        <w:rPr>
          <w:rFonts w:eastAsia="Calibri"/>
          <w:sz w:val="22"/>
          <w:szCs w:val="22"/>
        </w:rPr>
        <w:t>(2) Kohaldatavuse korral avalikustatakse kapitali jaotus ja hääleõigused enne ja pärast pakkumise tulemusena kapitali suurenemist (eeldusel, et kogu vara märgitakse).</w:t>
      </w:r>
    </w:p>
    <w:p w14:paraId="4532747D" w14:textId="77777777" w:rsidR="009347C0" w:rsidRPr="00595A9D" w:rsidRDefault="009347C0" w:rsidP="009347C0">
      <w:pPr>
        <w:spacing w:before="0"/>
        <w:contextualSpacing/>
        <w:rPr>
          <w:rFonts w:eastAsia="Calibri"/>
          <w:sz w:val="22"/>
          <w:szCs w:val="22"/>
        </w:rPr>
      </w:pPr>
    </w:p>
    <w:p w14:paraId="3BABAA0A" w14:textId="77777777" w:rsidR="009347C0" w:rsidRPr="008F12CE" w:rsidRDefault="009347C0" w:rsidP="009347C0">
      <w:pPr>
        <w:spacing w:before="0"/>
        <w:contextualSpacing/>
        <w:rPr>
          <w:rFonts w:eastAsia="Calibri"/>
          <w:b/>
          <w:bCs/>
          <w:sz w:val="22"/>
          <w:szCs w:val="22"/>
        </w:rPr>
      </w:pPr>
      <w:r w:rsidRPr="008F12CE">
        <w:rPr>
          <w:rFonts w:eastAsia="Calibri"/>
          <w:b/>
          <w:bCs/>
          <w:sz w:val="22"/>
          <w:szCs w:val="22"/>
        </w:rPr>
        <w:t>§ 9. Tasude ja õiguskaitsega seotud teabe avalikustamine</w:t>
      </w:r>
    </w:p>
    <w:p w14:paraId="43A7182D" w14:textId="77777777" w:rsidR="009347C0" w:rsidRPr="00491B07" w:rsidRDefault="009347C0" w:rsidP="009347C0">
      <w:pPr>
        <w:spacing w:before="0"/>
        <w:contextualSpacing/>
        <w:rPr>
          <w:rFonts w:eastAsia="Calibri"/>
          <w:b/>
          <w:bCs/>
          <w:sz w:val="22"/>
          <w:szCs w:val="22"/>
        </w:rPr>
      </w:pPr>
    </w:p>
    <w:p w14:paraId="7C574851" w14:textId="77777777" w:rsidR="009347C0" w:rsidRPr="00491B07" w:rsidRDefault="009347C0" w:rsidP="009347C0">
      <w:pPr>
        <w:spacing w:before="0"/>
        <w:contextualSpacing/>
        <w:rPr>
          <w:rFonts w:eastAsia="Calibri"/>
          <w:sz w:val="22"/>
          <w:szCs w:val="22"/>
        </w:rPr>
      </w:pPr>
      <w:r w:rsidRPr="00491B07">
        <w:rPr>
          <w:rFonts w:eastAsia="Calibri"/>
          <w:sz w:val="22"/>
          <w:szCs w:val="22"/>
        </w:rPr>
        <w:t>(1) Põhiteabedokumendis avalikustatakse tasude ja õiguskaitsega seotud järgnev teave:</w:t>
      </w:r>
    </w:p>
    <w:p w14:paraId="3B7E40B0" w14:textId="7AAF2E79" w:rsidR="009347C0" w:rsidRPr="00792884" w:rsidRDefault="009347C0" w:rsidP="009347C0">
      <w:pPr>
        <w:spacing w:before="0"/>
        <w:contextualSpacing/>
        <w:rPr>
          <w:rFonts w:eastAsia="Calibri"/>
          <w:sz w:val="22"/>
          <w:szCs w:val="22"/>
        </w:rPr>
      </w:pPr>
      <w:r w:rsidRPr="00491B07">
        <w:rPr>
          <w:rFonts w:eastAsia="Calibri"/>
          <w:sz w:val="22"/>
          <w:szCs w:val="22"/>
        </w:rPr>
        <w:t xml:space="preserve">1) </w:t>
      </w:r>
      <w:r w:rsidR="00792884">
        <w:rPr>
          <w:rFonts w:eastAsia="Calibri"/>
          <w:sz w:val="22"/>
          <w:szCs w:val="22"/>
        </w:rPr>
        <w:t>kliendilt</w:t>
      </w:r>
      <w:r w:rsidRPr="00792884">
        <w:rPr>
          <w:rFonts w:eastAsia="Calibri"/>
          <w:sz w:val="22"/>
          <w:szCs w:val="22"/>
        </w:rPr>
        <w:t xml:space="preserve"> seoses investeeringuga nõutavad tasud ja tema kantud kulud, sealhulgas halduskulud, mis tulenevad vara müügist;</w:t>
      </w:r>
    </w:p>
    <w:p w14:paraId="7584841D" w14:textId="77777777" w:rsidR="009347C0" w:rsidRPr="009B28C0" w:rsidRDefault="009347C0" w:rsidP="009347C0">
      <w:pPr>
        <w:spacing w:before="0"/>
        <w:contextualSpacing/>
        <w:rPr>
          <w:rFonts w:eastAsia="Calibri"/>
          <w:sz w:val="22"/>
          <w:szCs w:val="22"/>
        </w:rPr>
      </w:pPr>
      <w:r w:rsidRPr="00917B04">
        <w:rPr>
          <w:rFonts w:eastAsia="Calibri"/>
          <w:sz w:val="22"/>
          <w:szCs w:val="22"/>
        </w:rPr>
        <w:t>2) kas ja kuidas on võimalik hankida tasuta lisateavet investeerimisprojekti, rahastuse taotleja ja asjakohasel juhul eriotstarbelise üksuse kohta;</w:t>
      </w:r>
    </w:p>
    <w:p w14:paraId="77CD471D" w14:textId="19577839" w:rsidR="009347C0" w:rsidRPr="00792884" w:rsidRDefault="009347C0" w:rsidP="009347C0">
      <w:pPr>
        <w:spacing w:before="0"/>
        <w:contextualSpacing/>
        <w:rPr>
          <w:rFonts w:eastAsia="Calibri"/>
          <w:sz w:val="22"/>
          <w:szCs w:val="22"/>
        </w:rPr>
      </w:pPr>
      <w:r w:rsidRPr="00892BC1">
        <w:rPr>
          <w:rFonts w:eastAsia="Calibri"/>
          <w:sz w:val="22"/>
          <w:szCs w:val="22"/>
        </w:rPr>
        <w:t xml:space="preserve">3) kuidas ja kellele saab </w:t>
      </w:r>
      <w:r w:rsidR="00792884">
        <w:rPr>
          <w:rFonts w:eastAsia="Calibri"/>
          <w:sz w:val="22"/>
          <w:szCs w:val="22"/>
        </w:rPr>
        <w:t>klient</w:t>
      </w:r>
      <w:r w:rsidRPr="00792884">
        <w:rPr>
          <w:rFonts w:eastAsia="Calibri"/>
          <w:sz w:val="22"/>
          <w:szCs w:val="22"/>
        </w:rPr>
        <w:t xml:space="preserve"> esitada kaebuse investeeringu, rahastuse taotleja  tegevuse või teenuse osutaja kohta.</w:t>
      </w:r>
    </w:p>
    <w:p w14:paraId="192E2A09" w14:textId="77777777" w:rsidR="009347C0" w:rsidRPr="00917B04" w:rsidRDefault="009347C0" w:rsidP="009347C0">
      <w:pPr>
        <w:spacing w:before="0"/>
        <w:rPr>
          <w:sz w:val="22"/>
          <w:szCs w:val="22"/>
        </w:rPr>
      </w:pPr>
    </w:p>
    <w:p w14:paraId="1B0F508C" w14:textId="77777777" w:rsidR="009347C0" w:rsidRPr="00892BC1" w:rsidRDefault="009347C0" w:rsidP="009347C0">
      <w:pPr>
        <w:spacing w:before="0"/>
        <w:contextualSpacing/>
        <w:rPr>
          <w:rFonts w:eastAsia="Calibri"/>
          <w:b/>
          <w:bCs/>
          <w:sz w:val="22"/>
          <w:szCs w:val="22"/>
        </w:rPr>
      </w:pPr>
      <w:r w:rsidRPr="009B28C0">
        <w:rPr>
          <w:rFonts w:eastAsia="Calibri"/>
          <w:b/>
          <w:bCs/>
          <w:sz w:val="22"/>
          <w:szCs w:val="22"/>
        </w:rPr>
        <w:t>§ 10. Erisused tarbijakrediidipõhiste investeerimisprojekti kohta</w:t>
      </w:r>
    </w:p>
    <w:p w14:paraId="3591C3F5" w14:textId="77777777" w:rsidR="009347C0" w:rsidRPr="00962D93" w:rsidRDefault="009347C0" w:rsidP="009347C0">
      <w:pPr>
        <w:spacing w:before="0"/>
        <w:contextualSpacing/>
        <w:rPr>
          <w:rFonts w:eastAsia="Calibri"/>
          <w:i/>
          <w:iCs/>
          <w:sz w:val="22"/>
          <w:szCs w:val="22"/>
        </w:rPr>
      </w:pPr>
      <w:r w:rsidRPr="007B11E1">
        <w:rPr>
          <w:rFonts w:eastAsia="Calibri"/>
          <w:i/>
          <w:iCs/>
          <w:sz w:val="22"/>
          <w:szCs w:val="22"/>
        </w:rPr>
        <w:t>/see osa on veel valmimisel/</w:t>
      </w:r>
    </w:p>
    <w:p w14:paraId="34175137" w14:textId="77777777" w:rsidR="009347C0" w:rsidRPr="00FD4CC7" w:rsidRDefault="009347C0" w:rsidP="00D80EBF">
      <w:pPr>
        <w:spacing w:before="0"/>
        <w:rPr>
          <w:sz w:val="22"/>
          <w:szCs w:val="22"/>
        </w:rPr>
      </w:pPr>
      <w:r w:rsidRPr="00670CE5">
        <w:rPr>
          <w:sz w:val="22"/>
          <w:szCs w:val="22"/>
        </w:rPr>
        <w:br w:type="page"/>
      </w:r>
    </w:p>
    <w:p w14:paraId="7D938232" w14:textId="77777777" w:rsidR="009347C0" w:rsidRPr="00E53304" w:rsidRDefault="009347C0" w:rsidP="009347C0">
      <w:pPr>
        <w:spacing w:before="0"/>
        <w:contextualSpacing/>
        <w:rPr>
          <w:rFonts w:eastAsia="Calibri"/>
          <w:b/>
          <w:bCs/>
          <w:sz w:val="22"/>
          <w:u w:val="single"/>
        </w:rPr>
      </w:pPr>
      <w:bookmarkStart w:id="49" w:name="_Hlk108024226"/>
      <w:r w:rsidRPr="00E53304">
        <w:rPr>
          <w:rFonts w:eastAsia="Calibri"/>
          <w:b/>
          <w:bCs/>
          <w:sz w:val="22"/>
          <w:u w:val="single"/>
        </w:rPr>
        <w:lastRenderedPageBreak/>
        <w:t xml:space="preserve">Määruse eelnõu kavand nr </w:t>
      </w:r>
      <w:r>
        <w:rPr>
          <w:rFonts w:eastAsia="Calibri"/>
          <w:b/>
          <w:bCs/>
          <w:sz w:val="22"/>
          <w:u w:val="single"/>
        </w:rPr>
        <w:t>2</w:t>
      </w:r>
    </w:p>
    <w:bookmarkEnd w:id="49"/>
    <w:p w14:paraId="1EF6A27D" w14:textId="77777777" w:rsidR="009347C0" w:rsidRPr="009347C0" w:rsidRDefault="009347C0" w:rsidP="009347C0">
      <w:pPr>
        <w:spacing w:before="0"/>
        <w:rPr>
          <w:sz w:val="22"/>
          <w:szCs w:val="22"/>
        </w:rPr>
      </w:pPr>
    </w:p>
    <w:p w14:paraId="76C465A8" w14:textId="77777777" w:rsidR="009347C0" w:rsidRPr="009347C0" w:rsidRDefault="009347C0" w:rsidP="009347C0">
      <w:pPr>
        <w:spacing w:before="0"/>
        <w:rPr>
          <w:b/>
          <w:bCs/>
          <w:sz w:val="22"/>
          <w:szCs w:val="22"/>
        </w:rPr>
      </w:pPr>
      <w:r w:rsidRPr="009347C0">
        <w:rPr>
          <w:b/>
          <w:bCs/>
          <w:sz w:val="22"/>
          <w:szCs w:val="22"/>
        </w:rPr>
        <w:t>Rahandusministri määruse „Finantsinspektsiooni veebilehel andmete avalikustamise ulatus ja kord“ muutmine</w:t>
      </w:r>
    </w:p>
    <w:p w14:paraId="677CCC79" w14:textId="77777777" w:rsidR="009347C0" w:rsidRPr="009347C0" w:rsidRDefault="009347C0" w:rsidP="009347C0">
      <w:pPr>
        <w:spacing w:before="0"/>
        <w:rPr>
          <w:sz w:val="22"/>
          <w:szCs w:val="22"/>
        </w:rPr>
      </w:pPr>
    </w:p>
    <w:p w14:paraId="39BD3445" w14:textId="77777777" w:rsidR="009347C0" w:rsidRPr="009347C0" w:rsidRDefault="009347C0" w:rsidP="009347C0">
      <w:pPr>
        <w:spacing w:before="0"/>
        <w:rPr>
          <w:sz w:val="22"/>
          <w:szCs w:val="22"/>
        </w:rPr>
      </w:pPr>
      <w:r w:rsidRPr="009347C0">
        <w:rPr>
          <w:sz w:val="22"/>
          <w:szCs w:val="22"/>
        </w:rPr>
        <w:t xml:space="preserve">Määrus kehtestatakse </w:t>
      </w:r>
      <w:hyperlink r:id="rId25" w:history="1">
        <w:r w:rsidRPr="009347C0">
          <w:rPr>
            <w:sz w:val="22"/>
            <w:szCs w:val="22"/>
          </w:rPr>
          <w:t>Finantsinspektsiooni seaduse</w:t>
        </w:r>
      </w:hyperlink>
      <w:r w:rsidRPr="009347C0">
        <w:rPr>
          <w:sz w:val="22"/>
          <w:szCs w:val="22"/>
        </w:rPr>
        <w:t xml:space="preserve"> § 53 lõike 4 alusel.</w:t>
      </w:r>
    </w:p>
    <w:p w14:paraId="2A8B0DA4" w14:textId="77777777" w:rsidR="009347C0" w:rsidRPr="009347C0" w:rsidRDefault="009347C0" w:rsidP="009347C0">
      <w:pPr>
        <w:spacing w:before="0"/>
        <w:rPr>
          <w:b/>
          <w:sz w:val="22"/>
          <w:szCs w:val="22"/>
        </w:rPr>
      </w:pPr>
    </w:p>
    <w:p w14:paraId="33970680" w14:textId="77777777" w:rsidR="009347C0" w:rsidRPr="009347C0" w:rsidRDefault="009347C0" w:rsidP="009347C0">
      <w:pPr>
        <w:spacing w:before="0"/>
        <w:rPr>
          <w:sz w:val="22"/>
          <w:szCs w:val="22"/>
        </w:rPr>
      </w:pPr>
      <w:bookmarkStart w:id="50" w:name="_Hlk108024041"/>
      <w:r w:rsidRPr="009347C0">
        <w:rPr>
          <w:sz w:val="22"/>
          <w:szCs w:val="22"/>
        </w:rPr>
        <w:t>Rahandusministri 21. veebruari 2011. a määruses nr 10 „Finantsinspektsiooni veebilehel andmete avalikustamise ulatus ja kord“ tehakse järgmised muudatused:</w:t>
      </w:r>
    </w:p>
    <w:bookmarkEnd w:id="50"/>
    <w:p w14:paraId="43E11FA3" w14:textId="77777777" w:rsidR="009347C0" w:rsidRPr="009347C0" w:rsidRDefault="009347C0" w:rsidP="009347C0">
      <w:pPr>
        <w:spacing w:before="0"/>
        <w:rPr>
          <w:b/>
          <w:sz w:val="22"/>
          <w:szCs w:val="22"/>
        </w:rPr>
      </w:pPr>
    </w:p>
    <w:p w14:paraId="2E878077" w14:textId="77777777" w:rsidR="009347C0" w:rsidRPr="009347C0" w:rsidRDefault="009347C0" w:rsidP="009347C0">
      <w:pPr>
        <w:spacing w:before="0"/>
        <w:rPr>
          <w:sz w:val="22"/>
          <w:szCs w:val="22"/>
        </w:rPr>
      </w:pPr>
      <w:r w:rsidRPr="009347C0">
        <w:rPr>
          <w:b/>
          <w:sz w:val="22"/>
          <w:szCs w:val="22"/>
        </w:rPr>
        <w:t xml:space="preserve">1) </w:t>
      </w:r>
      <w:r w:rsidRPr="009347C0">
        <w:rPr>
          <w:sz w:val="22"/>
          <w:szCs w:val="22"/>
        </w:rPr>
        <w:t>paragrahvi 2 punkt 1 muudetakse ja sõnastatakse järgmiselt:</w:t>
      </w:r>
    </w:p>
    <w:p w14:paraId="1F581D50" w14:textId="77777777" w:rsidR="009347C0" w:rsidRPr="009347C0" w:rsidRDefault="009347C0" w:rsidP="009347C0">
      <w:pPr>
        <w:spacing w:before="0"/>
        <w:rPr>
          <w:sz w:val="22"/>
          <w:szCs w:val="22"/>
        </w:rPr>
      </w:pPr>
      <w:r w:rsidRPr="009347C0">
        <w:rPr>
          <w:sz w:val="22"/>
          <w:szCs w:val="22"/>
        </w:rPr>
        <w:t xml:space="preserve">„1) </w:t>
      </w:r>
      <w:bookmarkStart w:id="51" w:name="para2lg1p1"/>
      <w:r w:rsidRPr="009347C0">
        <w:rPr>
          <w:sz w:val="22"/>
          <w:szCs w:val="22"/>
        </w:rPr>
        <w:t>  </w:t>
      </w:r>
      <w:bookmarkEnd w:id="51"/>
      <w:r w:rsidRPr="009347C0">
        <w:rPr>
          <w:sz w:val="22"/>
          <w:szCs w:val="22"/>
        </w:rPr>
        <w:t xml:space="preserve">krediidiasutuse, kindlustusandja, fondivalitseja, investeerimisühingu, aruandlusteenuse osutaja, makseasutuse, e-raha asutuse ning krediidiandja ja -vahendaja, sealhulgas hüpoteekkrediidiandja ja -vahendaja, </w:t>
      </w:r>
      <w:proofErr w:type="spellStart"/>
      <w:r w:rsidRPr="009347C0">
        <w:rPr>
          <w:sz w:val="22"/>
          <w:szCs w:val="22"/>
          <w:u w:val="single"/>
        </w:rPr>
        <w:t>krüptovarateenuse</w:t>
      </w:r>
      <w:proofErr w:type="spellEnd"/>
      <w:r w:rsidRPr="009347C0">
        <w:rPr>
          <w:sz w:val="22"/>
          <w:szCs w:val="22"/>
          <w:u w:val="single"/>
        </w:rPr>
        <w:t xml:space="preserve"> ja </w:t>
      </w:r>
      <w:proofErr w:type="spellStart"/>
      <w:r w:rsidRPr="009347C0">
        <w:rPr>
          <w:sz w:val="22"/>
          <w:szCs w:val="22"/>
          <w:u w:val="single"/>
        </w:rPr>
        <w:t>ühisrahastusteenuse</w:t>
      </w:r>
      <w:proofErr w:type="spellEnd"/>
      <w:r w:rsidRPr="009347C0">
        <w:rPr>
          <w:sz w:val="22"/>
          <w:szCs w:val="22"/>
          <w:u w:val="single"/>
        </w:rPr>
        <w:t xml:space="preserve"> osutaja</w:t>
      </w:r>
      <w:r w:rsidRPr="009347C0">
        <w:rPr>
          <w:sz w:val="22"/>
          <w:szCs w:val="22"/>
        </w:rPr>
        <w:t xml:space="preserve"> kohta;</w:t>
      </w:r>
    </w:p>
    <w:p w14:paraId="126955DD" w14:textId="77777777" w:rsidR="009347C0" w:rsidRPr="009347C0" w:rsidRDefault="009347C0" w:rsidP="009347C0">
      <w:pPr>
        <w:spacing w:before="0"/>
        <w:rPr>
          <w:sz w:val="22"/>
          <w:szCs w:val="22"/>
        </w:rPr>
      </w:pPr>
      <w:r w:rsidRPr="009347C0">
        <w:rPr>
          <w:sz w:val="22"/>
          <w:szCs w:val="22"/>
        </w:rPr>
        <w:t xml:space="preserve"> </w:t>
      </w:r>
    </w:p>
    <w:p w14:paraId="6E0FC3EB" w14:textId="77777777" w:rsidR="009347C0" w:rsidRPr="009347C0" w:rsidRDefault="009347C0" w:rsidP="009347C0">
      <w:pPr>
        <w:spacing w:before="0"/>
        <w:rPr>
          <w:i/>
          <w:sz w:val="22"/>
          <w:szCs w:val="22"/>
        </w:rPr>
      </w:pPr>
      <w:r w:rsidRPr="009347C0">
        <w:rPr>
          <w:b/>
          <w:i/>
          <w:sz w:val="22"/>
          <w:szCs w:val="22"/>
        </w:rPr>
        <w:t>2)</w:t>
      </w:r>
      <w:r w:rsidRPr="009347C0">
        <w:rPr>
          <w:i/>
          <w:sz w:val="22"/>
          <w:szCs w:val="22"/>
        </w:rPr>
        <w:t xml:space="preserve"> paragrahvi 3 täiendatakse lõigetega 11 ja 12 järgmises sõnastuses:</w:t>
      </w:r>
    </w:p>
    <w:p w14:paraId="6DDBF6E5" w14:textId="77777777" w:rsidR="009347C0" w:rsidRPr="009347C0" w:rsidRDefault="009347C0" w:rsidP="009347C0">
      <w:pPr>
        <w:spacing w:before="0"/>
        <w:rPr>
          <w:i/>
          <w:sz w:val="22"/>
          <w:szCs w:val="22"/>
        </w:rPr>
      </w:pPr>
      <w:r w:rsidRPr="009347C0">
        <w:rPr>
          <w:i/>
          <w:sz w:val="22"/>
          <w:szCs w:val="22"/>
        </w:rPr>
        <w:t>/…/</w:t>
      </w:r>
    </w:p>
    <w:p w14:paraId="2A9B9805" w14:textId="77777777" w:rsidR="009347C0" w:rsidRPr="009347C0" w:rsidRDefault="009347C0" w:rsidP="009347C0">
      <w:pPr>
        <w:spacing w:before="0"/>
        <w:rPr>
          <w:i/>
          <w:sz w:val="22"/>
          <w:szCs w:val="22"/>
        </w:rPr>
      </w:pPr>
    </w:p>
    <w:p w14:paraId="2E23AFCA" w14:textId="77777777" w:rsidR="009347C0" w:rsidRPr="009347C0" w:rsidRDefault="009347C0" w:rsidP="009347C0">
      <w:pPr>
        <w:spacing w:before="0"/>
        <w:rPr>
          <w:b/>
          <w:i/>
          <w:sz w:val="22"/>
          <w:szCs w:val="22"/>
        </w:rPr>
      </w:pPr>
      <w:r w:rsidRPr="009347C0">
        <w:rPr>
          <w:b/>
          <w:i/>
          <w:sz w:val="22"/>
          <w:szCs w:val="22"/>
        </w:rPr>
        <w:t xml:space="preserve">3) </w:t>
      </w:r>
      <w:r w:rsidRPr="009347C0">
        <w:rPr>
          <w:i/>
          <w:sz w:val="22"/>
          <w:szCs w:val="22"/>
        </w:rPr>
        <w:t>määrust täiendatakse §-ga 8</w:t>
      </w:r>
      <w:r w:rsidRPr="009347C0">
        <w:rPr>
          <w:i/>
          <w:sz w:val="22"/>
          <w:szCs w:val="22"/>
          <w:vertAlign w:val="superscript"/>
        </w:rPr>
        <w:t>1</w:t>
      </w:r>
      <w:r w:rsidRPr="009347C0">
        <w:rPr>
          <w:i/>
          <w:sz w:val="22"/>
          <w:szCs w:val="22"/>
        </w:rPr>
        <w:t xml:space="preserve"> järgmises sõnastuses:</w:t>
      </w:r>
    </w:p>
    <w:p w14:paraId="2A1BA629" w14:textId="77777777" w:rsidR="009347C0" w:rsidRPr="009347C0" w:rsidRDefault="009347C0" w:rsidP="009347C0">
      <w:pPr>
        <w:spacing w:before="0"/>
        <w:rPr>
          <w:b/>
          <w:i/>
          <w:sz w:val="22"/>
          <w:szCs w:val="22"/>
        </w:rPr>
      </w:pPr>
      <w:r w:rsidRPr="009347C0">
        <w:rPr>
          <w:b/>
          <w:i/>
          <w:sz w:val="22"/>
          <w:szCs w:val="22"/>
        </w:rPr>
        <w:t>„§ 9</w:t>
      </w:r>
      <w:r w:rsidRPr="009347C0">
        <w:rPr>
          <w:b/>
          <w:i/>
          <w:sz w:val="22"/>
          <w:szCs w:val="22"/>
          <w:vertAlign w:val="superscript"/>
        </w:rPr>
        <w:t>1</w:t>
      </w:r>
      <w:r w:rsidRPr="009347C0">
        <w:rPr>
          <w:b/>
          <w:i/>
          <w:sz w:val="22"/>
          <w:szCs w:val="22"/>
        </w:rPr>
        <w:t>. Registreeritud põhiteabedokument</w:t>
      </w:r>
    </w:p>
    <w:p w14:paraId="01C23B34" w14:textId="77777777" w:rsidR="009347C0" w:rsidRPr="009347C0" w:rsidRDefault="009347C0" w:rsidP="009347C0">
      <w:pPr>
        <w:spacing w:before="0"/>
        <w:rPr>
          <w:b/>
          <w:i/>
          <w:sz w:val="22"/>
          <w:szCs w:val="22"/>
        </w:rPr>
      </w:pPr>
    </w:p>
    <w:p w14:paraId="1365F83C" w14:textId="77777777" w:rsidR="009347C0" w:rsidRPr="009347C0" w:rsidRDefault="009347C0" w:rsidP="009347C0">
      <w:pPr>
        <w:spacing w:before="0"/>
        <w:rPr>
          <w:i/>
          <w:sz w:val="22"/>
          <w:szCs w:val="22"/>
        </w:rPr>
      </w:pPr>
      <w:proofErr w:type="spellStart"/>
      <w:r w:rsidRPr="009347C0">
        <w:rPr>
          <w:i/>
          <w:sz w:val="22"/>
          <w:szCs w:val="22"/>
        </w:rPr>
        <w:t>Krüptovara</w:t>
      </w:r>
      <w:proofErr w:type="spellEnd"/>
      <w:r w:rsidRPr="009347C0">
        <w:rPr>
          <w:i/>
          <w:sz w:val="22"/>
          <w:szCs w:val="22"/>
        </w:rPr>
        <w:t xml:space="preserve"> ja </w:t>
      </w:r>
      <w:proofErr w:type="spellStart"/>
      <w:r w:rsidRPr="009347C0">
        <w:rPr>
          <w:i/>
          <w:sz w:val="22"/>
          <w:szCs w:val="22"/>
        </w:rPr>
        <w:t>ühisrahastuse</w:t>
      </w:r>
      <w:proofErr w:type="spellEnd"/>
      <w:r w:rsidRPr="009347C0">
        <w:rPr>
          <w:i/>
          <w:sz w:val="22"/>
          <w:szCs w:val="22"/>
        </w:rPr>
        <w:t xml:space="preserve"> seaduse § 68 lõike 1 kohaselt registreeritud põhiteabedokumendi kohta avalikustatakse järgmised andmed:</w:t>
      </w:r>
    </w:p>
    <w:p w14:paraId="49F0CE12" w14:textId="77777777" w:rsidR="009347C0" w:rsidRPr="009347C0" w:rsidRDefault="009347C0" w:rsidP="009347C0">
      <w:pPr>
        <w:spacing w:before="0"/>
        <w:rPr>
          <w:i/>
          <w:sz w:val="22"/>
          <w:szCs w:val="22"/>
        </w:rPr>
      </w:pPr>
      <w:r w:rsidRPr="009347C0">
        <w:rPr>
          <w:i/>
          <w:sz w:val="22"/>
          <w:szCs w:val="22"/>
        </w:rPr>
        <w:t>1) /…/;</w:t>
      </w:r>
    </w:p>
    <w:p w14:paraId="361E62D4" w14:textId="77777777" w:rsidR="009347C0" w:rsidRPr="007F70E6" w:rsidRDefault="009347C0" w:rsidP="009347C0">
      <w:pPr>
        <w:spacing w:before="0"/>
        <w:rPr>
          <w:i/>
          <w:sz w:val="22"/>
          <w:szCs w:val="22"/>
        </w:rPr>
      </w:pPr>
      <w:r w:rsidRPr="007F70E6">
        <w:rPr>
          <w:i/>
          <w:sz w:val="22"/>
          <w:szCs w:val="22"/>
        </w:rPr>
        <w:t>2) /…./.</w:t>
      </w:r>
    </w:p>
    <w:p w14:paraId="46C23422" w14:textId="77777777" w:rsidR="009347C0" w:rsidRDefault="009347C0" w:rsidP="009347C0">
      <w:pPr>
        <w:spacing w:after="160" w:line="259" w:lineRule="auto"/>
        <w:rPr>
          <w:sz w:val="22"/>
        </w:rPr>
      </w:pPr>
      <w:r>
        <w:rPr>
          <w:sz w:val="22"/>
        </w:rPr>
        <w:br w:type="page"/>
      </w:r>
    </w:p>
    <w:p w14:paraId="2356E361" w14:textId="77777777" w:rsidR="009347C0" w:rsidRPr="00E53304" w:rsidRDefault="009347C0" w:rsidP="009347C0">
      <w:pPr>
        <w:contextualSpacing/>
        <w:rPr>
          <w:rFonts w:eastAsia="Calibri"/>
          <w:b/>
          <w:bCs/>
          <w:sz w:val="22"/>
          <w:u w:val="single"/>
        </w:rPr>
      </w:pPr>
      <w:r w:rsidRPr="00E53304">
        <w:rPr>
          <w:rFonts w:eastAsia="Calibri"/>
          <w:b/>
          <w:bCs/>
          <w:sz w:val="22"/>
          <w:u w:val="single"/>
        </w:rPr>
        <w:lastRenderedPageBreak/>
        <w:t xml:space="preserve">Määruse eelnõu kavand nr </w:t>
      </w:r>
      <w:r>
        <w:rPr>
          <w:rFonts w:eastAsia="Calibri"/>
          <w:b/>
          <w:bCs/>
          <w:sz w:val="22"/>
          <w:u w:val="single"/>
        </w:rPr>
        <w:t>3</w:t>
      </w:r>
    </w:p>
    <w:p w14:paraId="575DD0B6" w14:textId="77777777" w:rsidR="009347C0" w:rsidRDefault="009347C0" w:rsidP="009347C0">
      <w:pPr>
        <w:spacing w:before="0"/>
        <w:rPr>
          <w:sz w:val="22"/>
        </w:rPr>
      </w:pPr>
    </w:p>
    <w:p w14:paraId="451CB31A" w14:textId="77777777" w:rsidR="009347C0" w:rsidRPr="00E53304" w:rsidRDefault="009347C0" w:rsidP="009347C0">
      <w:pPr>
        <w:spacing w:before="0"/>
        <w:rPr>
          <w:b/>
          <w:bCs/>
          <w:sz w:val="22"/>
        </w:rPr>
      </w:pPr>
      <w:r w:rsidRPr="00E53304">
        <w:rPr>
          <w:b/>
          <w:bCs/>
          <w:sz w:val="22"/>
        </w:rPr>
        <w:t>Rahandusministri määrus „</w:t>
      </w:r>
      <w:proofErr w:type="spellStart"/>
      <w:r>
        <w:rPr>
          <w:b/>
          <w:bCs/>
          <w:sz w:val="22"/>
        </w:rPr>
        <w:t>Krüptovara</w:t>
      </w:r>
      <w:proofErr w:type="spellEnd"/>
      <w:r>
        <w:rPr>
          <w:b/>
          <w:bCs/>
          <w:sz w:val="22"/>
        </w:rPr>
        <w:t xml:space="preserve"> ja </w:t>
      </w:r>
      <w:proofErr w:type="spellStart"/>
      <w:r>
        <w:rPr>
          <w:b/>
          <w:bCs/>
          <w:sz w:val="22"/>
        </w:rPr>
        <w:t>ühisrahastuse</w:t>
      </w:r>
      <w:r w:rsidRPr="00AC4DD4">
        <w:rPr>
          <w:b/>
          <w:bCs/>
          <w:color w:val="000000"/>
          <w:sz w:val="22"/>
          <w:bdr w:val="none" w:sz="0" w:space="0" w:color="auto" w:frame="1"/>
          <w:lang w:eastAsia="en-GB"/>
        </w:rPr>
        <w:t>teenuse</w:t>
      </w:r>
      <w:proofErr w:type="spellEnd"/>
      <w:r w:rsidRPr="00AC4DD4">
        <w:rPr>
          <w:b/>
          <w:bCs/>
          <w:color w:val="000000"/>
          <w:sz w:val="22"/>
          <w:bdr w:val="none" w:sz="0" w:space="0" w:color="auto" w:frame="1"/>
          <w:lang w:eastAsia="en-GB"/>
        </w:rPr>
        <w:t xml:space="preserve"> osutaja majandusaasta püsivate üldkulude arvutamise põhimõtted</w:t>
      </w:r>
      <w:r w:rsidRPr="00E53304">
        <w:rPr>
          <w:b/>
          <w:bCs/>
          <w:sz w:val="22"/>
        </w:rPr>
        <w:t xml:space="preserve">“ </w:t>
      </w:r>
    </w:p>
    <w:p w14:paraId="790FD63E" w14:textId="77777777" w:rsidR="009347C0" w:rsidRDefault="009347C0" w:rsidP="009347C0">
      <w:pPr>
        <w:spacing w:before="0"/>
        <w:rPr>
          <w:sz w:val="22"/>
        </w:rPr>
      </w:pPr>
    </w:p>
    <w:p w14:paraId="6F9AF4A4" w14:textId="77777777" w:rsidR="009347C0" w:rsidRPr="00E53304" w:rsidRDefault="009347C0" w:rsidP="009347C0">
      <w:pPr>
        <w:spacing w:before="0"/>
        <w:rPr>
          <w:sz w:val="22"/>
        </w:rPr>
      </w:pPr>
      <w:r w:rsidRPr="00E53304">
        <w:rPr>
          <w:sz w:val="22"/>
        </w:rPr>
        <w:t xml:space="preserve">Määrus kehtestatakse </w:t>
      </w:r>
      <w:hyperlink r:id="rId26" w:history="1">
        <w:proofErr w:type="spellStart"/>
        <w:r>
          <w:rPr>
            <w:sz w:val="22"/>
          </w:rPr>
          <w:t>krüptovara</w:t>
        </w:r>
        <w:proofErr w:type="spellEnd"/>
        <w:r>
          <w:rPr>
            <w:sz w:val="22"/>
          </w:rPr>
          <w:t xml:space="preserve"> ja </w:t>
        </w:r>
        <w:proofErr w:type="spellStart"/>
        <w:r>
          <w:rPr>
            <w:sz w:val="22"/>
          </w:rPr>
          <w:t>ühisrahastuse</w:t>
        </w:r>
        <w:proofErr w:type="spellEnd"/>
        <w:r w:rsidRPr="00E53304">
          <w:rPr>
            <w:sz w:val="22"/>
          </w:rPr>
          <w:t xml:space="preserve"> seaduse</w:t>
        </w:r>
      </w:hyperlink>
      <w:r w:rsidRPr="00E53304">
        <w:rPr>
          <w:sz w:val="22"/>
        </w:rPr>
        <w:t xml:space="preserve"> </w:t>
      </w:r>
      <w:r>
        <w:rPr>
          <w:sz w:val="22"/>
        </w:rPr>
        <w:t xml:space="preserve">(edaspidi </w:t>
      </w:r>
      <w:r w:rsidRPr="0071795E">
        <w:rPr>
          <w:i/>
          <w:iCs/>
          <w:sz w:val="22"/>
        </w:rPr>
        <w:t>seadus</w:t>
      </w:r>
      <w:r>
        <w:rPr>
          <w:sz w:val="22"/>
        </w:rPr>
        <w:t xml:space="preserve">) </w:t>
      </w:r>
      <w:r w:rsidRPr="00E53304">
        <w:rPr>
          <w:sz w:val="22"/>
        </w:rPr>
        <w:t xml:space="preserve">§ </w:t>
      </w:r>
      <w:r>
        <w:rPr>
          <w:sz w:val="22"/>
        </w:rPr>
        <w:t>7</w:t>
      </w:r>
      <w:r w:rsidRPr="00E53304">
        <w:rPr>
          <w:sz w:val="22"/>
        </w:rPr>
        <w:t xml:space="preserve">3 lõike </w:t>
      </w:r>
      <w:r>
        <w:rPr>
          <w:sz w:val="22"/>
        </w:rPr>
        <w:t>5</w:t>
      </w:r>
      <w:r w:rsidRPr="00E53304">
        <w:rPr>
          <w:sz w:val="22"/>
        </w:rPr>
        <w:t xml:space="preserve"> alusel.</w:t>
      </w:r>
    </w:p>
    <w:p w14:paraId="26A83BFA" w14:textId="77777777" w:rsidR="009347C0" w:rsidRPr="00AC4DD4" w:rsidRDefault="009347C0" w:rsidP="009347C0">
      <w:pPr>
        <w:shd w:val="clear" w:color="auto" w:fill="FFFFFF"/>
        <w:spacing w:before="0"/>
        <w:outlineLvl w:val="2"/>
        <w:rPr>
          <w:b/>
          <w:bCs/>
          <w:color w:val="000000"/>
          <w:sz w:val="22"/>
          <w:bdr w:val="none" w:sz="0" w:space="0" w:color="auto" w:frame="1"/>
          <w:lang w:eastAsia="en-GB"/>
        </w:rPr>
      </w:pPr>
    </w:p>
    <w:p w14:paraId="1F11BE2A" w14:textId="77777777" w:rsidR="009347C0" w:rsidRPr="00AC4DD4" w:rsidRDefault="009347C0" w:rsidP="009347C0">
      <w:pPr>
        <w:shd w:val="clear" w:color="auto" w:fill="FFFFFF"/>
        <w:spacing w:before="0"/>
        <w:outlineLvl w:val="2"/>
        <w:rPr>
          <w:b/>
          <w:bCs/>
          <w:sz w:val="22"/>
          <w:bdr w:val="none" w:sz="0" w:space="0" w:color="auto" w:frame="1"/>
          <w:lang w:eastAsia="en-GB"/>
        </w:rPr>
      </w:pPr>
      <w:r w:rsidRPr="00AC4DD4">
        <w:rPr>
          <w:b/>
          <w:bCs/>
          <w:sz w:val="22"/>
          <w:bdr w:val="none" w:sz="0" w:space="0" w:color="auto" w:frame="1"/>
          <w:lang w:eastAsia="en-GB"/>
        </w:rPr>
        <w:t>§ 1.</w:t>
      </w:r>
      <w:bookmarkStart w:id="52" w:name="para9"/>
      <w:r w:rsidRPr="00AC4DD4">
        <w:rPr>
          <w:b/>
          <w:bCs/>
          <w:sz w:val="22"/>
          <w:bdr w:val="none" w:sz="0" w:space="0" w:color="auto" w:frame="1"/>
          <w:lang w:eastAsia="en-GB"/>
        </w:rPr>
        <w:t>  </w:t>
      </w:r>
      <w:bookmarkEnd w:id="52"/>
      <w:r w:rsidRPr="00AC4DD4">
        <w:rPr>
          <w:b/>
          <w:bCs/>
          <w:sz w:val="22"/>
          <w:bdr w:val="none" w:sz="0" w:space="0" w:color="auto" w:frame="1"/>
          <w:lang w:eastAsia="en-GB"/>
        </w:rPr>
        <w:t>Reguleerimisala</w:t>
      </w:r>
    </w:p>
    <w:p w14:paraId="03DA87C2" w14:textId="3A7F8E99" w:rsidR="009347C0" w:rsidRPr="00AC4DD4" w:rsidRDefault="009347C0" w:rsidP="009347C0">
      <w:pPr>
        <w:shd w:val="clear" w:color="auto" w:fill="FFFFFF"/>
        <w:spacing w:before="0"/>
        <w:outlineLvl w:val="2"/>
        <w:rPr>
          <w:bCs/>
          <w:sz w:val="22"/>
          <w:bdr w:val="none" w:sz="0" w:space="0" w:color="auto" w:frame="1"/>
          <w:lang w:eastAsia="en-GB"/>
        </w:rPr>
      </w:pPr>
      <w:r w:rsidRPr="00AC4DD4">
        <w:rPr>
          <w:bCs/>
          <w:sz w:val="22"/>
          <w:bdr w:val="none" w:sz="0" w:space="0" w:color="auto" w:frame="1"/>
          <w:lang w:eastAsia="en-GB"/>
        </w:rPr>
        <w:t>Käesol</w:t>
      </w:r>
      <w:r>
        <w:rPr>
          <w:bCs/>
          <w:sz w:val="22"/>
          <w:bdr w:val="none" w:sz="0" w:space="0" w:color="auto" w:frame="1"/>
          <w:lang w:eastAsia="en-GB"/>
        </w:rPr>
        <w:t>e</w:t>
      </w:r>
      <w:r w:rsidRPr="00AC4DD4">
        <w:rPr>
          <w:bCs/>
          <w:sz w:val="22"/>
          <w:bdr w:val="none" w:sz="0" w:space="0" w:color="auto" w:frame="1"/>
          <w:lang w:eastAsia="en-GB"/>
        </w:rPr>
        <w:t xml:space="preserve">v määrus sätestab </w:t>
      </w:r>
      <w:proofErr w:type="spellStart"/>
      <w:r>
        <w:rPr>
          <w:bCs/>
          <w:sz w:val="22"/>
          <w:bdr w:val="none" w:sz="0" w:space="0" w:color="auto" w:frame="1"/>
          <w:lang w:eastAsia="en-GB"/>
        </w:rPr>
        <w:t>krüptovara</w:t>
      </w:r>
      <w:proofErr w:type="spellEnd"/>
      <w:r>
        <w:rPr>
          <w:bCs/>
          <w:sz w:val="22"/>
          <w:bdr w:val="none" w:sz="0" w:space="0" w:color="auto" w:frame="1"/>
          <w:lang w:eastAsia="en-GB"/>
        </w:rPr>
        <w:t xml:space="preserve"> ja </w:t>
      </w:r>
      <w:proofErr w:type="spellStart"/>
      <w:r>
        <w:rPr>
          <w:bCs/>
          <w:sz w:val="22"/>
          <w:bdr w:val="none" w:sz="0" w:space="0" w:color="auto" w:frame="1"/>
          <w:lang w:eastAsia="en-GB"/>
        </w:rPr>
        <w:t>ühisrahatuse</w:t>
      </w:r>
      <w:proofErr w:type="spellEnd"/>
      <w:r>
        <w:rPr>
          <w:bCs/>
          <w:sz w:val="22"/>
          <w:bdr w:val="none" w:sz="0" w:space="0" w:color="auto" w:frame="1"/>
          <w:lang w:eastAsia="en-GB"/>
        </w:rPr>
        <w:t xml:space="preserve"> </w:t>
      </w:r>
      <w:r w:rsidRPr="00AC4DD4">
        <w:rPr>
          <w:bCs/>
          <w:sz w:val="22"/>
          <w:bdr w:val="none" w:sz="0" w:space="0" w:color="auto" w:frame="1"/>
          <w:lang w:eastAsia="en-GB"/>
        </w:rPr>
        <w:t xml:space="preserve">teenuse osutaja (edaspidi koos </w:t>
      </w:r>
      <w:r w:rsidRPr="00AC4DD4">
        <w:rPr>
          <w:bCs/>
          <w:i/>
          <w:sz w:val="22"/>
          <w:bdr w:val="none" w:sz="0" w:space="0" w:color="auto" w:frame="1"/>
          <w:lang w:eastAsia="en-GB"/>
        </w:rPr>
        <w:t>teenuseosutaja</w:t>
      </w:r>
      <w:r w:rsidRPr="00AC4DD4">
        <w:rPr>
          <w:bCs/>
          <w:sz w:val="22"/>
          <w:bdr w:val="none" w:sz="0" w:space="0" w:color="auto" w:frame="1"/>
          <w:lang w:eastAsia="en-GB"/>
        </w:rPr>
        <w:t>) majandusaasta püsivate üldkulude arvutamise põhimõtted ning Finantsinspektsioonile esitatavate aruannete koostamise metoodika ja esitamise korra.</w:t>
      </w:r>
    </w:p>
    <w:p w14:paraId="7196BDD8" w14:textId="77777777" w:rsidR="009347C0" w:rsidRPr="00AC4DD4" w:rsidRDefault="009347C0" w:rsidP="009347C0">
      <w:pPr>
        <w:shd w:val="clear" w:color="auto" w:fill="FFFFFF"/>
        <w:spacing w:before="0"/>
        <w:outlineLvl w:val="2"/>
        <w:rPr>
          <w:b/>
          <w:bCs/>
          <w:sz w:val="22"/>
          <w:bdr w:val="none" w:sz="0" w:space="0" w:color="auto" w:frame="1"/>
          <w:lang w:eastAsia="en-GB"/>
        </w:rPr>
      </w:pPr>
    </w:p>
    <w:p w14:paraId="3EFDF34A" w14:textId="77777777" w:rsidR="009347C0" w:rsidRPr="00AC4DD4" w:rsidRDefault="009347C0" w:rsidP="009347C0">
      <w:pPr>
        <w:shd w:val="clear" w:color="auto" w:fill="FFFFFF"/>
        <w:spacing w:before="0"/>
        <w:outlineLvl w:val="2"/>
        <w:rPr>
          <w:b/>
          <w:bCs/>
          <w:sz w:val="22"/>
          <w:bdr w:val="none" w:sz="0" w:space="0" w:color="auto" w:frame="1"/>
          <w:lang w:eastAsia="en-GB"/>
        </w:rPr>
      </w:pPr>
      <w:r w:rsidRPr="00AC4DD4">
        <w:rPr>
          <w:b/>
          <w:bCs/>
          <w:sz w:val="22"/>
          <w:bdr w:val="none" w:sz="0" w:space="0" w:color="auto" w:frame="1"/>
          <w:lang w:eastAsia="en-GB"/>
        </w:rPr>
        <w:t xml:space="preserve">§ </w:t>
      </w:r>
      <w:r>
        <w:rPr>
          <w:b/>
          <w:bCs/>
          <w:sz w:val="22"/>
          <w:bdr w:val="none" w:sz="0" w:space="0" w:color="auto" w:frame="1"/>
          <w:lang w:eastAsia="en-GB"/>
        </w:rPr>
        <w:t>2.</w:t>
      </w:r>
      <w:r w:rsidRPr="00AC4DD4">
        <w:rPr>
          <w:b/>
          <w:bCs/>
          <w:sz w:val="22"/>
          <w:bdr w:val="none" w:sz="0" w:space="0" w:color="auto" w:frame="1"/>
          <w:lang w:eastAsia="en-GB"/>
        </w:rPr>
        <w:t xml:space="preserve"> Püsivate üldkulude arvutamine</w:t>
      </w:r>
    </w:p>
    <w:p w14:paraId="4178EC88" w14:textId="77777777" w:rsidR="009347C0" w:rsidRPr="00AC4DD4" w:rsidRDefault="009347C0" w:rsidP="009347C0">
      <w:pPr>
        <w:shd w:val="clear" w:color="auto" w:fill="FFFFFF"/>
        <w:spacing w:before="0"/>
        <w:rPr>
          <w:color w:val="202020"/>
          <w:sz w:val="22"/>
          <w:lang w:eastAsia="en-GB"/>
        </w:rPr>
      </w:pPr>
      <w:r w:rsidRPr="00AC4DD4">
        <w:rPr>
          <w:color w:val="202020"/>
          <w:sz w:val="22"/>
          <w:lang w:eastAsia="en-GB"/>
        </w:rPr>
        <w:t>(1) Püsivate üldkulude arvutamisel võetakse aluseks viimane aktsionäride üldkoosolekul või osanike koosolekul kinnitatud majandusaasta aruanne.</w:t>
      </w:r>
    </w:p>
    <w:p w14:paraId="5716F4B2" w14:textId="2D696B63" w:rsidR="009347C0" w:rsidRDefault="009347C0" w:rsidP="009347C0">
      <w:pPr>
        <w:shd w:val="clear" w:color="auto" w:fill="FFFFFF"/>
        <w:spacing w:before="0"/>
        <w:jc w:val="left"/>
        <w:rPr>
          <w:color w:val="202020"/>
          <w:sz w:val="22"/>
          <w:lang w:eastAsia="en-GB"/>
        </w:rPr>
      </w:pPr>
      <w:r w:rsidRPr="00AC4DD4">
        <w:rPr>
          <w:color w:val="202020"/>
          <w:sz w:val="22"/>
          <w:lang w:eastAsia="en-GB"/>
        </w:rPr>
        <w:t>(2) Püsivate üldkulude arvutamiseks summeeritakse järgmised näitajad:</w:t>
      </w:r>
      <w:r w:rsidRPr="00AC4DD4">
        <w:rPr>
          <w:color w:val="202020"/>
          <w:sz w:val="22"/>
          <w:lang w:eastAsia="en-GB"/>
        </w:rPr>
        <w:br/>
        <w:t>1) „Mitmesugused tegevuskulud”;</w:t>
      </w:r>
      <w:r w:rsidRPr="00AC4DD4">
        <w:rPr>
          <w:color w:val="202020"/>
          <w:sz w:val="22"/>
          <w:lang w:eastAsia="en-GB"/>
        </w:rPr>
        <w:br/>
        <w:t>2) „Põhivara kulum ja väärtuse langus”;</w:t>
      </w:r>
      <w:r w:rsidRPr="00AC4DD4">
        <w:rPr>
          <w:color w:val="202020"/>
          <w:sz w:val="22"/>
          <w:lang w:eastAsia="en-GB"/>
        </w:rPr>
        <w:br/>
        <w:t>3) „Muud ärikulud”.</w:t>
      </w:r>
    </w:p>
    <w:p w14:paraId="26B641F5" w14:textId="77777777" w:rsidR="009347C0" w:rsidRPr="00AC4DD4" w:rsidRDefault="009347C0" w:rsidP="009347C0">
      <w:pPr>
        <w:shd w:val="clear" w:color="auto" w:fill="FFFFFF"/>
        <w:spacing w:before="0"/>
        <w:rPr>
          <w:color w:val="202020"/>
          <w:sz w:val="22"/>
          <w:lang w:eastAsia="en-GB"/>
        </w:rPr>
      </w:pPr>
    </w:p>
    <w:p w14:paraId="390D200F" w14:textId="77777777" w:rsidR="009347C0" w:rsidRPr="00AC4DD4" w:rsidRDefault="009347C0" w:rsidP="009347C0">
      <w:pPr>
        <w:shd w:val="clear" w:color="auto" w:fill="FFFFFF"/>
        <w:spacing w:before="0"/>
        <w:rPr>
          <w:color w:val="202020"/>
          <w:sz w:val="22"/>
          <w:lang w:eastAsia="en-GB"/>
        </w:rPr>
      </w:pPr>
      <w:r>
        <w:rPr>
          <w:color w:val="0061AA"/>
          <w:sz w:val="22"/>
          <w:bdr w:val="none" w:sz="0" w:space="0" w:color="auto" w:frame="1"/>
          <w:lang w:eastAsia="en-GB"/>
        </w:rPr>
        <w:t>(</w:t>
      </w:r>
      <w:r>
        <w:rPr>
          <w:color w:val="202020"/>
          <w:sz w:val="22"/>
          <w:lang w:eastAsia="en-GB"/>
        </w:rPr>
        <w:t>2</w:t>
      </w:r>
      <w:r w:rsidRPr="00AC4DD4">
        <w:rPr>
          <w:color w:val="202020"/>
          <w:sz w:val="22"/>
          <w:lang w:eastAsia="en-GB"/>
        </w:rPr>
        <w:t>) Mitmesugused tegevuskulud on administratiivsetel ja muudel põhitegevusega mitte otseselt seotud eesmärkidel ostetud teenuste ja abimaterjalide kulud</w:t>
      </w:r>
      <w:r>
        <w:rPr>
          <w:color w:val="202020"/>
          <w:sz w:val="22"/>
          <w:lang w:eastAsia="en-GB"/>
        </w:rPr>
        <w:t xml:space="preserve"> </w:t>
      </w:r>
      <w:r w:rsidRPr="002F3AC5">
        <w:rPr>
          <w:i/>
          <w:iCs/>
          <w:color w:val="202020"/>
          <w:sz w:val="22"/>
          <w:lang w:eastAsia="en-GB"/>
        </w:rPr>
        <w:t>[</w:t>
      </w:r>
      <w:r>
        <w:rPr>
          <w:i/>
          <w:iCs/>
          <w:color w:val="202020"/>
          <w:sz w:val="22"/>
          <w:lang w:eastAsia="en-GB"/>
        </w:rPr>
        <w:t xml:space="preserve">või </w:t>
      </w:r>
      <w:r w:rsidRPr="002F3AC5">
        <w:rPr>
          <w:i/>
          <w:iCs/>
          <w:color w:val="202020"/>
          <w:sz w:val="22"/>
          <w:lang w:eastAsia="en-GB"/>
        </w:rPr>
        <w:t>vastavalt kasumiaruande kirjetele …]</w:t>
      </w:r>
      <w:r w:rsidRPr="00AC4DD4">
        <w:rPr>
          <w:color w:val="202020"/>
          <w:sz w:val="22"/>
          <w:lang w:eastAsia="en-GB"/>
        </w:rPr>
        <w:t>.</w:t>
      </w:r>
    </w:p>
    <w:p w14:paraId="0EDA46C2" w14:textId="77777777" w:rsidR="009347C0" w:rsidRDefault="009347C0" w:rsidP="009347C0">
      <w:pPr>
        <w:shd w:val="clear" w:color="auto" w:fill="FFFFFF"/>
        <w:spacing w:before="0"/>
        <w:rPr>
          <w:color w:val="202020"/>
          <w:sz w:val="22"/>
          <w:lang w:eastAsia="en-GB"/>
        </w:rPr>
      </w:pPr>
    </w:p>
    <w:p w14:paraId="0591E797" w14:textId="23304BD7" w:rsidR="009347C0" w:rsidRPr="0071795E" w:rsidRDefault="009347C0" w:rsidP="009347C0">
      <w:pPr>
        <w:shd w:val="clear" w:color="auto" w:fill="FFFFFF"/>
        <w:spacing w:before="0"/>
        <w:rPr>
          <w:color w:val="0061AA"/>
          <w:sz w:val="22"/>
          <w:bdr w:val="none" w:sz="0" w:space="0" w:color="auto" w:frame="1"/>
          <w:lang w:eastAsia="en-GB"/>
        </w:rPr>
      </w:pPr>
      <w:r w:rsidRPr="00AC4DD4">
        <w:rPr>
          <w:color w:val="202020"/>
          <w:sz w:val="22"/>
          <w:lang w:eastAsia="en-GB"/>
        </w:rPr>
        <w:t>(</w:t>
      </w:r>
      <w:r>
        <w:rPr>
          <w:color w:val="202020"/>
          <w:sz w:val="22"/>
          <w:lang w:eastAsia="en-GB"/>
        </w:rPr>
        <w:t>3</w:t>
      </w:r>
      <w:r w:rsidRPr="00AC4DD4">
        <w:rPr>
          <w:color w:val="202020"/>
          <w:sz w:val="22"/>
          <w:lang w:eastAsia="en-GB"/>
        </w:rPr>
        <w:t>) Põhivara kulum ja väärtuse langus on materiaalselt ja immateriaalselt põhivaralt ja soetusmaksumuse meetodil kajastatavatelt kinnisvarainvesteeringutelt arvestatud amortisatsioonikulu ja väärtuse langusest tekkinud kulud.</w:t>
      </w:r>
    </w:p>
    <w:p w14:paraId="362683C1" w14:textId="77777777" w:rsidR="009347C0" w:rsidRDefault="009347C0" w:rsidP="009347C0">
      <w:pPr>
        <w:shd w:val="clear" w:color="auto" w:fill="FFFFFF"/>
        <w:spacing w:before="0"/>
        <w:rPr>
          <w:color w:val="202020"/>
          <w:sz w:val="22"/>
          <w:lang w:eastAsia="en-GB"/>
        </w:rPr>
      </w:pPr>
    </w:p>
    <w:p w14:paraId="24EDD826" w14:textId="66D9372C" w:rsidR="009347C0" w:rsidRPr="00AC4DD4" w:rsidRDefault="009347C0" w:rsidP="009347C0">
      <w:pPr>
        <w:shd w:val="clear" w:color="auto" w:fill="FFFFFF"/>
        <w:spacing w:before="0"/>
        <w:rPr>
          <w:color w:val="202020"/>
          <w:sz w:val="22"/>
          <w:lang w:eastAsia="en-GB"/>
        </w:rPr>
      </w:pPr>
      <w:r w:rsidRPr="00AC4DD4">
        <w:rPr>
          <w:color w:val="202020"/>
          <w:sz w:val="22"/>
          <w:lang w:eastAsia="en-GB"/>
        </w:rPr>
        <w:t>(</w:t>
      </w:r>
      <w:r>
        <w:rPr>
          <w:color w:val="202020"/>
          <w:sz w:val="22"/>
          <w:lang w:eastAsia="en-GB"/>
        </w:rPr>
        <w:t>4</w:t>
      </w:r>
      <w:r w:rsidRPr="00AC4DD4">
        <w:rPr>
          <w:color w:val="202020"/>
          <w:sz w:val="22"/>
          <w:lang w:eastAsia="en-GB"/>
        </w:rPr>
        <w:t>) Muud ärikulud on ebaregulaarselt äritegevuse käigus tekkinud kulud, sealhulgas kahjum materiaalse ja immateriaalse põhivara ning kinnisvarainvesteeringute müügist; trahvid ja viivised, netokahjum valuutakursimuutustest nõuetelt ostjate vastu ja kohustustest müüjate ees</w:t>
      </w:r>
      <w:r>
        <w:rPr>
          <w:color w:val="202020"/>
          <w:sz w:val="22"/>
          <w:lang w:eastAsia="en-GB"/>
        </w:rPr>
        <w:t xml:space="preserve"> </w:t>
      </w:r>
      <w:r w:rsidRPr="002F3AC5">
        <w:rPr>
          <w:i/>
          <w:iCs/>
          <w:color w:val="202020"/>
          <w:sz w:val="22"/>
          <w:lang w:eastAsia="en-GB"/>
        </w:rPr>
        <w:t>[</w:t>
      </w:r>
      <w:r>
        <w:rPr>
          <w:i/>
          <w:iCs/>
          <w:color w:val="202020"/>
          <w:sz w:val="22"/>
          <w:lang w:eastAsia="en-GB"/>
        </w:rPr>
        <w:t xml:space="preserve">või </w:t>
      </w:r>
      <w:r w:rsidRPr="002F3AC5">
        <w:rPr>
          <w:i/>
          <w:iCs/>
          <w:color w:val="202020"/>
          <w:sz w:val="22"/>
          <w:lang w:eastAsia="en-GB"/>
        </w:rPr>
        <w:t>vastavalt kasumiaruande kirjetele …]</w:t>
      </w:r>
      <w:r w:rsidRPr="00AC4DD4">
        <w:rPr>
          <w:color w:val="202020"/>
          <w:sz w:val="22"/>
          <w:lang w:eastAsia="en-GB"/>
        </w:rPr>
        <w:t>.</w:t>
      </w:r>
    </w:p>
    <w:p w14:paraId="58EF5815" w14:textId="77777777" w:rsidR="009347C0" w:rsidRDefault="009347C0" w:rsidP="009347C0">
      <w:pPr>
        <w:shd w:val="clear" w:color="auto" w:fill="FFFFFF"/>
        <w:spacing w:before="0"/>
        <w:rPr>
          <w:color w:val="202020"/>
          <w:sz w:val="22"/>
          <w:lang w:eastAsia="en-GB"/>
        </w:rPr>
      </w:pPr>
    </w:p>
    <w:p w14:paraId="6DA9E5EB" w14:textId="7E9944BF" w:rsidR="009347C0" w:rsidRPr="00AC4DD4" w:rsidRDefault="009347C0" w:rsidP="009347C0">
      <w:pPr>
        <w:shd w:val="clear" w:color="auto" w:fill="FFFFFF"/>
        <w:spacing w:before="0"/>
        <w:rPr>
          <w:color w:val="202020"/>
          <w:sz w:val="22"/>
          <w:lang w:eastAsia="en-GB"/>
        </w:rPr>
      </w:pPr>
      <w:r w:rsidRPr="00AC4DD4">
        <w:rPr>
          <w:color w:val="202020"/>
          <w:sz w:val="22"/>
          <w:lang w:eastAsia="en-GB"/>
        </w:rPr>
        <w:t>(</w:t>
      </w:r>
      <w:r>
        <w:rPr>
          <w:color w:val="202020"/>
          <w:sz w:val="22"/>
          <w:lang w:eastAsia="en-GB"/>
        </w:rPr>
        <w:t>5</w:t>
      </w:r>
      <w:r w:rsidRPr="00AC4DD4">
        <w:rPr>
          <w:color w:val="202020"/>
          <w:sz w:val="22"/>
          <w:lang w:eastAsia="en-GB"/>
        </w:rPr>
        <w:t>) Finantsinspektsiooni eelneva kirjaliku nõusoleku alusel võib püsivate üldkulude suuruse arvutamisel maha arvata ühekordsed aruandeaasta erakorralistest asjaoludest tingitult püsivate kulude hulka kuuluvad kulud.</w:t>
      </w:r>
    </w:p>
    <w:p w14:paraId="29E64E46" w14:textId="77777777" w:rsidR="009347C0" w:rsidRPr="00CC353C" w:rsidRDefault="009347C0" w:rsidP="009347C0">
      <w:pPr>
        <w:rPr>
          <w:b/>
          <w:bCs/>
          <w:bdr w:val="none" w:sz="0" w:space="0" w:color="auto" w:frame="1"/>
          <w:lang w:eastAsia="en-GB"/>
        </w:rPr>
      </w:pPr>
    </w:p>
    <w:p w14:paraId="0355AE79" w14:textId="77777777" w:rsidR="009347C0" w:rsidRDefault="009347C0" w:rsidP="009347C0">
      <w:pPr>
        <w:spacing w:after="160" w:line="259" w:lineRule="auto"/>
        <w:rPr>
          <w:sz w:val="22"/>
        </w:rPr>
      </w:pPr>
      <w:r>
        <w:rPr>
          <w:sz w:val="22"/>
        </w:rPr>
        <w:br w:type="page"/>
      </w:r>
    </w:p>
    <w:p w14:paraId="0912FFAC" w14:textId="77777777" w:rsidR="009347C0" w:rsidRPr="00034EA6" w:rsidRDefault="009347C0" w:rsidP="00034EA6">
      <w:pPr>
        <w:spacing w:before="0"/>
        <w:contextualSpacing/>
        <w:rPr>
          <w:rFonts w:eastAsia="Calibri"/>
          <w:b/>
          <w:bCs/>
          <w:sz w:val="22"/>
          <w:szCs w:val="22"/>
          <w:u w:val="single"/>
        </w:rPr>
      </w:pPr>
      <w:r w:rsidRPr="00034EA6">
        <w:rPr>
          <w:rFonts w:eastAsia="Calibri"/>
          <w:b/>
          <w:bCs/>
          <w:sz w:val="22"/>
          <w:szCs w:val="22"/>
          <w:u w:val="single"/>
        </w:rPr>
        <w:lastRenderedPageBreak/>
        <w:t>Määruse eelnõu kavand nr 4</w:t>
      </w:r>
    </w:p>
    <w:p w14:paraId="38E7274D" w14:textId="77777777" w:rsidR="009347C0" w:rsidRPr="00034EA6" w:rsidRDefault="009347C0" w:rsidP="00034EA6">
      <w:pPr>
        <w:spacing w:before="0"/>
        <w:rPr>
          <w:sz w:val="22"/>
          <w:szCs w:val="22"/>
        </w:rPr>
      </w:pPr>
    </w:p>
    <w:p w14:paraId="16DB8932" w14:textId="77777777" w:rsidR="009347C0" w:rsidRPr="00034EA6" w:rsidRDefault="009347C0" w:rsidP="00034EA6">
      <w:pPr>
        <w:spacing w:before="0"/>
        <w:rPr>
          <w:b/>
          <w:bCs/>
          <w:sz w:val="22"/>
          <w:szCs w:val="22"/>
        </w:rPr>
      </w:pPr>
      <w:r w:rsidRPr="00034EA6">
        <w:rPr>
          <w:b/>
          <w:bCs/>
          <w:sz w:val="22"/>
          <w:szCs w:val="22"/>
        </w:rPr>
        <w:t xml:space="preserve">Rahandusministri määrus </w:t>
      </w:r>
    </w:p>
    <w:p w14:paraId="7F2AFCEE" w14:textId="77777777" w:rsidR="009347C0" w:rsidRPr="00034EA6" w:rsidRDefault="009347C0" w:rsidP="00034EA6">
      <w:pPr>
        <w:spacing w:before="0"/>
        <w:rPr>
          <w:b/>
          <w:bCs/>
          <w:sz w:val="22"/>
          <w:szCs w:val="22"/>
        </w:rPr>
      </w:pPr>
      <w:r w:rsidRPr="00034EA6">
        <w:rPr>
          <w:b/>
          <w:bCs/>
          <w:sz w:val="22"/>
          <w:szCs w:val="22"/>
        </w:rPr>
        <w:t>„</w:t>
      </w:r>
      <w:proofErr w:type="spellStart"/>
      <w:r w:rsidRPr="00034EA6">
        <w:rPr>
          <w:b/>
          <w:bCs/>
          <w:sz w:val="22"/>
          <w:szCs w:val="22"/>
        </w:rPr>
        <w:t>Krüptovarateenuse</w:t>
      </w:r>
      <w:proofErr w:type="spellEnd"/>
      <w:r w:rsidRPr="00034EA6">
        <w:rPr>
          <w:b/>
          <w:bCs/>
          <w:sz w:val="22"/>
          <w:szCs w:val="22"/>
        </w:rPr>
        <w:t xml:space="preserve"> ja </w:t>
      </w:r>
      <w:proofErr w:type="spellStart"/>
      <w:r w:rsidRPr="00034EA6">
        <w:rPr>
          <w:b/>
          <w:bCs/>
          <w:sz w:val="22"/>
          <w:szCs w:val="22"/>
        </w:rPr>
        <w:t>ühisrahastuse</w:t>
      </w:r>
      <w:r w:rsidRPr="00034EA6">
        <w:rPr>
          <w:b/>
          <w:bCs/>
          <w:color w:val="000000"/>
          <w:sz w:val="22"/>
          <w:szCs w:val="22"/>
          <w:bdr w:val="none" w:sz="0" w:space="0" w:color="auto" w:frame="1"/>
          <w:lang w:eastAsia="en-GB"/>
        </w:rPr>
        <w:t>teenuse</w:t>
      </w:r>
      <w:proofErr w:type="spellEnd"/>
      <w:r w:rsidRPr="00034EA6">
        <w:rPr>
          <w:b/>
          <w:bCs/>
          <w:color w:val="000000"/>
          <w:sz w:val="22"/>
          <w:szCs w:val="22"/>
          <w:bdr w:val="none" w:sz="0" w:space="0" w:color="auto" w:frame="1"/>
          <w:lang w:eastAsia="en-GB"/>
        </w:rPr>
        <w:t xml:space="preserve"> osutaja Finantsinspektsioonile esitatavate aruannete sisu, vormid, koostamise metoodika ja esitamise kord</w:t>
      </w:r>
      <w:r w:rsidRPr="00034EA6">
        <w:rPr>
          <w:b/>
          <w:bCs/>
          <w:sz w:val="22"/>
          <w:szCs w:val="22"/>
        </w:rPr>
        <w:t xml:space="preserve">“ </w:t>
      </w:r>
    </w:p>
    <w:p w14:paraId="2F363863" w14:textId="77777777" w:rsidR="009347C0" w:rsidRPr="007F70E6" w:rsidRDefault="009347C0" w:rsidP="00034EA6">
      <w:pPr>
        <w:spacing w:before="0"/>
        <w:rPr>
          <w:sz w:val="22"/>
          <w:szCs w:val="22"/>
        </w:rPr>
      </w:pPr>
    </w:p>
    <w:p w14:paraId="4E1E069B" w14:textId="77777777" w:rsidR="009347C0" w:rsidRPr="00034EA6" w:rsidRDefault="009347C0" w:rsidP="00034EA6">
      <w:pPr>
        <w:spacing w:before="0"/>
        <w:rPr>
          <w:sz w:val="22"/>
          <w:szCs w:val="22"/>
        </w:rPr>
      </w:pPr>
      <w:r w:rsidRPr="007F70E6">
        <w:rPr>
          <w:sz w:val="22"/>
          <w:szCs w:val="22"/>
        </w:rPr>
        <w:t xml:space="preserve">Määrus kehtestatakse </w:t>
      </w:r>
      <w:hyperlink r:id="rId27" w:history="1">
        <w:proofErr w:type="spellStart"/>
        <w:r w:rsidRPr="00034EA6">
          <w:rPr>
            <w:sz w:val="22"/>
            <w:szCs w:val="22"/>
          </w:rPr>
          <w:t>krüptovara</w:t>
        </w:r>
        <w:proofErr w:type="spellEnd"/>
        <w:r w:rsidRPr="00034EA6">
          <w:rPr>
            <w:sz w:val="22"/>
            <w:szCs w:val="22"/>
          </w:rPr>
          <w:t xml:space="preserve"> ja </w:t>
        </w:r>
        <w:proofErr w:type="spellStart"/>
        <w:r w:rsidRPr="00034EA6">
          <w:rPr>
            <w:sz w:val="22"/>
            <w:szCs w:val="22"/>
          </w:rPr>
          <w:t>ühisrahastuse</w:t>
        </w:r>
        <w:proofErr w:type="spellEnd"/>
        <w:r w:rsidRPr="00034EA6">
          <w:rPr>
            <w:sz w:val="22"/>
            <w:szCs w:val="22"/>
          </w:rPr>
          <w:t xml:space="preserve"> seaduse</w:t>
        </w:r>
      </w:hyperlink>
      <w:r w:rsidRPr="00034EA6">
        <w:rPr>
          <w:sz w:val="22"/>
          <w:szCs w:val="22"/>
        </w:rPr>
        <w:t xml:space="preserve"> (edaspidi </w:t>
      </w:r>
      <w:r w:rsidRPr="00034EA6">
        <w:rPr>
          <w:i/>
          <w:iCs/>
          <w:sz w:val="22"/>
          <w:szCs w:val="22"/>
        </w:rPr>
        <w:t>seadus</w:t>
      </w:r>
      <w:r w:rsidRPr="00034EA6">
        <w:rPr>
          <w:sz w:val="22"/>
          <w:szCs w:val="22"/>
        </w:rPr>
        <w:t>) § 76 lõike 6 alusel.</w:t>
      </w:r>
    </w:p>
    <w:p w14:paraId="70F03D93" w14:textId="77777777" w:rsidR="009347C0" w:rsidRPr="00034EA6" w:rsidRDefault="009347C0" w:rsidP="00034EA6">
      <w:pPr>
        <w:spacing w:before="0"/>
        <w:rPr>
          <w:sz w:val="22"/>
          <w:szCs w:val="22"/>
        </w:rPr>
      </w:pPr>
    </w:p>
    <w:p w14:paraId="4B77255D" w14:textId="77777777" w:rsidR="009347C0" w:rsidRPr="00034EA6" w:rsidRDefault="009347C0" w:rsidP="00034EA6">
      <w:pPr>
        <w:shd w:val="clear" w:color="auto" w:fill="FFFFFF"/>
        <w:spacing w:before="0"/>
        <w:outlineLvl w:val="2"/>
        <w:rPr>
          <w:b/>
          <w:bCs/>
          <w:sz w:val="22"/>
          <w:szCs w:val="22"/>
          <w:bdr w:val="none" w:sz="0" w:space="0" w:color="auto" w:frame="1"/>
          <w:lang w:eastAsia="en-GB"/>
        </w:rPr>
      </w:pPr>
      <w:r w:rsidRPr="00034EA6">
        <w:rPr>
          <w:b/>
          <w:bCs/>
          <w:sz w:val="22"/>
          <w:szCs w:val="22"/>
          <w:bdr w:val="none" w:sz="0" w:space="0" w:color="auto" w:frame="1"/>
          <w:lang w:eastAsia="en-GB"/>
        </w:rPr>
        <w:t>§ 1.  Reguleerimisala</w:t>
      </w:r>
    </w:p>
    <w:p w14:paraId="34E14F75" w14:textId="77777777" w:rsidR="009347C0" w:rsidRPr="007F70E6" w:rsidRDefault="009347C0" w:rsidP="00034EA6">
      <w:pPr>
        <w:shd w:val="clear" w:color="auto" w:fill="FFFFFF"/>
        <w:spacing w:before="0"/>
        <w:outlineLvl w:val="2"/>
        <w:rPr>
          <w:b/>
          <w:bCs/>
          <w:sz w:val="22"/>
          <w:szCs w:val="22"/>
          <w:bdr w:val="none" w:sz="0" w:space="0" w:color="auto" w:frame="1"/>
          <w:lang w:eastAsia="en-GB"/>
        </w:rPr>
      </w:pPr>
    </w:p>
    <w:p w14:paraId="42B1F9D8" w14:textId="77777777" w:rsidR="009347C0" w:rsidRPr="007F70E6" w:rsidRDefault="009347C0" w:rsidP="00034EA6">
      <w:pPr>
        <w:shd w:val="clear" w:color="auto" w:fill="FFFFFF"/>
        <w:spacing w:before="0"/>
        <w:outlineLvl w:val="2"/>
        <w:rPr>
          <w:bCs/>
          <w:sz w:val="22"/>
          <w:szCs w:val="22"/>
          <w:bdr w:val="none" w:sz="0" w:space="0" w:color="auto" w:frame="1"/>
          <w:lang w:eastAsia="en-GB"/>
        </w:rPr>
      </w:pPr>
      <w:r w:rsidRPr="007F70E6">
        <w:rPr>
          <w:bCs/>
          <w:sz w:val="22"/>
          <w:szCs w:val="22"/>
          <w:bdr w:val="none" w:sz="0" w:space="0" w:color="auto" w:frame="1"/>
          <w:lang w:eastAsia="en-GB"/>
        </w:rPr>
        <w:t xml:space="preserve">Käesolev määrus sätestab </w:t>
      </w:r>
      <w:proofErr w:type="spellStart"/>
      <w:r w:rsidRPr="007F70E6">
        <w:rPr>
          <w:bCs/>
          <w:sz w:val="22"/>
          <w:szCs w:val="22"/>
          <w:bdr w:val="none" w:sz="0" w:space="0" w:color="auto" w:frame="1"/>
          <w:lang w:eastAsia="en-GB"/>
        </w:rPr>
        <w:t>krüptovarateenuse</w:t>
      </w:r>
      <w:proofErr w:type="spellEnd"/>
      <w:r w:rsidRPr="007F70E6">
        <w:rPr>
          <w:bCs/>
          <w:sz w:val="22"/>
          <w:szCs w:val="22"/>
          <w:bdr w:val="none" w:sz="0" w:space="0" w:color="auto" w:frame="1"/>
          <w:lang w:eastAsia="en-GB"/>
        </w:rPr>
        <w:t xml:space="preserve"> ja </w:t>
      </w:r>
      <w:proofErr w:type="spellStart"/>
      <w:r w:rsidRPr="007F70E6">
        <w:rPr>
          <w:bCs/>
          <w:sz w:val="22"/>
          <w:szCs w:val="22"/>
          <w:bdr w:val="none" w:sz="0" w:space="0" w:color="auto" w:frame="1"/>
          <w:lang w:eastAsia="en-GB"/>
        </w:rPr>
        <w:t>ühisrahastusteenuse</w:t>
      </w:r>
      <w:proofErr w:type="spellEnd"/>
      <w:r w:rsidRPr="007F70E6">
        <w:rPr>
          <w:bCs/>
          <w:sz w:val="22"/>
          <w:szCs w:val="22"/>
          <w:bdr w:val="none" w:sz="0" w:space="0" w:color="auto" w:frame="1"/>
          <w:lang w:eastAsia="en-GB"/>
        </w:rPr>
        <w:t xml:space="preserve"> osutaja (edaspidi koos </w:t>
      </w:r>
      <w:r w:rsidRPr="007F70E6">
        <w:rPr>
          <w:bCs/>
          <w:i/>
          <w:sz w:val="22"/>
          <w:szCs w:val="22"/>
          <w:bdr w:val="none" w:sz="0" w:space="0" w:color="auto" w:frame="1"/>
          <w:lang w:eastAsia="en-GB"/>
        </w:rPr>
        <w:t>teenuseosutaja</w:t>
      </w:r>
      <w:r w:rsidRPr="007F70E6">
        <w:rPr>
          <w:bCs/>
          <w:sz w:val="22"/>
          <w:szCs w:val="22"/>
          <w:bdr w:val="none" w:sz="0" w:space="0" w:color="auto" w:frame="1"/>
          <w:lang w:eastAsia="en-GB"/>
        </w:rPr>
        <w:t>) Finantsinspektsioonile esitatavate aruannete koostamise metoodika ja esitamise korra.</w:t>
      </w:r>
    </w:p>
    <w:p w14:paraId="40CAB21A" w14:textId="77777777" w:rsidR="009347C0" w:rsidRPr="007F70E6" w:rsidRDefault="009347C0" w:rsidP="00034EA6">
      <w:pPr>
        <w:shd w:val="clear" w:color="auto" w:fill="FFFFFF"/>
        <w:spacing w:before="0"/>
        <w:outlineLvl w:val="2"/>
        <w:rPr>
          <w:b/>
          <w:bCs/>
          <w:sz w:val="22"/>
          <w:szCs w:val="22"/>
          <w:bdr w:val="none" w:sz="0" w:space="0" w:color="auto" w:frame="1"/>
          <w:lang w:eastAsia="en-GB"/>
        </w:rPr>
      </w:pPr>
    </w:p>
    <w:p w14:paraId="3B1F7918" w14:textId="77777777" w:rsidR="009347C0" w:rsidRPr="002B2C7C" w:rsidRDefault="009347C0" w:rsidP="00034EA6">
      <w:pPr>
        <w:shd w:val="clear" w:color="auto" w:fill="FFFFFF"/>
        <w:spacing w:before="0"/>
        <w:outlineLvl w:val="2"/>
        <w:rPr>
          <w:b/>
          <w:bCs/>
          <w:sz w:val="22"/>
          <w:szCs w:val="22"/>
          <w:bdr w:val="none" w:sz="0" w:space="0" w:color="auto" w:frame="1"/>
          <w:lang w:eastAsia="en-GB"/>
        </w:rPr>
      </w:pPr>
      <w:r w:rsidRPr="00804802">
        <w:rPr>
          <w:b/>
          <w:bCs/>
          <w:sz w:val="22"/>
          <w:szCs w:val="22"/>
          <w:bdr w:val="none" w:sz="0" w:space="0" w:color="auto" w:frame="1"/>
          <w:lang w:eastAsia="en-GB"/>
        </w:rPr>
        <w:t xml:space="preserve">§ </w:t>
      </w:r>
      <w:r w:rsidRPr="002B2C7C">
        <w:rPr>
          <w:b/>
          <w:bCs/>
          <w:sz w:val="22"/>
          <w:szCs w:val="22"/>
          <w:bdr w:val="none" w:sz="0" w:space="0" w:color="auto" w:frame="1"/>
          <w:lang w:eastAsia="en-GB"/>
        </w:rPr>
        <w:t>2. Teenuseosutaja omavahendid</w:t>
      </w:r>
    </w:p>
    <w:p w14:paraId="41756BE7" w14:textId="77777777" w:rsidR="009347C0" w:rsidRPr="00AB753A" w:rsidRDefault="009347C0" w:rsidP="00034EA6">
      <w:pPr>
        <w:shd w:val="clear" w:color="auto" w:fill="FFFFFF"/>
        <w:spacing w:before="0"/>
        <w:outlineLvl w:val="2"/>
        <w:rPr>
          <w:b/>
          <w:bCs/>
          <w:sz w:val="22"/>
          <w:szCs w:val="22"/>
          <w:bdr w:val="none" w:sz="0" w:space="0" w:color="auto" w:frame="1"/>
          <w:lang w:eastAsia="en-GB"/>
        </w:rPr>
      </w:pPr>
    </w:p>
    <w:p w14:paraId="50B9631F" w14:textId="77777777" w:rsidR="009347C0" w:rsidRPr="00694D2E" w:rsidRDefault="009347C0" w:rsidP="00034EA6">
      <w:pPr>
        <w:shd w:val="clear" w:color="auto" w:fill="FFFFFF"/>
        <w:spacing w:before="0"/>
        <w:rPr>
          <w:sz w:val="22"/>
          <w:szCs w:val="22"/>
        </w:rPr>
      </w:pPr>
      <w:r w:rsidRPr="00AB753A">
        <w:rPr>
          <w:sz w:val="22"/>
          <w:szCs w:val="22"/>
        </w:rPr>
        <w:t>(1) Teenuseosutaja omavahendite minimaalsuuruse arvutamisel lähtutakse seaduse §-s 73 sätestatust.</w:t>
      </w:r>
    </w:p>
    <w:p w14:paraId="731C6CCF" w14:textId="77777777" w:rsidR="009347C0" w:rsidRPr="00E56916" w:rsidRDefault="009347C0" w:rsidP="00034EA6">
      <w:pPr>
        <w:shd w:val="clear" w:color="auto" w:fill="FFFFFF"/>
        <w:spacing w:before="0"/>
        <w:rPr>
          <w:sz w:val="22"/>
          <w:szCs w:val="22"/>
        </w:rPr>
      </w:pPr>
      <w:r w:rsidRPr="00E56916">
        <w:rPr>
          <w:sz w:val="22"/>
          <w:szCs w:val="22"/>
        </w:rPr>
        <w:t>(2) Finantsinspektsioonil on õigus pärast teenuseosutaja majandusaasta aruande kinnitamist nõuda omavahendite minimaalsuuruse arvutamisel aluseks võetud püsivate üldkulude suuruse korrigeerimist juhul, kui on põhjendatud alus arvata, et esitatud üldkulude summa ei vasta tegelikkusele, või kui teenuseosutaja äritegevuses on toimunud olulisi muudatusi.</w:t>
      </w:r>
    </w:p>
    <w:p w14:paraId="24872528" w14:textId="77777777" w:rsidR="009347C0" w:rsidRPr="009F065E" w:rsidRDefault="009347C0" w:rsidP="00034EA6">
      <w:pPr>
        <w:shd w:val="clear" w:color="auto" w:fill="FFFFFF"/>
        <w:spacing w:before="0"/>
        <w:outlineLvl w:val="2"/>
        <w:rPr>
          <w:b/>
          <w:bCs/>
          <w:sz w:val="22"/>
          <w:szCs w:val="22"/>
          <w:bdr w:val="none" w:sz="0" w:space="0" w:color="auto" w:frame="1"/>
          <w:lang w:eastAsia="en-GB"/>
        </w:rPr>
      </w:pPr>
    </w:p>
    <w:p w14:paraId="6FA92EFE" w14:textId="77777777" w:rsidR="009347C0" w:rsidRPr="00034EA6" w:rsidRDefault="009347C0" w:rsidP="00034EA6">
      <w:pPr>
        <w:pStyle w:val="Heading3"/>
        <w:shd w:val="clear" w:color="auto" w:fill="FFFFFF"/>
        <w:spacing w:before="0"/>
        <w:rPr>
          <w:b w:val="0"/>
          <w:bCs w:val="0"/>
          <w:color w:val="000000"/>
          <w:sz w:val="22"/>
          <w:szCs w:val="22"/>
          <w:lang w:val="et-EE"/>
        </w:rPr>
      </w:pPr>
      <w:r w:rsidRPr="00034EA6">
        <w:rPr>
          <w:color w:val="000000"/>
          <w:sz w:val="22"/>
          <w:szCs w:val="22"/>
          <w:bdr w:val="none" w:sz="0" w:space="0" w:color="auto" w:frame="1"/>
          <w:lang w:val="et-EE"/>
        </w:rPr>
        <w:t xml:space="preserve">§ 3. </w:t>
      </w:r>
      <w:r w:rsidRPr="00034EA6">
        <w:rPr>
          <w:color w:val="000000"/>
          <w:sz w:val="22"/>
          <w:szCs w:val="22"/>
          <w:lang w:val="et-EE"/>
        </w:rPr>
        <w:t>Koostatavad aruanded</w:t>
      </w:r>
    </w:p>
    <w:p w14:paraId="487CC0B5" w14:textId="77777777" w:rsidR="009347C0" w:rsidRPr="007F70E6" w:rsidRDefault="009347C0" w:rsidP="00034EA6">
      <w:pPr>
        <w:pStyle w:val="Heading3"/>
        <w:shd w:val="clear" w:color="auto" w:fill="FFFFFF"/>
        <w:spacing w:before="0"/>
        <w:rPr>
          <w:color w:val="000000"/>
          <w:sz w:val="22"/>
          <w:szCs w:val="22"/>
          <w:lang w:val="et-EE"/>
        </w:rPr>
      </w:pPr>
    </w:p>
    <w:p w14:paraId="74F9B219" w14:textId="77777777" w:rsidR="009347C0" w:rsidRPr="00804802" w:rsidRDefault="009347C0" w:rsidP="00C04220">
      <w:pPr>
        <w:shd w:val="clear" w:color="auto" w:fill="FFFFFF"/>
        <w:spacing w:before="0"/>
        <w:jc w:val="left"/>
        <w:rPr>
          <w:color w:val="202020"/>
          <w:sz w:val="22"/>
          <w:szCs w:val="22"/>
        </w:rPr>
      </w:pPr>
      <w:r w:rsidRPr="007F70E6">
        <w:rPr>
          <w:color w:val="202020"/>
          <w:sz w:val="22"/>
          <w:szCs w:val="22"/>
        </w:rPr>
        <w:t>(1) Teenuseosutaja koostab ja esitab Finantsinspektsioonile:</w:t>
      </w:r>
      <w:r w:rsidRPr="007F70E6">
        <w:rPr>
          <w:color w:val="202020"/>
          <w:sz w:val="22"/>
          <w:szCs w:val="22"/>
        </w:rPr>
        <w:br/>
        <w:t>1) „Tehingute aruande” vastavalt lisale 1;</w:t>
      </w:r>
      <w:r w:rsidRPr="007F70E6">
        <w:rPr>
          <w:color w:val="202020"/>
          <w:sz w:val="22"/>
          <w:szCs w:val="22"/>
        </w:rPr>
        <w:br/>
        <w:t>2) „Klientide vara aruande” vastavalt lisale 2;</w:t>
      </w:r>
      <w:r w:rsidRPr="007F70E6">
        <w:rPr>
          <w:color w:val="202020"/>
          <w:sz w:val="22"/>
          <w:szCs w:val="22"/>
        </w:rPr>
        <w:br/>
        <w:t>3) „Omavahendite aruande” vastavalt lisale 3;</w:t>
      </w:r>
      <w:r w:rsidRPr="007F70E6">
        <w:rPr>
          <w:color w:val="202020"/>
          <w:sz w:val="22"/>
          <w:szCs w:val="22"/>
        </w:rPr>
        <w:br/>
        <w:t>4) „Teenuseosutaja bilansi” vastavalt lisale 4;</w:t>
      </w:r>
      <w:r w:rsidRPr="007F70E6">
        <w:rPr>
          <w:color w:val="202020"/>
          <w:sz w:val="22"/>
          <w:szCs w:val="22"/>
        </w:rPr>
        <w:br/>
        <w:t>5) „Teenuseosutaja kasumiaruande” vastavalt lisale 5.</w:t>
      </w:r>
    </w:p>
    <w:p w14:paraId="2A325AD3" w14:textId="65A7A44E" w:rsidR="009347C0" w:rsidRPr="00AB753A" w:rsidRDefault="009347C0" w:rsidP="00034EA6">
      <w:pPr>
        <w:shd w:val="clear" w:color="auto" w:fill="FFFFFF"/>
        <w:spacing w:before="0"/>
        <w:rPr>
          <w:color w:val="0061AA"/>
          <w:sz w:val="22"/>
          <w:szCs w:val="22"/>
          <w:bdr w:val="none" w:sz="0" w:space="0" w:color="auto" w:frame="1"/>
        </w:rPr>
      </w:pPr>
    </w:p>
    <w:p w14:paraId="68D3204D" w14:textId="77777777" w:rsidR="009347C0" w:rsidRPr="0064464F" w:rsidRDefault="009347C0" w:rsidP="00C04220">
      <w:pPr>
        <w:shd w:val="clear" w:color="auto" w:fill="FFFFFF"/>
        <w:spacing w:before="0"/>
        <w:jc w:val="left"/>
        <w:rPr>
          <w:color w:val="202020"/>
          <w:sz w:val="22"/>
          <w:szCs w:val="22"/>
        </w:rPr>
      </w:pPr>
      <w:r w:rsidRPr="00AB753A">
        <w:rPr>
          <w:color w:val="202020"/>
          <w:sz w:val="22"/>
          <w:szCs w:val="22"/>
        </w:rPr>
        <w:t>(2) Aruannete esitamisel peab teenuseosutaja kasutama järgmisi aruannete koode:</w:t>
      </w:r>
      <w:r w:rsidRPr="00AB753A">
        <w:rPr>
          <w:color w:val="202020"/>
          <w:sz w:val="22"/>
          <w:szCs w:val="22"/>
        </w:rPr>
        <w:br/>
        <w:t xml:space="preserve">1) „Tehingute aruanne” koodiga </w:t>
      </w:r>
      <w:proofErr w:type="spellStart"/>
      <w:r w:rsidRPr="00AB753A">
        <w:rPr>
          <w:color w:val="202020"/>
          <w:sz w:val="22"/>
          <w:szCs w:val="22"/>
        </w:rPr>
        <w:t>xxxa</w:t>
      </w:r>
      <w:proofErr w:type="spellEnd"/>
      <w:r w:rsidRPr="00AB753A">
        <w:rPr>
          <w:color w:val="202020"/>
          <w:sz w:val="22"/>
          <w:szCs w:val="22"/>
        </w:rPr>
        <w:t>;</w:t>
      </w:r>
      <w:r w:rsidRPr="00AB753A">
        <w:rPr>
          <w:color w:val="202020"/>
          <w:sz w:val="22"/>
          <w:szCs w:val="22"/>
        </w:rPr>
        <w:br/>
        <w:t>2) „Klientide vara aruanne” koodiga</w:t>
      </w:r>
      <w:r w:rsidRPr="00694D2E">
        <w:rPr>
          <w:color w:val="202020"/>
          <w:sz w:val="22"/>
          <w:szCs w:val="22"/>
        </w:rPr>
        <w:t xml:space="preserve"> </w:t>
      </w:r>
      <w:proofErr w:type="spellStart"/>
      <w:r w:rsidRPr="00694D2E">
        <w:rPr>
          <w:color w:val="202020"/>
          <w:sz w:val="22"/>
          <w:szCs w:val="22"/>
        </w:rPr>
        <w:t>xxxb</w:t>
      </w:r>
      <w:proofErr w:type="spellEnd"/>
      <w:r w:rsidRPr="00694D2E">
        <w:rPr>
          <w:color w:val="202020"/>
          <w:sz w:val="22"/>
          <w:szCs w:val="22"/>
        </w:rPr>
        <w:t>;</w:t>
      </w:r>
      <w:r w:rsidRPr="00694D2E">
        <w:rPr>
          <w:color w:val="202020"/>
          <w:sz w:val="22"/>
          <w:szCs w:val="22"/>
        </w:rPr>
        <w:br/>
        <w:t xml:space="preserve">3) „Omavahendite aruanne” koodiga </w:t>
      </w:r>
      <w:proofErr w:type="spellStart"/>
      <w:r w:rsidRPr="00694D2E">
        <w:rPr>
          <w:color w:val="202020"/>
          <w:sz w:val="22"/>
          <w:szCs w:val="22"/>
        </w:rPr>
        <w:t>xxxc</w:t>
      </w:r>
      <w:proofErr w:type="spellEnd"/>
      <w:r w:rsidRPr="00694D2E">
        <w:rPr>
          <w:color w:val="202020"/>
          <w:sz w:val="22"/>
          <w:szCs w:val="22"/>
        </w:rPr>
        <w:t>;</w:t>
      </w:r>
      <w:r w:rsidRPr="00694D2E">
        <w:rPr>
          <w:color w:val="202020"/>
          <w:sz w:val="22"/>
          <w:szCs w:val="22"/>
        </w:rPr>
        <w:br/>
        <w:t xml:space="preserve">4) „Teenuseosutaja bilanss” koodiga </w:t>
      </w:r>
      <w:proofErr w:type="spellStart"/>
      <w:r w:rsidRPr="00694D2E">
        <w:rPr>
          <w:color w:val="202020"/>
          <w:sz w:val="22"/>
          <w:szCs w:val="22"/>
        </w:rPr>
        <w:t>xxxd</w:t>
      </w:r>
      <w:proofErr w:type="spellEnd"/>
      <w:r w:rsidRPr="00694D2E">
        <w:rPr>
          <w:color w:val="202020"/>
          <w:sz w:val="22"/>
          <w:szCs w:val="22"/>
        </w:rPr>
        <w:t>;</w:t>
      </w:r>
      <w:r w:rsidRPr="00694D2E">
        <w:rPr>
          <w:color w:val="202020"/>
          <w:sz w:val="22"/>
          <w:szCs w:val="22"/>
        </w:rPr>
        <w:br/>
        <w:t xml:space="preserve">5) „Teenuseosutaja kasumiaruanne” koodiga </w:t>
      </w:r>
      <w:proofErr w:type="spellStart"/>
      <w:r w:rsidRPr="00694D2E">
        <w:rPr>
          <w:color w:val="202020"/>
          <w:sz w:val="22"/>
          <w:szCs w:val="22"/>
        </w:rPr>
        <w:t>xxxf</w:t>
      </w:r>
      <w:proofErr w:type="spellEnd"/>
      <w:r w:rsidRPr="00694D2E">
        <w:rPr>
          <w:color w:val="202020"/>
          <w:sz w:val="22"/>
          <w:szCs w:val="22"/>
        </w:rPr>
        <w:t>;</w:t>
      </w:r>
      <w:r w:rsidRPr="0064464F">
        <w:rPr>
          <w:color w:val="202020"/>
          <w:sz w:val="22"/>
          <w:szCs w:val="22"/>
        </w:rPr>
        <w:br/>
      </w:r>
    </w:p>
    <w:p w14:paraId="068B070A" w14:textId="77777777" w:rsidR="009347C0" w:rsidRPr="0064464F" w:rsidRDefault="009347C0" w:rsidP="009347C0">
      <w:pPr>
        <w:pStyle w:val="Heading3"/>
        <w:shd w:val="clear" w:color="auto" w:fill="FFFFFF"/>
        <w:spacing w:before="0"/>
        <w:rPr>
          <w:color w:val="000000"/>
          <w:sz w:val="22"/>
          <w:szCs w:val="22"/>
          <w:lang w:val="et-EE"/>
        </w:rPr>
      </w:pPr>
      <w:r w:rsidRPr="002B2C7C">
        <w:rPr>
          <w:bCs w:val="0"/>
          <w:color w:val="000000"/>
          <w:sz w:val="22"/>
          <w:szCs w:val="22"/>
          <w:bdr w:val="none" w:sz="0" w:space="0" w:color="auto" w:frame="1"/>
          <w:lang w:val="et-EE"/>
        </w:rPr>
        <w:t>§ 4.</w:t>
      </w:r>
      <w:r w:rsidRPr="0064464F">
        <w:rPr>
          <w:color w:val="000000"/>
          <w:sz w:val="22"/>
          <w:szCs w:val="22"/>
          <w:bdr w:val="none" w:sz="0" w:space="0" w:color="auto" w:frame="1"/>
          <w:lang w:val="et-EE"/>
        </w:rPr>
        <w:t xml:space="preserve"> </w:t>
      </w:r>
      <w:r w:rsidRPr="0064464F">
        <w:rPr>
          <w:color w:val="000000"/>
          <w:sz w:val="22"/>
          <w:szCs w:val="22"/>
          <w:lang w:val="et-EE"/>
        </w:rPr>
        <w:t>Aruannete koostamise alused</w:t>
      </w:r>
      <w:r w:rsidRPr="0064464F">
        <w:rPr>
          <w:color w:val="000000"/>
          <w:sz w:val="22"/>
          <w:szCs w:val="22"/>
          <w:lang w:val="et-EE"/>
        </w:rPr>
        <w:br/>
      </w:r>
    </w:p>
    <w:p w14:paraId="1E99AEAD"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(1) Aruanded koostatakse eurodes.</w:t>
      </w:r>
    </w:p>
    <w:p w14:paraId="08CEE47D"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 xml:space="preserve">(2) Käesoleva määruse paragrahvi </w:t>
      </w:r>
      <w:r>
        <w:rPr>
          <w:color w:val="202020"/>
          <w:sz w:val="22"/>
          <w:szCs w:val="22"/>
        </w:rPr>
        <w:t>3</w:t>
      </w:r>
      <w:r w:rsidRPr="0064464F">
        <w:rPr>
          <w:color w:val="202020"/>
          <w:sz w:val="22"/>
          <w:szCs w:val="22"/>
        </w:rPr>
        <w:t xml:space="preserve"> lõikes 1 nimetatud aruannetes kajastatavad andmed esitatakse täisühikutes, kui õigusaktis ei ole sätestatud teisiti.</w:t>
      </w:r>
    </w:p>
    <w:p w14:paraId="04204763"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 xml:space="preserve">(3) </w:t>
      </w:r>
      <w:proofErr w:type="spellStart"/>
      <w:r w:rsidRPr="0064464F">
        <w:rPr>
          <w:color w:val="202020"/>
          <w:sz w:val="22"/>
          <w:szCs w:val="22"/>
        </w:rPr>
        <w:t>Välisvaluutas</w:t>
      </w:r>
      <w:proofErr w:type="spellEnd"/>
      <w:r w:rsidRPr="0064464F">
        <w:rPr>
          <w:color w:val="202020"/>
          <w:sz w:val="22"/>
          <w:szCs w:val="22"/>
        </w:rPr>
        <w:t xml:space="preserve"> fikseeritud summad arvutatakse eurodesse ümber aruandeperioodi viimase tööpäeva Euroopa Keskpanga kursiga.</w:t>
      </w:r>
    </w:p>
    <w:p w14:paraId="655F4860"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 xml:space="preserve">(4) Muude käesoleva paragrahvi lõikes 2 või 3 nimetamata varade puhul kajastatakse nende varade turuväärtus eurodes aruandeperioodi viimase tööpäeva seisuga. </w:t>
      </w:r>
    </w:p>
    <w:p w14:paraId="1368798C"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(5) Omavahendite aruandes esitatakse andmed omavahendite koostisosade kohta aruandeperioodi lõpu seisuga.</w:t>
      </w:r>
    </w:p>
    <w:p w14:paraId="2A0BAE34" w14:textId="77777777" w:rsidR="009347C0" w:rsidRPr="0064464F" w:rsidRDefault="009347C0" w:rsidP="009347C0">
      <w:pPr>
        <w:shd w:val="clear" w:color="auto" w:fill="FFFFFF"/>
        <w:spacing w:before="0"/>
        <w:rPr>
          <w:b/>
          <w:bCs/>
          <w:color w:val="000000"/>
          <w:sz w:val="22"/>
          <w:szCs w:val="22"/>
          <w:bdr w:val="none" w:sz="0" w:space="0" w:color="auto" w:frame="1"/>
        </w:rPr>
      </w:pPr>
      <w:r w:rsidRPr="0064464F">
        <w:rPr>
          <w:color w:val="202020"/>
          <w:sz w:val="22"/>
          <w:szCs w:val="22"/>
        </w:rPr>
        <w:t>(6) Omavahendite minimaalsuurus esitatakse omavahendite aruandes eelneva majandusaasta lõpu seisuga sõltuvalt püsivate üldkulude meetodist, kui aruande kirjete selgituses ei ole sätestatud teisiti.</w:t>
      </w:r>
      <w:r w:rsidRPr="0064464F">
        <w:rPr>
          <w:color w:val="202020"/>
          <w:sz w:val="22"/>
          <w:szCs w:val="22"/>
        </w:rPr>
        <w:br/>
      </w:r>
    </w:p>
    <w:p w14:paraId="1D26B92A" w14:textId="77777777" w:rsidR="009347C0" w:rsidRPr="001D5446" w:rsidRDefault="009347C0" w:rsidP="009347C0">
      <w:pPr>
        <w:pStyle w:val="Heading3"/>
        <w:shd w:val="clear" w:color="auto" w:fill="FFFFFF"/>
        <w:spacing w:before="0"/>
        <w:rPr>
          <w:color w:val="000000"/>
          <w:sz w:val="22"/>
          <w:szCs w:val="22"/>
          <w:lang w:val="et-EE"/>
        </w:rPr>
      </w:pPr>
      <w:r w:rsidRPr="002B2C7C">
        <w:rPr>
          <w:bCs w:val="0"/>
          <w:color w:val="000000"/>
          <w:sz w:val="22"/>
          <w:szCs w:val="22"/>
          <w:bdr w:val="none" w:sz="0" w:space="0" w:color="auto" w:frame="1"/>
          <w:lang w:val="et-EE"/>
        </w:rPr>
        <w:t>§ 5. Aruannete</w:t>
      </w:r>
      <w:r w:rsidRPr="001D5446">
        <w:rPr>
          <w:color w:val="000000"/>
          <w:sz w:val="22"/>
          <w:szCs w:val="22"/>
          <w:bdr w:val="none" w:sz="0" w:space="0" w:color="auto" w:frame="1"/>
          <w:lang w:val="et-EE"/>
        </w:rPr>
        <w:t xml:space="preserve"> esitamine</w:t>
      </w:r>
    </w:p>
    <w:p w14:paraId="719A438A" w14:textId="77777777" w:rsidR="009347C0" w:rsidRPr="0064464F" w:rsidRDefault="009347C0" w:rsidP="009347C0">
      <w:pPr>
        <w:shd w:val="clear" w:color="auto" w:fill="FFFFFF"/>
        <w:spacing w:before="0"/>
        <w:rPr>
          <w:color w:val="0061AA"/>
          <w:sz w:val="22"/>
          <w:szCs w:val="22"/>
          <w:bdr w:val="none" w:sz="0" w:space="0" w:color="auto" w:frame="1"/>
        </w:rPr>
      </w:pPr>
      <w:bookmarkStart w:id="53" w:name="lg57"/>
    </w:p>
    <w:bookmarkEnd w:id="53"/>
    <w:p w14:paraId="461E09AE" w14:textId="77777777" w:rsidR="009347C0" w:rsidRDefault="009347C0" w:rsidP="009347C0">
      <w:pPr>
        <w:shd w:val="clear" w:color="auto" w:fill="FFFFFF"/>
        <w:spacing w:before="0"/>
        <w:rPr>
          <w:color w:val="202020"/>
          <w:sz w:val="22"/>
          <w:szCs w:val="22"/>
        </w:rPr>
      </w:pPr>
      <w:r w:rsidRPr="0064464F">
        <w:rPr>
          <w:color w:val="202020"/>
          <w:sz w:val="22"/>
          <w:szCs w:val="22"/>
        </w:rPr>
        <w:t>(1) Aruanded esitatakse Finantsinspektsioonile elektrooniliselt XMLis (</w:t>
      </w:r>
      <w:proofErr w:type="spellStart"/>
      <w:r w:rsidRPr="0064464F">
        <w:rPr>
          <w:i/>
          <w:iCs/>
          <w:color w:val="202020"/>
          <w:sz w:val="22"/>
          <w:szCs w:val="22"/>
          <w:bdr w:val="none" w:sz="0" w:space="0" w:color="auto" w:frame="1"/>
        </w:rPr>
        <w:t>Extensible</w:t>
      </w:r>
      <w:proofErr w:type="spellEnd"/>
      <w:r w:rsidRPr="0064464F">
        <w:rPr>
          <w:i/>
          <w:iCs/>
          <w:color w:val="202020"/>
          <w:sz w:val="22"/>
          <w:szCs w:val="22"/>
          <w:bdr w:val="none" w:sz="0" w:space="0" w:color="auto" w:frame="1"/>
        </w:rPr>
        <w:t xml:space="preserve"> </w:t>
      </w:r>
      <w:proofErr w:type="spellStart"/>
      <w:r w:rsidRPr="0064464F">
        <w:rPr>
          <w:i/>
          <w:iCs/>
          <w:color w:val="202020"/>
          <w:sz w:val="22"/>
          <w:szCs w:val="22"/>
          <w:bdr w:val="none" w:sz="0" w:space="0" w:color="auto" w:frame="1"/>
        </w:rPr>
        <w:t>Markup</w:t>
      </w:r>
      <w:proofErr w:type="spellEnd"/>
      <w:r w:rsidRPr="0064464F">
        <w:rPr>
          <w:i/>
          <w:iCs/>
          <w:color w:val="202020"/>
          <w:sz w:val="22"/>
          <w:szCs w:val="22"/>
          <w:bdr w:val="none" w:sz="0" w:space="0" w:color="auto" w:frame="1"/>
        </w:rPr>
        <w:t xml:space="preserve"> </w:t>
      </w:r>
      <w:proofErr w:type="spellStart"/>
      <w:r w:rsidRPr="0064464F">
        <w:rPr>
          <w:i/>
          <w:iCs/>
          <w:color w:val="202020"/>
          <w:sz w:val="22"/>
          <w:szCs w:val="22"/>
          <w:bdr w:val="none" w:sz="0" w:space="0" w:color="auto" w:frame="1"/>
        </w:rPr>
        <w:t>Language</w:t>
      </w:r>
      <w:proofErr w:type="spellEnd"/>
      <w:r w:rsidRPr="0064464F">
        <w:rPr>
          <w:color w:val="202020"/>
          <w:sz w:val="22"/>
          <w:szCs w:val="22"/>
        </w:rPr>
        <w:t>) vormindatud dokumentidena.</w:t>
      </w:r>
      <w:r w:rsidRPr="0064464F">
        <w:rPr>
          <w:color w:val="202020"/>
          <w:sz w:val="22"/>
          <w:szCs w:val="22"/>
        </w:rPr>
        <w:br/>
        <w:t>(2) Teenuseosutaja on aruannete esitamisel kohustatud järgima tehnilisi nõudeid, mis on avaldatud Finantsinspektsiooni veebilehel.</w:t>
      </w:r>
    </w:p>
    <w:p w14:paraId="09663E7E" w14:textId="77777777" w:rsidR="009347C0" w:rsidRPr="0064464F" w:rsidRDefault="009347C0" w:rsidP="009347C0">
      <w:pPr>
        <w:shd w:val="clear" w:color="auto" w:fill="FFFFFF"/>
        <w:spacing w:before="0"/>
        <w:rPr>
          <w:color w:val="202020"/>
          <w:sz w:val="22"/>
          <w:szCs w:val="22"/>
        </w:rPr>
      </w:pPr>
      <w:r w:rsidRPr="0064464F">
        <w:rPr>
          <w:color w:val="202020"/>
          <w:sz w:val="22"/>
          <w:szCs w:val="22"/>
        </w:rPr>
        <w:lastRenderedPageBreak/>
        <w:t>(3) Aruande valdkonda kuuluvate andmete puudumisel tuleb esitada tühi aruanne.</w:t>
      </w:r>
      <w:r w:rsidRPr="0064464F">
        <w:rPr>
          <w:color w:val="202020"/>
          <w:sz w:val="22"/>
          <w:szCs w:val="22"/>
        </w:rPr>
        <w:br/>
      </w:r>
    </w:p>
    <w:p w14:paraId="327818ED" w14:textId="77777777" w:rsidR="009347C0" w:rsidRPr="0064464F" w:rsidRDefault="009347C0" w:rsidP="009347C0">
      <w:pPr>
        <w:shd w:val="clear" w:color="auto" w:fill="FFFFFF"/>
        <w:spacing w:before="0"/>
        <w:rPr>
          <w:color w:val="000000"/>
          <w:sz w:val="22"/>
          <w:szCs w:val="22"/>
        </w:rPr>
      </w:pPr>
      <w:bookmarkStart w:id="54" w:name="lg72"/>
      <w:r w:rsidRPr="002B2C7C">
        <w:rPr>
          <w:b/>
          <w:bCs/>
          <w:color w:val="000000"/>
          <w:sz w:val="22"/>
          <w:szCs w:val="22"/>
          <w:bdr w:val="none" w:sz="0" w:space="0" w:color="auto" w:frame="1"/>
        </w:rPr>
        <w:t>§ 6.</w:t>
      </w:r>
      <w:bookmarkStart w:id="55" w:name="para15"/>
      <w:r w:rsidRPr="002B2C7C">
        <w:rPr>
          <w:b/>
          <w:bCs/>
          <w:color w:val="0061AA"/>
          <w:sz w:val="22"/>
          <w:szCs w:val="22"/>
          <w:bdr w:val="none" w:sz="0" w:space="0" w:color="auto" w:frame="1"/>
        </w:rPr>
        <w:t> </w:t>
      </w:r>
      <w:bookmarkEnd w:id="55"/>
      <w:r w:rsidRPr="002B2C7C">
        <w:rPr>
          <w:b/>
          <w:bCs/>
          <w:color w:val="000000"/>
          <w:sz w:val="22"/>
          <w:szCs w:val="22"/>
        </w:rPr>
        <w:t>Esitatud</w:t>
      </w:r>
      <w:r w:rsidRPr="0064464F">
        <w:rPr>
          <w:b/>
          <w:color w:val="000000"/>
          <w:sz w:val="22"/>
          <w:szCs w:val="22"/>
        </w:rPr>
        <w:t xml:space="preserve"> aruannete kontroll</w:t>
      </w:r>
    </w:p>
    <w:p w14:paraId="44611BEE" w14:textId="77777777" w:rsidR="009347C0" w:rsidRPr="0064464F" w:rsidRDefault="009347C0" w:rsidP="009347C0">
      <w:pPr>
        <w:shd w:val="clear" w:color="auto" w:fill="FFFFFF"/>
        <w:spacing w:before="0"/>
        <w:rPr>
          <w:color w:val="000000"/>
          <w:sz w:val="22"/>
          <w:szCs w:val="22"/>
        </w:rPr>
      </w:pPr>
    </w:p>
    <w:bookmarkEnd w:id="54"/>
    <w:p w14:paraId="5C795F83"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(1) Finantsinspektsioon kontrollib esitatud aruannete vastavust käesolevas määruses esitatud nõuetele kohe pärast aruande laekumist.</w:t>
      </w:r>
    </w:p>
    <w:p w14:paraId="37520D91"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(2) Kui Finantsinspektsioon tuvastab aruandes puudusi, teavitab ta sellest viivitamatult aruande esitajat.</w:t>
      </w:r>
    </w:p>
    <w:p w14:paraId="61DF3982"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(3) Aruande esitaja on kohustatud käesoleva paragrahvi lõikes 2 sätestatud juhul puudused kõrvaldama ning esitama Finantsinspektsioonile korrigeeritud aruande. Korrigeeritud aruanne tuleb esitada ka juhul kui aruande esitaja on varasemalt esitatud andmetes tuvastanud vea.</w:t>
      </w:r>
    </w:p>
    <w:p w14:paraId="4BAE1528" w14:textId="77777777" w:rsidR="009347C0" w:rsidRPr="0064464F" w:rsidRDefault="009347C0" w:rsidP="009347C0">
      <w:pPr>
        <w:shd w:val="clear" w:color="auto" w:fill="FFFFFF"/>
        <w:spacing w:before="0"/>
        <w:rPr>
          <w:color w:val="202020"/>
          <w:sz w:val="22"/>
          <w:szCs w:val="22"/>
        </w:rPr>
      </w:pPr>
    </w:p>
    <w:p w14:paraId="706E6CB4" w14:textId="77777777" w:rsidR="009347C0" w:rsidRPr="001D5446" w:rsidRDefault="009347C0" w:rsidP="009347C0">
      <w:pPr>
        <w:pStyle w:val="Heading3"/>
        <w:shd w:val="clear" w:color="auto" w:fill="FFFFFF"/>
        <w:spacing w:before="0"/>
        <w:rPr>
          <w:color w:val="000000"/>
          <w:sz w:val="22"/>
          <w:szCs w:val="22"/>
          <w:lang w:val="et-EE"/>
        </w:rPr>
      </w:pPr>
      <w:r w:rsidRPr="002B2C7C">
        <w:rPr>
          <w:bCs w:val="0"/>
          <w:color w:val="000000"/>
          <w:sz w:val="22"/>
          <w:szCs w:val="22"/>
          <w:bdr w:val="none" w:sz="0" w:space="0" w:color="auto" w:frame="1"/>
          <w:lang w:val="et-EE"/>
        </w:rPr>
        <w:t xml:space="preserve">§ 7. </w:t>
      </w:r>
      <w:r w:rsidRPr="002B2C7C">
        <w:rPr>
          <w:bCs w:val="0"/>
          <w:color w:val="000000"/>
          <w:sz w:val="22"/>
          <w:szCs w:val="22"/>
          <w:lang w:val="et-EE"/>
        </w:rPr>
        <w:t>Aruande esitamise</w:t>
      </w:r>
      <w:r w:rsidRPr="001D5446">
        <w:rPr>
          <w:color w:val="000000"/>
          <w:sz w:val="22"/>
          <w:szCs w:val="22"/>
          <w:lang w:val="et-EE"/>
        </w:rPr>
        <w:t xml:space="preserve"> turvamine</w:t>
      </w:r>
      <w:r w:rsidRPr="001D5446">
        <w:rPr>
          <w:color w:val="000000"/>
          <w:sz w:val="22"/>
          <w:szCs w:val="22"/>
          <w:lang w:val="et-EE"/>
        </w:rPr>
        <w:br/>
      </w:r>
    </w:p>
    <w:p w14:paraId="574D390A" w14:textId="77777777" w:rsidR="009347C0" w:rsidRPr="0064464F" w:rsidRDefault="009347C0" w:rsidP="009347C0">
      <w:pPr>
        <w:shd w:val="clear" w:color="auto" w:fill="FFFFFF"/>
        <w:spacing w:before="0"/>
        <w:rPr>
          <w:color w:val="202020"/>
          <w:sz w:val="22"/>
          <w:szCs w:val="22"/>
        </w:rPr>
      </w:pPr>
      <w:r w:rsidRPr="0064464F">
        <w:rPr>
          <w:color w:val="202020"/>
          <w:sz w:val="22"/>
          <w:szCs w:val="22"/>
        </w:rPr>
        <w:t>Teenuseosutaja on aruannete esitamisel kohustatud järgima tehnilisi nõudeid, mis on avaldatud Finantsinspektsiooni veebilehel.</w:t>
      </w:r>
    </w:p>
    <w:p w14:paraId="48921404" w14:textId="77777777" w:rsidR="009347C0" w:rsidRPr="0064464F" w:rsidRDefault="009347C0" w:rsidP="009347C0">
      <w:pPr>
        <w:pStyle w:val="Heading3"/>
        <w:shd w:val="clear" w:color="auto" w:fill="FFFFFF"/>
        <w:spacing w:before="0"/>
        <w:rPr>
          <w:color w:val="000000"/>
          <w:sz w:val="22"/>
          <w:szCs w:val="22"/>
          <w:lang w:val="et-EE"/>
        </w:rPr>
      </w:pPr>
    </w:p>
    <w:p w14:paraId="2716C010" w14:textId="77777777" w:rsidR="009347C0" w:rsidRPr="0064464F" w:rsidRDefault="009347C0" w:rsidP="009347C0">
      <w:pPr>
        <w:pStyle w:val="Heading3"/>
        <w:shd w:val="clear" w:color="auto" w:fill="FFFFFF"/>
        <w:spacing w:before="0"/>
        <w:rPr>
          <w:color w:val="000000"/>
          <w:sz w:val="22"/>
          <w:szCs w:val="22"/>
          <w:lang w:val="et-EE"/>
        </w:rPr>
      </w:pPr>
      <w:r w:rsidRPr="0064464F">
        <w:rPr>
          <w:color w:val="000000"/>
          <w:sz w:val="22"/>
          <w:szCs w:val="22"/>
          <w:lang w:val="et-EE"/>
        </w:rPr>
        <w:br/>
      </w:r>
    </w:p>
    <w:p w14:paraId="2ED2DACA" w14:textId="77777777" w:rsidR="009347C0" w:rsidRPr="0064464F" w:rsidRDefault="009347C0" w:rsidP="009347C0">
      <w:pPr>
        <w:rPr>
          <w:b/>
          <w:bCs/>
          <w:sz w:val="22"/>
          <w:bdr w:val="none" w:sz="0" w:space="0" w:color="auto" w:frame="1"/>
          <w:lang w:eastAsia="en-GB"/>
        </w:rPr>
      </w:pPr>
    </w:p>
    <w:p w14:paraId="6A203AF7" w14:textId="77777777" w:rsidR="009347C0" w:rsidRPr="0064464F" w:rsidRDefault="009347C0" w:rsidP="009347C0">
      <w:pPr>
        <w:rPr>
          <w:sz w:val="22"/>
        </w:rPr>
      </w:pPr>
    </w:p>
    <w:p w14:paraId="71830FC9" w14:textId="77777777" w:rsidR="009347C0" w:rsidRPr="0064464F" w:rsidRDefault="009347C0" w:rsidP="009347C0">
      <w:pPr>
        <w:rPr>
          <w:sz w:val="22"/>
        </w:rPr>
      </w:pPr>
    </w:p>
    <w:p w14:paraId="1620AFB1" w14:textId="77777777" w:rsidR="00D375E5" w:rsidRDefault="00D375E5" w:rsidP="00D375E5">
      <w:pPr>
        <w:pStyle w:val="vk"/>
        <w:jc w:val="both"/>
        <w:rPr>
          <w:i/>
          <w:sz w:val="22"/>
          <w:szCs w:val="22"/>
        </w:rPr>
      </w:pPr>
    </w:p>
    <w:p w14:paraId="7F00D4A4" w14:textId="77777777" w:rsidR="00D375E5" w:rsidRDefault="00D375E5" w:rsidP="00D375E5">
      <w:pPr>
        <w:pStyle w:val="vk"/>
        <w:jc w:val="both"/>
        <w:rPr>
          <w:i/>
          <w:sz w:val="22"/>
          <w:szCs w:val="22"/>
        </w:rPr>
      </w:pPr>
    </w:p>
    <w:p w14:paraId="5DEA9262" w14:textId="77777777" w:rsidR="00D375E5" w:rsidRDefault="00D375E5" w:rsidP="00D375E5">
      <w:pPr>
        <w:pStyle w:val="vk"/>
        <w:jc w:val="both"/>
        <w:rPr>
          <w:i/>
          <w:sz w:val="22"/>
          <w:szCs w:val="22"/>
        </w:rPr>
      </w:pPr>
    </w:p>
    <w:p w14:paraId="0AFEAEB8" w14:textId="77777777" w:rsidR="00D375E5" w:rsidRDefault="00D375E5" w:rsidP="00D375E5">
      <w:pPr>
        <w:pStyle w:val="vk"/>
        <w:jc w:val="both"/>
        <w:rPr>
          <w:i/>
          <w:sz w:val="22"/>
          <w:szCs w:val="22"/>
        </w:rPr>
      </w:pPr>
    </w:p>
    <w:p w14:paraId="678178A5" w14:textId="77777777" w:rsidR="00D375E5" w:rsidRDefault="00D375E5" w:rsidP="00D375E5">
      <w:pPr>
        <w:pStyle w:val="vk"/>
        <w:jc w:val="both"/>
        <w:rPr>
          <w:i/>
          <w:sz w:val="22"/>
          <w:szCs w:val="22"/>
        </w:rPr>
      </w:pPr>
    </w:p>
    <w:p w14:paraId="6CFE4DCC" w14:textId="77777777" w:rsidR="00D375E5" w:rsidRDefault="00D375E5" w:rsidP="00D375E5">
      <w:pPr>
        <w:pStyle w:val="vk"/>
        <w:jc w:val="both"/>
        <w:rPr>
          <w:i/>
          <w:sz w:val="22"/>
          <w:szCs w:val="22"/>
        </w:rPr>
      </w:pPr>
    </w:p>
    <w:p w14:paraId="72FB6E9D" w14:textId="77777777" w:rsidR="00D375E5" w:rsidRDefault="00D375E5" w:rsidP="00D375E5">
      <w:pPr>
        <w:pStyle w:val="vk"/>
        <w:jc w:val="both"/>
        <w:rPr>
          <w:i/>
          <w:sz w:val="22"/>
          <w:szCs w:val="22"/>
        </w:rPr>
      </w:pPr>
    </w:p>
    <w:p w14:paraId="32CF5F44" w14:textId="77777777" w:rsidR="00D375E5" w:rsidRDefault="00D375E5" w:rsidP="00D375E5">
      <w:pPr>
        <w:pStyle w:val="vk"/>
        <w:jc w:val="both"/>
        <w:rPr>
          <w:i/>
          <w:sz w:val="22"/>
          <w:szCs w:val="22"/>
        </w:rPr>
      </w:pPr>
    </w:p>
    <w:p w14:paraId="588692A3" w14:textId="77777777" w:rsidR="00D375E5" w:rsidRDefault="00D375E5" w:rsidP="00D375E5">
      <w:pPr>
        <w:pStyle w:val="vk"/>
        <w:jc w:val="both"/>
        <w:rPr>
          <w:i/>
          <w:sz w:val="22"/>
          <w:szCs w:val="22"/>
        </w:rPr>
      </w:pPr>
    </w:p>
    <w:p w14:paraId="3DB45660" w14:textId="77777777" w:rsidR="00D375E5" w:rsidRDefault="00D375E5" w:rsidP="00D375E5">
      <w:pPr>
        <w:pStyle w:val="vk"/>
        <w:jc w:val="both"/>
        <w:rPr>
          <w:i/>
          <w:sz w:val="22"/>
          <w:szCs w:val="22"/>
        </w:rPr>
      </w:pPr>
    </w:p>
    <w:p w14:paraId="46BD07C2" w14:textId="77777777" w:rsidR="00B9578A" w:rsidRDefault="00B9578A" w:rsidP="00D375E5">
      <w:pPr>
        <w:pStyle w:val="vk"/>
        <w:jc w:val="both"/>
        <w:rPr>
          <w:i/>
          <w:sz w:val="22"/>
          <w:szCs w:val="22"/>
        </w:rPr>
      </w:pPr>
    </w:p>
    <w:p w14:paraId="5CDF82B4" w14:textId="77777777" w:rsidR="00B9578A" w:rsidRDefault="00B9578A" w:rsidP="00D375E5">
      <w:pPr>
        <w:pStyle w:val="vk"/>
        <w:jc w:val="both"/>
        <w:rPr>
          <w:i/>
          <w:sz w:val="22"/>
          <w:szCs w:val="22"/>
        </w:rPr>
      </w:pPr>
    </w:p>
    <w:p w14:paraId="088CED97" w14:textId="392406B3" w:rsidR="00DC2F2C" w:rsidRDefault="00DC2F2C" w:rsidP="00D375E5">
      <w:pPr>
        <w:pStyle w:val="vk"/>
        <w:jc w:val="both"/>
        <w:rPr>
          <w:i/>
          <w:sz w:val="22"/>
          <w:szCs w:val="22"/>
        </w:rPr>
      </w:pPr>
    </w:p>
    <w:p w14:paraId="3621DB3E" w14:textId="20BA8BDF" w:rsidR="00DC2F2C" w:rsidRDefault="00DC2F2C" w:rsidP="00D375E5">
      <w:pPr>
        <w:pStyle w:val="vk"/>
        <w:jc w:val="both"/>
        <w:rPr>
          <w:i/>
          <w:sz w:val="22"/>
          <w:szCs w:val="22"/>
        </w:rPr>
      </w:pPr>
    </w:p>
    <w:p w14:paraId="2F94A97A" w14:textId="03BFC8A7" w:rsidR="00DC2F2C" w:rsidRDefault="00DC2F2C" w:rsidP="00D375E5">
      <w:pPr>
        <w:pStyle w:val="vk"/>
        <w:jc w:val="both"/>
        <w:rPr>
          <w:i/>
          <w:sz w:val="22"/>
          <w:szCs w:val="22"/>
        </w:rPr>
      </w:pPr>
    </w:p>
    <w:p w14:paraId="6F81625E" w14:textId="3371758D" w:rsidR="00DC2F2C" w:rsidRDefault="00DC2F2C" w:rsidP="00D375E5">
      <w:pPr>
        <w:pStyle w:val="vk"/>
        <w:jc w:val="both"/>
        <w:rPr>
          <w:i/>
          <w:sz w:val="22"/>
          <w:szCs w:val="22"/>
        </w:rPr>
      </w:pPr>
    </w:p>
    <w:p w14:paraId="3559EE44" w14:textId="0936DF2F" w:rsidR="00613D38" w:rsidRDefault="00C9700D" w:rsidP="00805069">
      <w:pPr>
        <w:spacing w:before="0" w:after="160" w:line="259" w:lineRule="auto"/>
        <w:jc w:val="left"/>
        <w:rPr>
          <w:b/>
          <w:sz w:val="22"/>
          <w:szCs w:val="22"/>
        </w:rPr>
      </w:pPr>
      <w:r>
        <w:rPr>
          <w:b/>
          <w:sz w:val="22"/>
          <w:szCs w:val="22"/>
        </w:rPr>
        <w:br w:type="page"/>
      </w:r>
      <w:r w:rsidR="00613D38">
        <w:rPr>
          <w:b/>
          <w:sz w:val="22"/>
          <w:szCs w:val="22"/>
        </w:rPr>
        <w:lastRenderedPageBreak/>
        <w:t>Seletuskirja</w:t>
      </w:r>
    </w:p>
    <w:p w14:paraId="22B1D553" w14:textId="2CD3D913" w:rsidR="00613D38" w:rsidRDefault="005D3D7B" w:rsidP="00613D38">
      <w:pPr>
        <w:pStyle w:val="vk"/>
        <w:jc w:val="right"/>
        <w:rPr>
          <w:b/>
          <w:sz w:val="22"/>
          <w:szCs w:val="22"/>
        </w:rPr>
      </w:pPr>
      <w:r w:rsidRPr="005D3D7B">
        <w:rPr>
          <w:b/>
          <w:sz w:val="22"/>
          <w:szCs w:val="22"/>
        </w:rPr>
        <w:t>L</w:t>
      </w:r>
      <w:r w:rsidR="00613D38">
        <w:rPr>
          <w:b/>
          <w:sz w:val="22"/>
          <w:szCs w:val="22"/>
        </w:rPr>
        <w:t>isa</w:t>
      </w:r>
      <w:r w:rsidR="00DC2F2C">
        <w:rPr>
          <w:b/>
          <w:sz w:val="22"/>
          <w:szCs w:val="22"/>
        </w:rPr>
        <w:t xml:space="preserve"> </w:t>
      </w:r>
      <w:r w:rsidR="009347C0">
        <w:rPr>
          <w:b/>
          <w:sz w:val="22"/>
          <w:szCs w:val="22"/>
        </w:rPr>
        <w:t>2</w:t>
      </w:r>
    </w:p>
    <w:p w14:paraId="25171B19" w14:textId="77777777" w:rsidR="00613D38" w:rsidRDefault="00613D38" w:rsidP="00D375E5">
      <w:pPr>
        <w:pStyle w:val="vk"/>
        <w:jc w:val="both"/>
        <w:rPr>
          <w:b/>
          <w:sz w:val="22"/>
          <w:szCs w:val="22"/>
        </w:rPr>
      </w:pPr>
    </w:p>
    <w:p w14:paraId="34E63A58" w14:textId="1B519D95" w:rsidR="005D3D7B" w:rsidRPr="005D3D7B" w:rsidRDefault="005D3D7B" w:rsidP="00D375E5">
      <w:pPr>
        <w:pStyle w:val="vk"/>
        <w:jc w:val="both"/>
        <w:rPr>
          <w:b/>
          <w:sz w:val="22"/>
          <w:szCs w:val="22"/>
          <w:lang w:eastAsia="en-US"/>
        </w:rPr>
      </w:pPr>
      <w:r w:rsidRPr="005D3D7B">
        <w:rPr>
          <w:b/>
          <w:sz w:val="22"/>
          <w:szCs w:val="22"/>
        </w:rPr>
        <w:t>EL õiguse v</w:t>
      </w:r>
      <w:r w:rsidRPr="005D3D7B">
        <w:rPr>
          <w:b/>
          <w:sz w:val="22"/>
          <w:szCs w:val="22"/>
          <w:lang w:eastAsia="en-US"/>
        </w:rPr>
        <w:t>astavustabelid</w:t>
      </w:r>
    </w:p>
    <w:p w14:paraId="7F590B2C" w14:textId="77777777" w:rsidR="005D3D7B" w:rsidRPr="005D3D7B" w:rsidRDefault="005D3D7B" w:rsidP="00D375E5">
      <w:pPr>
        <w:spacing w:before="0"/>
        <w:rPr>
          <w:sz w:val="22"/>
          <w:szCs w:val="22"/>
          <w:lang w:eastAsia="en-US"/>
        </w:rPr>
      </w:pPr>
    </w:p>
    <w:p w14:paraId="160E8296" w14:textId="2646E9EF" w:rsidR="005D3D7B" w:rsidRPr="005D3D7B" w:rsidRDefault="005D3D7B" w:rsidP="00D375E5">
      <w:pPr>
        <w:spacing w:before="0"/>
        <w:rPr>
          <w:b/>
          <w:sz w:val="22"/>
          <w:szCs w:val="22"/>
          <w:lang w:eastAsia="en-US"/>
        </w:rPr>
      </w:pPr>
      <w:r w:rsidRPr="005D3D7B">
        <w:rPr>
          <w:b/>
          <w:sz w:val="22"/>
          <w:szCs w:val="22"/>
          <w:lang w:eastAsia="en-US"/>
        </w:rPr>
        <w:t>Euroopa Parlamendi ja nõukogu direktiivi (EL) 2020/1504 ja Eesti õigusaktide vastavustabel</w:t>
      </w:r>
    </w:p>
    <w:p w14:paraId="45B461AD" w14:textId="77777777" w:rsidR="005D3D7B" w:rsidRDefault="005D3D7B" w:rsidP="00D375E5">
      <w:pPr>
        <w:spacing w:before="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9"/>
        <w:gridCol w:w="2208"/>
        <w:gridCol w:w="2504"/>
      </w:tblGrid>
      <w:tr w:rsidR="005D3D7B" w:rsidRPr="005D3D7B" w14:paraId="42BC6175" w14:textId="77777777" w:rsidTr="002B2C7C">
        <w:tc>
          <w:tcPr>
            <w:tcW w:w="2265" w:type="dxa"/>
          </w:tcPr>
          <w:p w14:paraId="3413F1A1" w14:textId="77777777" w:rsidR="005D3D7B" w:rsidRPr="005D3D7B" w:rsidRDefault="005D3D7B" w:rsidP="00D375E5">
            <w:pPr>
              <w:spacing w:before="0"/>
              <w:rPr>
                <w:b/>
                <w:sz w:val="20"/>
                <w:szCs w:val="20"/>
                <w:lang w:eastAsia="en-US"/>
              </w:rPr>
            </w:pPr>
            <w:r w:rsidRPr="005D3D7B">
              <w:rPr>
                <w:b/>
                <w:sz w:val="20"/>
                <w:szCs w:val="20"/>
                <w:lang w:eastAsia="en-US"/>
              </w:rPr>
              <w:t>EL õigusakti norm</w:t>
            </w:r>
          </w:p>
        </w:tc>
        <w:tc>
          <w:tcPr>
            <w:tcW w:w="2265" w:type="dxa"/>
          </w:tcPr>
          <w:p w14:paraId="7C2987C6" w14:textId="5A55C94B" w:rsidR="005D3D7B" w:rsidRPr="005D3D7B" w:rsidRDefault="005D3D7B" w:rsidP="00D375E5">
            <w:pPr>
              <w:spacing w:before="0"/>
              <w:rPr>
                <w:b/>
                <w:sz w:val="20"/>
                <w:szCs w:val="20"/>
                <w:lang w:eastAsia="en-US"/>
              </w:rPr>
            </w:pPr>
            <w:r w:rsidRPr="005D3D7B">
              <w:rPr>
                <w:b/>
                <w:sz w:val="20"/>
                <w:szCs w:val="20"/>
                <w:lang w:eastAsia="en-US"/>
              </w:rPr>
              <w:t>EL õigusakti normi ü</w:t>
            </w:r>
            <w:r w:rsidR="005E50A0">
              <w:rPr>
                <w:b/>
                <w:sz w:val="20"/>
                <w:szCs w:val="20"/>
                <w:lang w:eastAsia="en-US"/>
              </w:rPr>
              <w:t>l</w:t>
            </w:r>
            <w:r w:rsidRPr="005D3D7B">
              <w:rPr>
                <w:b/>
                <w:sz w:val="20"/>
                <w:szCs w:val="20"/>
                <w:lang w:eastAsia="en-US"/>
              </w:rPr>
              <w:t>evõtmise kohustus</w:t>
            </w:r>
          </w:p>
        </w:tc>
        <w:tc>
          <w:tcPr>
            <w:tcW w:w="2265" w:type="dxa"/>
          </w:tcPr>
          <w:p w14:paraId="604AB269" w14:textId="77777777" w:rsidR="005D3D7B" w:rsidRPr="005D3D7B" w:rsidRDefault="005D3D7B" w:rsidP="00D375E5">
            <w:pPr>
              <w:spacing w:before="0"/>
              <w:rPr>
                <w:b/>
                <w:sz w:val="20"/>
                <w:szCs w:val="20"/>
                <w:lang w:eastAsia="en-US"/>
              </w:rPr>
            </w:pPr>
            <w:r w:rsidRPr="005D3D7B">
              <w:rPr>
                <w:b/>
                <w:sz w:val="20"/>
                <w:szCs w:val="20"/>
                <w:lang w:eastAsia="en-US"/>
              </w:rPr>
              <w:t>EL õigusakti normi sisuliseks rakendamiseks kehtestatavad riigisisesed õigusaktid</w:t>
            </w:r>
          </w:p>
        </w:tc>
        <w:tc>
          <w:tcPr>
            <w:tcW w:w="2266" w:type="dxa"/>
          </w:tcPr>
          <w:p w14:paraId="2CAB4D2C" w14:textId="77777777" w:rsidR="005D3D7B" w:rsidRPr="005D3D7B" w:rsidRDefault="005D3D7B" w:rsidP="00D375E5">
            <w:pPr>
              <w:spacing w:before="0"/>
              <w:rPr>
                <w:b/>
                <w:sz w:val="20"/>
                <w:szCs w:val="20"/>
                <w:lang w:eastAsia="en-US"/>
              </w:rPr>
            </w:pPr>
            <w:r w:rsidRPr="005D3D7B">
              <w:rPr>
                <w:b/>
                <w:sz w:val="20"/>
                <w:szCs w:val="20"/>
                <w:lang w:eastAsia="en-US"/>
              </w:rPr>
              <w:t>Kommentaarid</w:t>
            </w:r>
          </w:p>
        </w:tc>
      </w:tr>
      <w:tr w:rsidR="005D3D7B" w:rsidRPr="005D3D7B" w14:paraId="5189EE47" w14:textId="77777777" w:rsidTr="002B2C7C">
        <w:tc>
          <w:tcPr>
            <w:tcW w:w="2265" w:type="dxa"/>
          </w:tcPr>
          <w:p w14:paraId="4FF3A27D" w14:textId="77777777" w:rsidR="005D3D7B" w:rsidRPr="005D3D7B" w:rsidRDefault="005D3D7B" w:rsidP="00D375E5">
            <w:pPr>
              <w:spacing w:before="0"/>
              <w:rPr>
                <w:sz w:val="20"/>
                <w:szCs w:val="20"/>
                <w:lang w:eastAsia="en-US"/>
              </w:rPr>
            </w:pPr>
            <w:r w:rsidRPr="005D3D7B">
              <w:rPr>
                <w:sz w:val="20"/>
                <w:szCs w:val="20"/>
                <w:lang w:eastAsia="en-US"/>
              </w:rPr>
              <w:t>Artikkel 1</w:t>
            </w:r>
          </w:p>
        </w:tc>
        <w:tc>
          <w:tcPr>
            <w:tcW w:w="2265" w:type="dxa"/>
          </w:tcPr>
          <w:p w14:paraId="50AD7F35" w14:textId="77777777" w:rsidR="005D3D7B" w:rsidRPr="005D3D7B" w:rsidRDefault="005D3D7B" w:rsidP="00D375E5">
            <w:pPr>
              <w:spacing w:before="0"/>
              <w:rPr>
                <w:sz w:val="20"/>
                <w:szCs w:val="20"/>
                <w:lang w:eastAsia="en-US"/>
              </w:rPr>
            </w:pPr>
            <w:r w:rsidRPr="005D3D7B">
              <w:rPr>
                <w:sz w:val="20"/>
                <w:szCs w:val="20"/>
                <w:lang w:eastAsia="en-US"/>
              </w:rPr>
              <w:t>jah</w:t>
            </w:r>
          </w:p>
        </w:tc>
        <w:tc>
          <w:tcPr>
            <w:tcW w:w="2265" w:type="dxa"/>
          </w:tcPr>
          <w:p w14:paraId="2AF60061" w14:textId="77777777" w:rsidR="005D3D7B" w:rsidRPr="005D3D7B" w:rsidRDefault="005D3D7B" w:rsidP="00D375E5">
            <w:pPr>
              <w:spacing w:before="0"/>
              <w:rPr>
                <w:sz w:val="20"/>
                <w:szCs w:val="20"/>
                <w:lang w:eastAsia="en-US"/>
              </w:rPr>
            </w:pPr>
            <w:r w:rsidRPr="005D3D7B">
              <w:rPr>
                <w:sz w:val="20"/>
                <w:szCs w:val="20"/>
                <w:lang w:eastAsia="en-US"/>
              </w:rPr>
              <w:t>VPTS § 1 lg 2</w:t>
            </w:r>
          </w:p>
        </w:tc>
        <w:tc>
          <w:tcPr>
            <w:tcW w:w="2266" w:type="dxa"/>
          </w:tcPr>
          <w:p w14:paraId="3A7940D6" w14:textId="77777777" w:rsidR="005D3D7B" w:rsidRPr="005D3D7B" w:rsidRDefault="005D3D7B" w:rsidP="00D375E5">
            <w:pPr>
              <w:spacing w:before="0"/>
              <w:rPr>
                <w:sz w:val="20"/>
                <w:szCs w:val="20"/>
                <w:lang w:eastAsia="en-US"/>
              </w:rPr>
            </w:pPr>
            <w:r w:rsidRPr="005D3D7B">
              <w:rPr>
                <w:sz w:val="20"/>
                <w:szCs w:val="20"/>
                <w:lang w:eastAsia="en-US"/>
              </w:rPr>
              <w:t xml:space="preserve">Viidatud normi kohaselt lisatakse </w:t>
            </w:r>
            <w:r w:rsidRPr="005D3D7B">
              <w:rPr>
                <w:color w:val="000000"/>
                <w:sz w:val="20"/>
                <w:szCs w:val="20"/>
                <w:shd w:val="clear" w:color="auto" w:fill="FFFFFF"/>
              </w:rPr>
              <w:t xml:space="preserve">direktiivi 2014/65/EL, mis on Eestis üle võetud väärtpaberituru seadusega, artikli 2 lõikesse 1 järgmine punkt: </w:t>
            </w:r>
          </w:p>
          <w:tbl>
            <w:tblPr>
              <w:tblW w:w="5000" w:type="pct"/>
              <w:shd w:val="clear" w:color="auto" w:fill="FFFFFF"/>
              <w:tblCellMar>
                <w:left w:w="0" w:type="dxa"/>
                <w:right w:w="0" w:type="dxa"/>
              </w:tblCellMar>
              <w:tblLook w:val="04A0" w:firstRow="1" w:lastRow="0" w:firstColumn="1" w:lastColumn="0" w:noHBand="0" w:noVBand="1"/>
            </w:tblPr>
            <w:tblGrid>
              <w:gridCol w:w="256"/>
              <w:gridCol w:w="2032"/>
            </w:tblGrid>
            <w:tr w:rsidR="005D3D7B" w:rsidRPr="005D3D7B" w14:paraId="06349E55" w14:textId="77777777" w:rsidTr="00286C20">
              <w:tc>
                <w:tcPr>
                  <w:tcW w:w="0" w:type="auto"/>
                  <w:shd w:val="clear" w:color="auto" w:fill="FFFFFF"/>
                  <w:hideMark/>
                </w:tcPr>
                <w:p w14:paraId="58B9230A" w14:textId="77777777" w:rsidR="005D3D7B" w:rsidRPr="005D3D7B" w:rsidRDefault="005D3D7B" w:rsidP="00D375E5">
                  <w:pPr>
                    <w:pStyle w:val="oj-normal"/>
                    <w:spacing w:before="0" w:beforeAutospacing="0" w:after="0" w:afterAutospacing="0"/>
                    <w:jc w:val="both"/>
                    <w:rPr>
                      <w:rFonts w:ascii="inherit" w:hAnsi="inherit"/>
                      <w:color w:val="000000"/>
                      <w:sz w:val="20"/>
                      <w:szCs w:val="20"/>
                    </w:rPr>
                  </w:pPr>
                  <w:r w:rsidRPr="005D3D7B">
                    <w:rPr>
                      <w:rFonts w:ascii="inherit" w:hAnsi="inherit"/>
                      <w:color w:val="000000"/>
                      <w:sz w:val="20"/>
                      <w:szCs w:val="20"/>
                    </w:rPr>
                    <w:t>„p)</w:t>
                  </w:r>
                </w:p>
              </w:tc>
              <w:tc>
                <w:tcPr>
                  <w:tcW w:w="0" w:type="auto"/>
                  <w:shd w:val="clear" w:color="auto" w:fill="FFFFFF"/>
                  <w:hideMark/>
                </w:tcPr>
                <w:p w14:paraId="5182138B" w14:textId="77777777" w:rsidR="005D3D7B" w:rsidRPr="005D3D7B" w:rsidRDefault="005D3D7B" w:rsidP="00D375E5">
                  <w:pPr>
                    <w:pStyle w:val="oj-normal"/>
                    <w:spacing w:before="0" w:beforeAutospacing="0" w:after="0" w:afterAutospacing="0"/>
                    <w:jc w:val="both"/>
                    <w:rPr>
                      <w:rFonts w:ascii="inherit" w:hAnsi="inherit"/>
                      <w:color w:val="000000"/>
                      <w:sz w:val="20"/>
                      <w:szCs w:val="20"/>
                    </w:rPr>
                  </w:pPr>
                  <w:r w:rsidRPr="005D3D7B">
                    <w:rPr>
                      <w:rFonts w:ascii="inherit" w:hAnsi="inherit"/>
                      <w:color w:val="000000"/>
                      <w:sz w:val="20"/>
                      <w:szCs w:val="20"/>
                    </w:rPr>
                    <w:t>Euroopa Parlamendi ja nõukogu määruse (EL) 2020/1503</w:t>
                  </w:r>
                  <w:hyperlink r:id="rId28" w:anchor="ntr*1-L_2020347ET.01005001-E0005" w:history="1">
                    <w:r w:rsidRPr="005D3D7B">
                      <w:rPr>
                        <w:rStyle w:val="Heading8Char"/>
                        <w:rFonts w:ascii="inherit" w:eastAsiaTheme="majorEastAsia" w:hAnsi="inherit"/>
                        <w:color w:val="3366CC"/>
                        <w:sz w:val="20"/>
                        <w:szCs w:val="20"/>
                      </w:rPr>
                      <w:t> (</w:t>
                    </w:r>
                    <w:r w:rsidRPr="005D3D7B">
                      <w:rPr>
                        <w:rStyle w:val="oj-super"/>
                        <w:rFonts w:ascii="inherit" w:hAnsi="inherit"/>
                        <w:color w:val="3366CC"/>
                        <w:sz w:val="20"/>
                        <w:szCs w:val="20"/>
                        <w:vertAlign w:val="superscript"/>
                      </w:rPr>
                      <w:t>*1</w:t>
                    </w:r>
                    <w:r w:rsidRPr="005D3D7B">
                      <w:rPr>
                        <w:rStyle w:val="Heading8Char"/>
                        <w:rFonts w:ascii="inherit" w:eastAsiaTheme="majorEastAsia" w:hAnsi="inherit"/>
                        <w:color w:val="3366CC"/>
                        <w:sz w:val="20"/>
                        <w:szCs w:val="20"/>
                      </w:rPr>
                      <w:t>)</w:t>
                    </w:r>
                  </w:hyperlink>
                  <w:r w:rsidRPr="005D3D7B">
                    <w:rPr>
                      <w:rFonts w:ascii="inherit" w:hAnsi="inherit"/>
                      <w:color w:val="000000"/>
                      <w:sz w:val="20"/>
                      <w:szCs w:val="20"/>
                    </w:rPr>
                    <w:t> artikli 2 lõike 1 punktis e määratletud ühisrahastusteenuse osutajate suhtes.</w:t>
                  </w:r>
                </w:p>
              </w:tc>
            </w:tr>
          </w:tbl>
          <w:p w14:paraId="2BAAC666" w14:textId="77777777" w:rsidR="005D3D7B" w:rsidRPr="005D3D7B" w:rsidRDefault="005D3D7B" w:rsidP="00D375E5">
            <w:pPr>
              <w:spacing w:before="0"/>
              <w:rPr>
                <w:sz w:val="20"/>
                <w:szCs w:val="20"/>
                <w:lang w:eastAsia="en-US"/>
              </w:rPr>
            </w:pPr>
          </w:p>
        </w:tc>
      </w:tr>
      <w:tr w:rsidR="005D3D7B" w:rsidRPr="005D3D7B" w14:paraId="36AF063C" w14:textId="77777777" w:rsidTr="002B2C7C">
        <w:tc>
          <w:tcPr>
            <w:tcW w:w="2265" w:type="dxa"/>
          </w:tcPr>
          <w:p w14:paraId="3386EE9D" w14:textId="77777777" w:rsidR="005D3D7B" w:rsidRPr="005D3D7B" w:rsidRDefault="005D3D7B" w:rsidP="00D375E5">
            <w:pPr>
              <w:spacing w:before="0"/>
              <w:rPr>
                <w:sz w:val="20"/>
                <w:szCs w:val="20"/>
                <w:lang w:eastAsia="en-US"/>
              </w:rPr>
            </w:pPr>
            <w:r w:rsidRPr="005D3D7B">
              <w:rPr>
                <w:sz w:val="20"/>
                <w:szCs w:val="20"/>
                <w:lang w:eastAsia="en-US"/>
              </w:rPr>
              <w:t>Artikkel 2 punkt 1</w:t>
            </w:r>
          </w:p>
        </w:tc>
        <w:tc>
          <w:tcPr>
            <w:tcW w:w="2265" w:type="dxa"/>
          </w:tcPr>
          <w:p w14:paraId="5A7CC830" w14:textId="77777777" w:rsidR="005D3D7B" w:rsidRPr="005D3D7B" w:rsidRDefault="005D3D7B" w:rsidP="00D375E5">
            <w:pPr>
              <w:spacing w:before="0"/>
              <w:rPr>
                <w:sz w:val="20"/>
                <w:szCs w:val="20"/>
                <w:lang w:eastAsia="en-US"/>
              </w:rPr>
            </w:pPr>
            <w:r w:rsidRPr="005D3D7B">
              <w:rPr>
                <w:sz w:val="20"/>
                <w:szCs w:val="20"/>
                <w:lang w:eastAsia="en-US"/>
              </w:rPr>
              <w:t>ei</w:t>
            </w:r>
          </w:p>
        </w:tc>
        <w:tc>
          <w:tcPr>
            <w:tcW w:w="2265" w:type="dxa"/>
          </w:tcPr>
          <w:p w14:paraId="0018BA66" w14:textId="335C6172" w:rsidR="005D3D7B" w:rsidRPr="005D3D7B" w:rsidRDefault="003D3C05" w:rsidP="00D375E5">
            <w:pPr>
              <w:spacing w:before="0"/>
              <w:rPr>
                <w:sz w:val="20"/>
                <w:szCs w:val="20"/>
                <w:lang w:eastAsia="en-US"/>
              </w:rPr>
            </w:pPr>
            <w:r>
              <w:rPr>
                <w:sz w:val="20"/>
                <w:szCs w:val="20"/>
                <w:lang w:eastAsia="en-US"/>
              </w:rPr>
              <w:t>Direktiiv tuleb viidatud ajaks riigisises</w:t>
            </w:r>
            <w:r w:rsidR="00B65268">
              <w:rPr>
                <w:sz w:val="20"/>
                <w:szCs w:val="20"/>
                <w:lang w:eastAsia="en-US"/>
              </w:rPr>
              <w:t>esse õigusesse üle võtta. Eelnõu</w:t>
            </w:r>
            <w:r>
              <w:rPr>
                <w:sz w:val="20"/>
                <w:szCs w:val="20"/>
                <w:lang w:eastAsia="en-US"/>
              </w:rPr>
              <w:t xml:space="preserve"> jõustumisaeg on kehtestatud 1. juuliks 2021.</w:t>
            </w:r>
          </w:p>
        </w:tc>
        <w:tc>
          <w:tcPr>
            <w:tcW w:w="2266" w:type="dxa"/>
          </w:tcPr>
          <w:p w14:paraId="4FB3902E" w14:textId="77777777" w:rsidR="005D3D7B" w:rsidRPr="005D3D7B" w:rsidRDefault="005D3D7B" w:rsidP="00D375E5">
            <w:pPr>
              <w:spacing w:before="0"/>
              <w:rPr>
                <w:sz w:val="20"/>
                <w:szCs w:val="20"/>
                <w:lang w:eastAsia="en-US"/>
              </w:rPr>
            </w:pPr>
            <w:r w:rsidRPr="005D3D7B">
              <w:rPr>
                <w:sz w:val="20"/>
                <w:szCs w:val="20"/>
              </w:rPr>
              <w:t xml:space="preserve">Tegemist on sättega, mis kehtestab liikmesriikidele direktiivist tulenevate sätete ülevõtmistähtaja. Selle kohaselt </w:t>
            </w:r>
            <w:r w:rsidRPr="005D3D7B">
              <w:rPr>
                <w:sz w:val="20"/>
                <w:szCs w:val="20"/>
                <w:lang w:eastAsia="en-US"/>
              </w:rPr>
              <w:t>liikmesriigid võtavad vastu direktiivi (EL) 2020/1504 artikli 1 järgimiseks vajalikud õigus- ja haldusnormid ja avaldavad need hiljemalt 10. maiks 2021. Kõnealuseid norme tuleb kohaldada alates 10. novembrist 2021.</w:t>
            </w:r>
          </w:p>
        </w:tc>
      </w:tr>
      <w:tr w:rsidR="005D3D7B" w:rsidRPr="005D3D7B" w14:paraId="0EF41416" w14:textId="77777777" w:rsidTr="002B2C7C">
        <w:tc>
          <w:tcPr>
            <w:tcW w:w="2265" w:type="dxa"/>
          </w:tcPr>
          <w:p w14:paraId="738F04E2" w14:textId="77777777" w:rsidR="005D3D7B" w:rsidRPr="005D3D7B" w:rsidRDefault="005D3D7B" w:rsidP="00D375E5">
            <w:pPr>
              <w:spacing w:before="0"/>
              <w:rPr>
                <w:sz w:val="20"/>
                <w:szCs w:val="20"/>
                <w:lang w:eastAsia="en-US"/>
              </w:rPr>
            </w:pPr>
            <w:r w:rsidRPr="005D3D7B">
              <w:rPr>
                <w:sz w:val="20"/>
                <w:szCs w:val="20"/>
                <w:lang w:eastAsia="en-US"/>
              </w:rPr>
              <w:t>Artikkel 2 punkt 2</w:t>
            </w:r>
          </w:p>
        </w:tc>
        <w:tc>
          <w:tcPr>
            <w:tcW w:w="2265" w:type="dxa"/>
          </w:tcPr>
          <w:p w14:paraId="50BB512E" w14:textId="77777777" w:rsidR="005D3D7B" w:rsidRPr="005D3D7B" w:rsidRDefault="005D3D7B" w:rsidP="00D375E5">
            <w:pPr>
              <w:spacing w:before="0"/>
              <w:rPr>
                <w:sz w:val="20"/>
                <w:szCs w:val="20"/>
                <w:lang w:eastAsia="en-US"/>
              </w:rPr>
            </w:pPr>
            <w:r w:rsidRPr="005D3D7B">
              <w:rPr>
                <w:sz w:val="20"/>
                <w:szCs w:val="20"/>
                <w:lang w:eastAsia="en-US"/>
              </w:rPr>
              <w:t>ei</w:t>
            </w:r>
          </w:p>
        </w:tc>
        <w:tc>
          <w:tcPr>
            <w:tcW w:w="2265" w:type="dxa"/>
          </w:tcPr>
          <w:p w14:paraId="3D262DF3" w14:textId="77777777" w:rsidR="005D3D7B" w:rsidRPr="005D3D7B" w:rsidRDefault="005D3D7B" w:rsidP="00D375E5">
            <w:pPr>
              <w:spacing w:before="0"/>
              <w:rPr>
                <w:sz w:val="20"/>
                <w:szCs w:val="20"/>
                <w:lang w:eastAsia="en-US"/>
              </w:rPr>
            </w:pPr>
            <w:r w:rsidRPr="005D3D7B">
              <w:rPr>
                <w:sz w:val="20"/>
                <w:szCs w:val="20"/>
                <w:lang w:eastAsia="en-US"/>
              </w:rPr>
              <w:t>-</w:t>
            </w:r>
          </w:p>
        </w:tc>
        <w:tc>
          <w:tcPr>
            <w:tcW w:w="2266" w:type="dxa"/>
          </w:tcPr>
          <w:p w14:paraId="7CBD8DC1" w14:textId="77777777" w:rsidR="005D3D7B" w:rsidRPr="005D3D7B" w:rsidRDefault="005D3D7B" w:rsidP="00D375E5">
            <w:pPr>
              <w:spacing w:before="0"/>
              <w:rPr>
                <w:sz w:val="20"/>
                <w:szCs w:val="20"/>
                <w:lang w:eastAsia="en-US"/>
              </w:rPr>
            </w:pPr>
            <w:r w:rsidRPr="005D3D7B">
              <w:rPr>
                <w:sz w:val="20"/>
                <w:szCs w:val="20"/>
              </w:rPr>
              <w:t xml:space="preserve">Tegemist on sättega, mis kehtestab liikmesriikidele kohustuse edastada Euroopa Komisjonile ja </w:t>
            </w:r>
            <w:r w:rsidRPr="005D3D7B">
              <w:rPr>
                <w:color w:val="000000"/>
                <w:sz w:val="20"/>
                <w:szCs w:val="20"/>
                <w:shd w:val="clear" w:color="auto" w:fill="FFFFFF"/>
              </w:rPr>
              <w:t>Euroopa Väärtpaberiturujärelevalvele</w:t>
            </w:r>
            <w:r w:rsidRPr="005D3D7B">
              <w:rPr>
                <w:sz w:val="20"/>
                <w:szCs w:val="20"/>
              </w:rPr>
              <w:t xml:space="preserve"> direktiivi ülevõtvate riigisiseste sätete teksti. </w:t>
            </w:r>
          </w:p>
        </w:tc>
      </w:tr>
      <w:tr w:rsidR="005D3D7B" w:rsidRPr="005D3D7B" w14:paraId="6998B7E1" w14:textId="77777777" w:rsidTr="002B2C7C">
        <w:tc>
          <w:tcPr>
            <w:tcW w:w="2265" w:type="dxa"/>
          </w:tcPr>
          <w:p w14:paraId="44B343EB" w14:textId="77777777" w:rsidR="005D3D7B" w:rsidRPr="005D3D7B" w:rsidRDefault="005D3D7B" w:rsidP="00D375E5">
            <w:pPr>
              <w:spacing w:before="0"/>
              <w:rPr>
                <w:sz w:val="20"/>
                <w:szCs w:val="20"/>
                <w:lang w:eastAsia="en-US"/>
              </w:rPr>
            </w:pPr>
            <w:r w:rsidRPr="005D3D7B">
              <w:rPr>
                <w:sz w:val="20"/>
                <w:szCs w:val="20"/>
                <w:lang w:eastAsia="en-US"/>
              </w:rPr>
              <w:t>Artikkel 3</w:t>
            </w:r>
          </w:p>
        </w:tc>
        <w:tc>
          <w:tcPr>
            <w:tcW w:w="2265" w:type="dxa"/>
          </w:tcPr>
          <w:p w14:paraId="2C41637E" w14:textId="55562CB4" w:rsidR="005D3D7B" w:rsidRPr="005D3D7B" w:rsidRDefault="003D3C05" w:rsidP="00D375E5">
            <w:pPr>
              <w:spacing w:before="0"/>
              <w:rPr>
                <w:sz w:val="20"/>
                <w:szCs w:val="20"/>
                <w:lang w:eastAsia="en-US"/>
              </w:rPr>
            </w:pPr>
            <w:r>
              <w:rPr>
                <w:sz w:val="20"/>
                <w:szCs w:val="20"/>
                <w:lang w:eastAsia="en-US"/>
              </w:rPr>
              <w:t>ei</w:t>
            </w:r>
          </w:p>
        </w:tc>
        <w:tc>
          <w:tcPr>
            <w:tcW w:w="2265" w:type="dxa"/>
          </w:tcPr>
          <w:p w14:paraId="6392996F" w14:textId="27FC6306" w:rsidR="005D3D7B" w:rsidRPr="005D3D7B" w:rsidRDefault="003D3C05" w:rsidP="00D375E5">
            <w:pPr>
              <w:spacing w:before="0"/>
              <w:rPr>
                <w:sz w:val="20"/>
                <w:szCs w:val="20"/>
                <w:lang w:eastAsia="en-US"/>
              </w:rPr>
            </w:pPr>
            <w:r>
              <w:rPr>
                <w:sz w:val="20"/>
                <w:szCs w:val="20"/>
                <w:lang w:eastAsia="en-US"/>
              </w:rPr>
              <w:t>-</w:t>
            </w:r>
          </w:p>
        </w:tc>
        <w:tc>
          <w:tcPr>
            <w:tcW w:w="2266" w:type="dxa"/>
          </w:tcPr>
          <w:p w14:paraId="0A152E2A" w14:textId="77777777" w:rsidR="005D3D7B" w:rsidRPr="005D3D7B" w:rsidRDefault="005D3D7B" w:rsidP="00D375E5">
            <w:pPr>
              <w:spacing w:before="0"/>
              <w:rPr>
                <w:sz w:val="20"/>
                <w:szCs w:val="20"/>
              </w:rPr>
            </w:pPr>
            <w:r w:rsidRPr="005D3D7B">
              <w:rPr>
                <w:sz w:val="20"/>
                <w:szCs w:val="20"/>
              </w:rPr>
              <w:t>Sätestab direktiivi jõustumise.</w:t>
            </w:r>
          </w:p>
        </w:tc>
      </w:tr>
      <w:tr w:rsidR="005D3D7B" w:rsidRPr="005D3D7B" w14:paraId="3904511F" w14:textId="77777777" w:rsidTr="002B2C7C">
        <w:tc>
          <w:tcPr>
            <w:tcW w:w="2265" w:type="dxa"/>
          </w:tcPr>
          <w:p w14:paraId="22D31C8A" w14:textId="77777777" w:rsidR="005D3D7B" w:rsidRPr="005D3D7B" w:rsidRDefault="005D3D7B" w:rsidP="00D375E5">
            <w:pPr>
              <w:spacing w:before="0"/>
              <w:rPr>
                <w:sz w:val="20"/>
                <w:szCs w:val="20"/>
                <w:lang w:eastAsia="en-US"/>
              </w:rPr>
            </w:pPr>
            <w:r w:rsidRPr="005D3D7B">
              <w:rPr>
                <w:sz w:val="20"/>
                <w:szCs w:val="20"/>
                <w:lang w:eastAsia="en-US"/>
              </w:rPr>
              <w:t>Artikkel 4</w:t>
            </w:r>
          </w:p>
        </w:tc>
        <w:tc>
          <w:tcPr>
            <w:tcW w:w="2265" w:type="dxa"/>
          </w:tcPr>
          <w:p w14:paraId="17FA9FE5" w14:textId="77777777" w:rsidR="005D3D7B" w:rsidRPr="005D3D7B" w:rsidRDefault="005D3D7B" w:rsidP="00D375E5">
            <w:pPr>
              <w:spacing w:before="0"/>
              <w:rPr>
                <w:sz w:val="20"/>
                <w:szCs w:val="20"/>
                <w:lang w:eastAsia="en-US"/>
              </w:rPr>
            </w:pPr>
            <w:r w:rsidRPr="005D3D7B">
              <w:rPr>
                <w:sz w:val="20"/>
                <w:szCs w:val="20"/>
                <w:lang w:eastAsia="en-US"/>
              </w:rPr>
              <w:t>ei</w:t>
            </w:r>
          </w:p>
        </w:tc>
        <w:tc>
          <w:tcPr>
            <w:tcW w:w="2265" w:type="dxa"/>
          </w:tcPr>
          <w:p w14:paraId="04D4CBCB" w14:textId="77777777" w:rsidR="005D3D7B" w:rsidRPr="005D3D7B" w:rsidRDefault="005D3D7B" w:rsidP="00D375E5">
            <w:pPr>
              <w:spacing w:before="0"/>
              <w:rPr>
                <w:sz w:val="20"/>
                <w:szCs w:val="20"/>
                <w:lang w:eastAsia="en-US"/>
              </w:rPr>
            </w:pPr>
            <w:r w:rsidRPr="005D3D7B">
              <w:rPr>
                <w:sz w:val="20"/>
                <w:szCs w:val="20"/>
                <w:lang w:eastAsia="en-US"/>
              </w:rPr>
              <w:t>-</w:t>
            </w:r>
          </w:p>
        </w:tc>
        <w:tc>
          <w:tcPr>
            <w:tcW w:w="2266" w:type="dxa"/>
          </w:tcPr>
          <w:p w14:paraId="729AD5AD" w14:textId="77777777" w:rsidR="005D3D7B" w:rsidRPr="005D3D7B" w:rsidRDefault="005D3D7B" w:rsidP="00D375E5">
            <w:pPr>
              <w:spacing w:before="0"/>
              <w:rPr>
                <w:sz w:val="20"/>
                <w:szCs w:val="20"/>
              </w:rPr>
            </w:pPr>
            <w:r w:rsidRPr="005D3D7B">
              <w:rPr>
                <w:sz w:val="20"/>
                <w:szCs w:val="20"/>
              </w:rPr>
              <w:t>Sätestab direktiivi adressaadid.</w:t>
            </w:r>
          </w:p>
        </w:tc>
      </w:tr>
    </w:tbl>
    <w:p w14:paraId="75A8F517" w14:textId="40934271" w:rsidR="005D3D7B" w:rsidRDefault="005D3D7B" w:rsidP="00D375E5">
      <w:pPr>
        <w:spacing w:before="0"/>
        <w:rPr>
          <w:lang w:eastAsia="en-US"/>
        </w:rPr>
      </w:pPr>
    </w:p>
    <w:p w14:paraId="6C68CE34" w14:textId="577A3A7E" w:rsidR="00253A7E" w:rsidRDefault="00253A7E" w:rsidP="00D375E5">
      <w:pPr>
        <w:spacing w:before="0"/>
        <w:rPr>
          <w:lang w:eastAsia="en-US"/>
        </w:rPr>
      </w:pPr>
    </w:p>
    <w:p w14:paraId="0722CDD7" w14:textId="14BBADE9" w:rsidR="00253A7E" w:rsidRDefault="00253A7E" w:rsidP="00D375E5">
      <w:pPr>
        <w:spacing w:before="0"/>
        <w:rPr>
          <w:lang w:eastAsia="en-US"/>
        </w:rPr>
      </w:pPr>
    </w:p>
    <w:p w14:paraId="7F0B755B" w14:textId="34C226EB" w:rsidR="00253A7E" w:rsidRDefault="00253A7E" w:rsidP="00D375E5">
      <w:pPr>
        <w:spacing w:before="0"/>
        <w:rPr>
          <w:lang w:eastAsia="en-US"/>
        </w:rPr>
      </w:pPr>
    </w:p>
    <w:p w14:paraId="6DCF6398" w14:textId="78B4278D" w:rsidR="005D3D7B" w:rsidRPr="005D3D7B" w:rsidRDefault="005D3D7B" w:rsidP="00D375E5">
      <w:pPr>
        <w:spacing w:before="0"/>
        <w:rPr>
          <w:b/>
          <w:sz w:val="22"/>
          <w:szCs w:val="22"/>
          <w:lang w:eastAsia="en-US"/>
        </w:rPr>
      </w:pPr>
      <w:r w:rsidRPr="005D3D7B">
        <w:rPr>
          <w:b/>
          <w:sz w:val="22"/>
          <w:szCs w:val="22"/>
          <w:lang w:eastAsia="en-US"/>
        </w:rPr>
        <w:t>Euroopa Parlamendi ja nõukogu määruse (EL) 2020/1503 ja Eesti õigusaktide vastavustabel</w:t>
      </w:r>
    </w:p>
    <w:p w14:paraId="482CC251" w14:textId="77777777" w:rsidR="005D3D7B" w:rsidRDefault="005D3D7B" w:rsidP="00D375E5">
      <w:pPr>
        <w:spacing w:before="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66"/>
        <w:gridCol w:w="2237"/>
        <w:gridCol w:w="2504"/>
      </w:tblGrid>
      <w:tr w:rsidR="00B55FBD" w:rsidRPr="005D3D7B" w14:paraId="7BFAD145" w14:textId="77777777" w:rsidTr="00D80EBF">
        <w:tc>
          <w:tcPr>
            <w:tcW w:w="2265" w:type="dxa"/>
          </w:tcPr>
          <w:p w14:paraId="78278041" w14:textId="77777777" w:rsidR="005D3D7B" w:rsidRPr="005D3D7B" w:rsidRDefault="005D3D7B" w:rsidP="00D375E5">
            <w:pPr>
              <w:spacing w:before="0"/>
              <w:rPr>
                <w:b/>
                <w:sz w:val="20"/>
                <w:szCs w:val="20"/>
                <w:lang w:eastAsia="en-US"/>
              </w:rPr>
            </w:pPr>
            <w:r w:rsidRPr="005D3D7B">
              <w:rPr>
                <w:b/>
                <w:sz w:val="20"/>
                <w:szCs w:val="20"/>
                <w:lang w:eastAsia="en-US"/>
              </w:rPr>
              <w:lastRenderedPageBreak/>
              <w:t>EL õigusakti norm</w:t>
            </w:r>
          </w:p>
        </w:tc>
        <w:tc>
          <w:tcPr>
            <w:tcW w:w="2265" w:type="dxa"/>
          </w:tcPr>
          <w:p w14:paraId="1E702DDC" w14:textId="4E9EC15F" w:rsidR="005D3D7B" w:rsidRPr="005D3D7B" w:rsidRDefault="005D3D7B" w:rsidP="00D375E5">
            <w:pPr>
              <w:spacing w:before="0"/>
              <w:rPr>
                <w:b/>
                <w:sz w:val="20"/>
                <w:szCs w:val="20"/>
                <w:lang w:eastAsia="en-US"/>
              </w:rPr>
            </w:pPr>
            <w:r w:rsidRPr="005D3D7B">
              <w:rPr>
                <w:b/>
                <w:sz w:val="20"/>
                <w:szCs w:val="20"/>
                <w:lang w:eastAsia="en-US"/>
              </w:rPr>
              <w:t>EL õigusakti normi ü</w:t>
            </w:r>
            <w:r w:rsidR="005E50A0">
              <w:rPr>
                <w:b/>
                <w:sz w:val="20"/>
                <w:szCs w:val="20"/>
                <w:lang w:eastAsia="en-US"/>
              </w:rPr>
              <w:t>l</w:t>
            </w:r>
            <w:r w:rsidRPr="005D3D7B">
              <w:rPr>
                <w:b/>
                <w:sz w:val="20"/>
                <w:szCs w:val="20"/>
                <w:lang w:eastAsia="en-US"/>
              </w:rPr>
              <w:t>evõtmise kohustus</w:t>
            </w:r>
          </w:p>
        </w:tc>
        <w:tc>
          <w:tcPr>
            <w:tcW w:w="2265" w:type="dxa"/>
          </w:tcPr>
          <w:p w14:paraId="509C084B" w14:textId="77777777" w:rsidR="005D3D7B" w:rsidRPr="005D3D7B" w:rsidRDefault="005D3D7B" w:rsidP="00D375E5">
            <w:pPr>
              <w:spacing w:before="0"/>
              <w:rPr>
                <w:b/>
                <w:sz w:val="20"/>
                <w:szCs w:val="20"/>
                <w:lang w:eastAsia="en-US"/>
              </w:rPr>
            </w:pPr>
            <w:r w:rsidRPr="005D3D7B">
              <w:rPr>
                <w:b/>
                <w:sz w:val="20"/>
                <w:szCs w:val="20"/>
                <w:lang w:eastAsia="en-US"/>
              </w:rPr>
              <w:t>EL õigusakti normi sisuliseks rakendamiseks kehtestatavad riigisisesed õigusaktid</w:t>
            </w:r>
          </w:p>
        </w:tc>
        <w:tc>
          <w:tcPr>
            <w:tcW w:w="2266" w:type="dxa"/>
          </w:tcPr>
          <w:p w14:paraId="0CF70801" w14:textId="77777777" w:rsidR="005D3D7B" w:rsidRPr="005D3D7B" w:rsidRDefault="005D3D7B" w:rsidP="00D375E5">
            <w:pPr>
              <w:spacing w:before="0"/>
              <w:rPr>
                <w:b/>
                <w:sz w:val="20"/>
                <w:szCs w:val="20"/>
                <w:lang w:eastAsia="en-US"/>
              </w:rPr>
            </w:pPr>
            <w:r w:rsidRPr="005D3D7B">
              <w:rPr>
                <w:b/>
                <w:sz w:val="20"/>
                <w:szCs w:val="20"/>
                <w:lang w:eastAsia="en-US"/>
              </w:rPr>
              <w:t>Kommentaarid</w:t>
            </w:r>
          </w:p>
        </w:tc>
      </w:tr>
      <w:tr w:rsidR="00B55FBD" w:rsidRPr="005D3D7B" w14:paraId="644723C6" w14:textId="77777777" w:rsidTr="00D80EBF">
        <w:tc>
          <w:tcPr>
            <w:tcW w:w="2265" w:type="dxa"/>
          </w:tcPr>
          <w:p w14:paraId="603B4C22" w14:textId="77777777" w:rsidR="005D3D7B" w:rsidRPr="005D3D7B" w:rsidRDefault="005D3D7B" w:rsidP="00D375E5">
            <w:pPr>
              <w:spacing w:before="0"/>
              <w:rPr>
                <w:sz w:val="20"/>
                <w:szCs w:val="20"/>
                <w:lang w:eastAsia="en-US"/>
              </w:rPr>
            </w:pPr>
            <w:r w:rsidRPr="005D3D7B">
              <w:rPr>
                <w:sz w:val="20"/>
                <w:szCs w:val="20"/>
                <w:lang w:eastAsia="en-US"/>
              </w:rPr>
              <w:t>Artikkel 29 lõige 1</w:t>
            </w:r>
          </w:p>
        </w:tc>
        <w:tc>
          <w:tcPr>
            <w:tcW w:w="2265" w:type="dxa"/>
          </w:tcPr>
          <w:p w14:paraId="5DE4AF28" w14:textId="77777777" w:rsidR="005D3D7B" w:rsidRPr="005D3D7B" w:rsidRDefault="005D3D7B" w:rsidP="00D375E5">
            <w:pPr>
              <w:spacing w:before="0"/>
              <w:rPr>
                <w:sz w:val="20"/>
                <w:szCs w:val="20"/>
                <w:lang w:eastAsia="en-US"/>
              </w:rPr>
            </w:pPr>
            <w:r w:rsidRPr="005D3D7B">
              <w:rPr>
                <w:sz w:val="20"/>
                <w:szCs w:val="20"/>
                <w:lang w:eastAsia="en-US"/>
              </w:rPr>
              <w:t>jah</w:t>
            </w:r>
          </w:p>
        </w:tc>
        <w:tc>
          <w:tcPr>
            <w:tcW w:w="2265" w:type="dxa"/>
          </w:tcPr>
          <w:p w14:paraId="29208692" w14:textId="59484537" w:rsidR="005D3D7B" w:rsidRPr="005D3D7B" w:rsidRDefault="005E50A0" w:rsidP="00E5310D">
            <w:pPr>
              <w:spacing w:before="0"/>
              <w:rPr>
                <w:sz w:val="20"/>
                <w:szCs w:val="20"/>
                <w:lang w:eastAsia="en-US"/>
              </w:rPr>
            </w:pPr>
            <w:r>
              <w:rPr>
                <w:sz w:val="20"/>
                <w:szCs w:val="20"/>
                <w:lang w:eastAsia="en-US"/>
              </w:rPr>
              <w:t xml:space="preserve">eelnõu </w:t>
            </w:r>
            <w:r w:rsidR="00253A7E">
              <w:rPr>
                <w:sz w:val="20"/>
                <w:szCs w:val="20"/>
                <w:lang w:eastAsia="en-US"/>
              </w:rPr>
              <w:t>§ 8</w:t>
            </w:r>
            <w:r w:rsidR="00E5310D">
              <w:rPr>
                <w:sz w:val="20"/>
                <w:szCs w:val="20"/>
                <w:lang w:eastAsia="en-US"/>
              </w:rPr>
              <w:t>7</w:t>
            </w:r>
            <w:r w:rsidR="00253A7E">
              <w:rPr>
                <w:sz w:val="20"/>
                <w:szCs w:val="20"/>
                <w:lang w:eastAsia="en-US"/>
              </w:rPr>
              <w:t xml:space="preserve"> lõige </w:t>
            </w:r>
            <w:r w:rsidR="00E5310D">
              <w:rPr>
                <w:sz w:val="20"/>
                <w:szCs w:val="20"/>
                <w:lang w:eastAsia="en-US"/>
              </w:rPr>
              <w:t>6</w:t>
            </w:r>
          </w:p>
        </w:tc>
        <w:tc>
          <w:tcPr>
            <w:tcW w:w="2266" w:type="dxa"/>
          </w:tcPr>
          <w:p w14:paraId="5FD75E3D" w14:textId="6D46AB09" w:rsidR="005D3D7B" w:rsidRPr="005D3D7B" w:rsidRDefault="00253A7E" w:rsidP="00D375E5">
            <w:pPr>
              <w:spacing w:before="0"/>
              <w:rPr>
                <w:sz w:val="20"/>
                <w:szCs w:val="20"/>
                <w:lang w:eastAsia="en-US"/>
              </w:rPr>
            </w:pPr>
            <w:r>
              <w:rPr>
                <w:color w:val="000000"/>
                <w:sz w:val="20"/>
                <w:szCs w:val="20"/>
                <w:shd w:val="clear" w:color="auto" w:fill="FFFFFF"/>
              </w:rPr>
              <w:t>Viidatud artikli kohaselt määravad l</w:t>
            </w:r>
            <w:r w:rsidR="005D3D7B" w:rsidRPr="005D3D7B">
              <w:rPr>
                <w:color w:val="000000"/>
                <w:sz w:val="20"/>
                <w:szCs w:val="20"/>
                <w:shd w:val="clear" w:color="auto" w:fill="FFFFFF"/>
              </w:rPr>
              <w:t>iikmesriigid pädevad asutused, kes vastutavad käesolevas määruses sätestatud ülesannete ja kohustuste täitmise eest, ning teavitavad sellest ESMAt.</w:t>
            </w:r>
          </w:p>
        </w:tc>
      </w:tr>
      <w:tr w:rsidR="00B55FBD" w:rsidRPr="005D3D7B" w14:paraId="1075804A" w14:textId="77777777" w:rsidTr="00D80EBF">
        <w:tc>
          <w:tcPr>
            <w:tcW w:w="2265" w:type="dxa"/>
          </w:tcPr>
          <w:p w14:paraId="18344610" w14:textId="21BF9600" w:rsidR="005D3D7B" w:rsidRPr="005D3D7B" w:rsidRDefault="005D3D7B" w:rsidP="00D375E5">
            <w:pPr>
              <w:spacing w:before="0"/>
              <w:rPr>
                <w:sz w:val="20"/>
                <w:szCs w:val="20"/>
                <w:lang w:eastAsia="en-US"/>
              </w:rPr>
            </w:pPr>
            <w:r w:rsidRPr="005D3D7B">
              <w:rPr>
                <w:sz w:val="20"/>
                <w:szCs w:val="20"/>
                <w:lang w:eastAsia="en-US"/>
              </w:rPr>
              <w:t>Artikkel 34</w:t>
            </w:r>
            <w:r w:rsidR="00032DDF">
              <w:rPr>
                <w:sz w:val="20"/>
                <w:szCs w:val="20"/>
                <w:lang w:eastAsia="en-US"/>
              </w:rPr>
              <w:t xml:space="preserve"> esimene lause</w:t>
            </w:r>
          </w:p>
        </w:tc>
        <w:tc>
          <w:tcPr>
            <w:tcW w:w="2265" w:type="dxa"/>
          </w:tcPr>
          <w:p w14:paraId="28709334" w14:textId="4511F43C" w:rsidR="005D3D7B" w:rsidRPr="005D3D7B" w:rsidRDefault="00032DDF" w:rsidP="00D375E5">
            <w:pPr>
              <w:spacing w:before="0"/>
              <w:rPr>
                <w:sz w:val="20"/>
                <w:szCs w:val="20"/>
                <w:lang w:eastAsia="en-US"/>
              </w:rPr>
            </w:pPr>
            <w:r>
              <w:rPr>
                <w:sz w:val="20"/>
                <w:szCs w:val="20"/>
                <w:lang w:eastAsia="en-US"/>
              </w:rPr>
              <w:t>ei</w:t>
            </w:r>
          </w:p>
        </w:tc>
        <w:tc>
          <w:tcPr>
            <w:tcW w:w="2265" w:type="dxa"/>
          </w:tcPr>
          <w:p w14:paraId="01CBFEFF" w14:textId="1D6DE868" w:rsidR="005D3D7B" w:rsidRPr="005D3D7B" w:rsidRDefault="00032DDF" w:rsidP="00D375E5">
            <w:pPr>
              <w:spacing w:before="0"/>
              <w:rPr>
                <w:sz w:val="20"/>
                <w:szCs w:val="20"/>
                <w:lang w:eastAsia="en-US"/>
              </w:rPr>
            </w:pPr>
            <w:r>
              <w:rPr>
                <w:sz w:val="20"/>
                <w:szCs w:val="20"/>
                <w:lang w:eastAsia="en-US"/>
              </w:rPr>
              <w:t>-</w:t>
            </w:r>
          </w:p>
        </w:tc>
        <w:tc>
          <w:tcPr>
            <w:tcW w:w="2266" w:type="dxa"/>
          </w:tcPr>
          <w:p w14:paraId="0A022C98" w14:textId="0524C5C3" w:rsidR="005D3D7B" w:rsidRPr="005D3D7B" w:rsidRDefault="00421971" w:rsidP="00D375E5">
            <w:pPr>
              <w:spacing w:before="0"/>
              <w:rPr>
                <w:sz w:val="20"/>
                <w:szCs w:val="20"/>
                <w:lang w:eastAsia="en-US"/>
              </w:rPr>
            </w:pPr>
            <w:r>
              <w:rPr>
                <w:color w:val="000000"/>
                <w:sz w:val="20"/>
                <w:szCs w:val="20"/>
                <w:shd w:val="clear" w:color="auto" w:fill="FFFFFF"/>
              </w:rPr>
              <w:t xml:space="preserve">Viidatud artikli kohaselt </w:t>
            </w:r>
            <w:r w:rsidRPr="005D3D7B">
              <w:rPr>
                <w:color w:val="000000"/>
                <w:sz w:val="20"/>
                <w:szCs w:val="20"/>
                <w:shd w:val="clear" w:color="auto" w:fill="FFFFFF"/>
              </w:rPr>
              <w:t xml:space="preserve">teatavad </w:t>
            </w:r>
            <w:r>
              <w:rPr>
                <w:color w:val="000000"/>
                <w:sz w:val="20"/>
                <w:szCs w:val="20"/>
                <w:shd w:val="clear" w:color="auto" w:fill="FFFFFF"/>
              </w:rPr>
              <w:t>l</w:t>
            </w:r>
            <w:r w:rsidR="005D3D7B" w:rsidRPr="005D3D7B">
              <w:rPr>
                <w:color w:val="000000"/>
                <w:sz w:val="20"/>
                <w:szCs w:val="20"/>
                <w:shd w:val="clear" w:color="auto" w:fill="FFFFFF"/>
              </w:rPr>
              <w:t>iikmesriigid komisjonile ja ESMA-le oma õigus- ja haldusnormid, millega määruse VI peatükki (pädevad asutused ja esma) rakendatakse, sealhulgas asjaomased kriminaalõigusnormid, hiljemalt 10. novembriks 2021.</w:t>
            </w:r>
            <w:r w:rsidR="00527EFB">
              <w:rPr>
                <w:color w:val="000000"/>
                <w:sz w:val="20"/>
                <w:szCs w:val="20"/>
                <w:shd w:val="clear" w:color="auto" w:fill="FFFFFF"/>
              </w:rPr>
              <w:t xml:space="preserve"> </w:t>
            </w:r>
            <w:r w:rsidR="00032DDF" w:rsidRPr="005D3D7B">
              <w:rPr>
                <w:sz w:val="20"/>
                <w:szCs w:val="20"/>
              </w:rPr>
              <w:t>Tegemist on sättega, mis kehtestab liikmesriikidele kohustuse edastada Euroopa Komisjonile</w:t>
            </w:r>
            <w:r w:rsidR="00032DDF">
              <w:rPr>
                <w:sz w:val="20"/>
                <w:szCs w:val="20"/>
              </w:rPr>
              <w:t xml:space="preserve"> </w:t>
            </w:r>
            <w:r w:rsidR="00032DDF" w:rsidRPr="005D3D7B">
              <w:rPr>
                <w:sz w:val="20"/>
                <w:szCs w:val="20"/>
              </w:rPr>
              <w:t xml:space="preserve">ja </w:t>
            </w:r>
            <w:r w:rsidR="00032DDF" w:rsidRPr="005D3D7B">
              <w:rPr>
                <w:color w:val="000000"/>
                <w:sz w:val="20"/>
                <w:szCs w:val="20"/>
                <w:shd w:val="clear" w:color="auto" w:fill="FFFFFF"/>
              </w:rPr>
              <w:t>Euroopa Väärtpaberiturujärelevalvele</w:t>
            </w:r>
            <w:r w:rsidR="00032DDF" w:rsidRPr="005D3D7B">
              <w:rPr>
                <w:sz w:val="20"/>
                <w:szCs w:val="20"/>
              </w:rPr>
              <w:t xml:space="preserve"> </w:t>
            </w:r>
            <w:r w:rsidR="00032DDF">
              <w:rPr>
                <w:sz w:val="20"/>
                <w:szCs w:val="20"/>
              </w:rPr>
              <w:t>määrust</w:t>
            </w:r>
            <w:r w:rsidR="00032DDF" w:rsidRPr="005D3D7B">
              <w:rPr>
                <w:sz w:val="20"/>
                <w:szCs w:val="20"/>
              </w:rPr>
              <w:t xml:space="preserve"> ülevõtvate riigisiseste sätete teksti.</w:t>
            </w:r>
          </w:p>
        </w:tc>
      </w:tr>
      <w:tr w:rsidR="00B55FBD" w:rsidRPr="005D3D7B" w14:paraId="0DDD883D" w14:textId="77777777" w:rsidTr="00D80EBF">
        <w:tc>
          <w:tcPr>
            <w:tcW w:w="2265" w:type="dxa"/>
          </w:tcPr>
          <w:p w14:paraId="3B3C0487" w14:textId="57291E90" w:rsidR="00421971" w:rsidRPr="005D3D7B" w:rsidRDefault="00032DDF" w:rsidP="00D375E5">
            <w:pPr>
              <w:spacing w:before="0"/>
              <w:rPr>
                <w:sz w:val="20"/>
                <w:szCs w:val="20"/>
                <w:lang w:eastAsia="en-US"/>
              </w:rPr>
            </w:pPr>
            <w:r w:rsidRPr="005D3D7B">
              <w:rPr>
                <w:sz w:val="20"/>
                <w:szCs w:val="20"/>
                <w:lang w:eastAsia="en-US"/>
              </w:rPr>
              <w:t>Artikkel 34</w:t>
            </w:r>
            <w:r>
              <w:rPr>
                <w:sz w:val="20"/>
                <w:szCs w:val="20"/>
                <w:lang w:eastAsia="en-US"/>
              </w:rPr>
              <w:t xml:space="preserve"> teine lause</w:t>
            </w:r>
          </w:p>
        </w:tc>
        <w:tc>
          <w:tcPr>
            <w:tcW w:w="2265" w:type="dxa"/>
          </w:tcPr>
          <w:p w14:paraId="08868EE1" w14:textId="397EB436" w:rsidR="00421971" w:rsidRPr="005D3D7B" w:rsidRDefault="00032DDF" w:rsidP="00D375E5">
            <w:pPr>
              <w:spacing w:before="0"/>
              <w:rPr>
                <w:sz w:val="20"/>
                <w:szCs w:val="20"/>
                <w:lang w:eastAsia="en-US"/>
              </w:rPr>
            </w:pPr>
            <w:r>
              <w:rPr>
                <w:sz w:val="20"/>
                <w:szCs w:val="20"/>
                <w:lang w:eastAsia="en-US"/>
              </w:rPr>
              <w:t>ei</w:t>
            </w:r>
          </w:p>
        </w:tc>
        <w:tc>
          <w:tcPr>
            <w:tcW w:w="2265" w:type="dxa"/>
          </w:tcPr>
          <w:p w14:paraId="2D240D6E" w14:textId="5C28A3CD" w:rsidR="00421971" w:rsidRPr="005B3DCA" w:rsidRDefault="00032DDF" w:rsidP="00D375E5">
            <w:pPr>
              <w:spacing w:before="0"/>
              <w:rPr>
                <w:sz w:val="20"/>
                <w:szCs w:val="20"/>
                <w:lang w:eastAsia="en-US"/>
              </w:rPr>
            </w:pPr>
            <w:r w:rsidRPr="005B3DCA">
              <w:rPr>
                <w:sz w:val="20"/>
                <w:szCs w:val="20"/>
                <w:lang w:eastAsia="en-US"/>
              </w:rPr>
              <w:t>-</w:t>
            </w:r>
          </w:p>
        </w:tc>
        <w:tc>
          <w:tcPr>
            <w:tcW w:w="2266" w:type="dxa"/>
          </w:tcPr>
          <w:p w14:paraId="5B23F792" w14:textId="6C8E43EC" w:rsidR="00421971" w:rsidRPr="005D3D7B" w:rsidRDefault="00421971" w:rsidP="00D375E5">
            <w:pPr>
              <w:spacing w:before="0"/>
              <w:rPr>
                <w:color w:val="000000"/>
                <w:sz w:val="20"/>
                <w:szCs w:val="20"/>
                <w:shd w:val="clear" w:color="auto" w:fill="FFFFFF"/>
              </w:rPr>
            </w:pPr>
            <w:r w:rsidRPr="005D3D7B">
              <w:rPr>
                <w:color w:val="000000"/>
                <w:sz w:val="20"/>
                <w:szCs w:val="20"/>
                <w:shd w:val="clear" w:color="auto" w:fill="FFFFFF"/>
              </w:rPr>
              <w:t>Liikmesriigid teatavad põhjendamatu viivituseta komisjonile ja ESMA-le kõnealuste normide hilisematest muudatustest</w:t>
            </w:r>
            <w:r w:rsidR="00032DDF">
              <w:rPr>
                <w:color w:val="000000"/>
                <w:sz w:val="20"/>
                <w:szCs w:val="20"/>
                <w:shd w:val="clear" w:color="auto" w:fill="FFFFFF"/>
              </w:rPr>
              <w:t xml:space="preserve">. </w:t>
            </w:r>
            <w:r w:rsidR="00032DDF" w:rsidRPr="005D3D7B">
              <w:rPr>
                <w:sz w:val="20"/>
                <w:szCs w:val="20"/>
              </w:rPr>
              <w:t>Tegemist on sättega, mis kehtestab liikmesriikidele kohustuse edastada Euroopa Komisjonile</w:t>
            </w:r>
            <w:r w:rsidR="00032DDF">
              <w:rPr>
                <w:sz w:val="20"/>
                <w:szCs w:val="20"/>
              </w:rPr>
              <w:t xml:space="preserve"> </w:t>
            </w:r>
            <w:r w:rsidR="00032DDF" w:rsidRPr="005D3D7B">
              <w:rPr>
                <w:sz w:val="20"/>
                <w:szCs w:val="20"/>
              </w:rPr>
              <w:t xml:space="preserve">ja </w:t>
            </w:r>
            <w:r w:rsidR="00032DDF" w:rsidRPr="005D3D7B">
              <w:rPr>
                <w:color w:val="000000"/>
                <w:sz w:val="20"/>
                <w:szCs w:val="20"/>
                <w:shd w:val="clear" w:color="auto" w:fill="FFFFFF"/>
              </w:rPr>
              <w:t>Euroopa Väärtpaberiturujärelevalvele</w:t>
            </w:r>
            <w:r w:rsidR="00032DDF" w:rsidRPr="005D3D7B">
              <w:rPr>
                <w:sz w:val="20"/>
                <w:szCs w:val="20"/>
              </w:rPr>
              <w:t xml:space="preserve"> </w:t>
            </w:r>
            <w:r w:rsidR="00032DDF">
              <w:rPr>
                <w:sz w:val="20"/>
                <w:szCs w:val="20"/>
              </w:rPr>
              <w:t>määrust</w:t>
            </w:r>
            <w:r w:rsidR="00032DDF" w:rsidRPr="005D3D7B">
              <w:rPr>
                <w:sz w:val="20"/>
                <w:szCs w:val="20"/>
              </w:rPr>
              <w:t xml:space="preserve"> ülevõtvate riigisiseste sätete teksti</w:t>
            </w:r>
            <w:r w:rsidR="00032DDF">
              <w:rPr>
                <w:sz w:val="20"/>
                <w:szCs w:val="20"/>
              </w:rPr>
              <w:t>, kui need muutuvad seaduse vastuvõtmise järel</w:t>
            </w:r>
            <w:r w:rsidR="00032DDF" w:rsidRPr="005D3D7B">
              <w:rPr>
                <w:sz w:val="20"/>
                <w:szCs w:val="20"/>
              </w:rPr>
              <w:t>.</w:t>
            </w:r>
          </w:p>
        </w:tc>
      </w:tr>
      <w:tr w:rsidR="00B55FBD" w:rsidRPr="005D3D7B" w14:paraId="51DAB951" w14:textId="77777777" w:rsidTr="00D80EBF">
        <w:tc>
          <w:tcPr>
            <w:tcW w:w="2265" w:type="dxa"/>
          </w:tcPr>
          <w:p w14:paraId="06C762C8" w14:textId="77777777" w:rsidR="005D3D7B" w:rsidRPr="005D3D7B" w:rsidRDefault="005D3D7B" w:rsidP="00D375E5">
            <w:pPr>
              <w:spacing w:before="0"/>
              <w:rPr>
                <w:sz w:val="20"/>
                <w:szCs w:val="20"/>
                <w:lang w:eastAsia="en-US"/>
              </w:rPr>
            </w:pPr>
            <w:r w:rsidRPr="005D3D7B">
              <w:rPr>
                <w:sz w:val="20"/>
                <w:szCs w:val="20"/>
                <w:lang w:eastAsia="en-US"/>
              </w:rPr>
              <w:t>Artikkel 39 lõige 1 punktid a ja b</w:t>
            </w:r>
          </w:p>
        </w:tc>
        <w:tc>
          <w:tcPr>
            <w:tcW w:w="2265" w:type="dxa"/>
          </w:tcPr>
          <w:p w14:paraId="2A2536F6" w14:textId="77777777" w:rsidR="005D3D7B" w:rsidRPr="005D3D7B" w:rsidRDefault="005D3D7B" w:rsidP="00D375E5">
            <w:pPr>
              <w:spacing w:before="0"/>
              <w:rPr>
                <w:sz w:val="20"/>
                <w:szCs w:val="20"/>
                <w:lang w:eastAsia="en-US"/>
              </w:rPr>
            </w:pPr>
            <w:r w:rsidRPr="005D3D7B">
              <w:rPr>
                <w:sz w:val="20"/>
                <w:szCs w:val="20"/>
                <w:lang w:eastAsia="en-US"/>
              </w:rPr>
              <w:t>jah</w:t>
            </w:r>
          </w:p>
        </w:tc>
        <w:tc>
          <w:tcPr>
            <w:tcW w:w="2265" w:type="dxa"/>
          </w:tcPr>
          <w:p w14:paraId="70BA4236" w14:textId="4038CAB8" w:rsidR="005D3D7B" w:rsidRPr="005B3DCA" w:rsidRDefault="005E50A0" w:rsidP="00041448">
            <w:pPr>
              <w:spacing w:before="0"/>
              <w:rPr>
                <w:sz w:val="20"/>
                <w:szCs w:val="20"/>
                <w:lang w:eastAsia="en-US"/>
              </w:rPr>
            </w:pPr>
            <w:r>
              <w:rPr>
                <w:sz w:val="20"/>
                <w:szCs w:val="20"/>
                <w:lang w:eastAsia="en-US"/>
              </w:rPr>
              <w:t>eelnõu</w:t>
            </w:r>
            <w:r w:rsidR="005D3D7B" w:rsidRPr="005B3DCA">
              <w:rPr>
                <w:sz w:val="20"/>
                <w:szCs w:val="20"/>
                <w:lang w:eastAsia="en-US"/>
              </w:rPr>
              <w:t xml:space="preserve"> § 1</w:t>
            </w:r>
            <w:r w:rsidR="00C04220">
              <w:rPr>
                <w:sz w:val="20"/>
                <w:szCs w:val="20"/>
                <w:lang w:eastAsia="en-US"/>
              </w:rPr>
              <w:t>15</w:t>
            </w:r>
          </w:p>
        </w:tc>
        <w:tc>
          <w:tcPr>
            <w:tcW w:w="2266" w:type="dxa"/>
          </w:tcPr>
          <w:p w14:paraId="348AF4B6" w14:textId="5DC7F14B" w:rsidR="005D3D7B" w:rsidRPr="005D3D7B" w:rsidRDefault="005D3D7B" w:rsidP="00D375E5">
            <w:pPr>
              <w:spacing w:before="0"/>
              <w:rPr>
                <w:sz w:val="20"/>
                <w:szCs w:val="20"/>
                <w:lang w:eastAsia="en-US"/>
              </w:rPr>
            </w:pPr>
            <w:r w:rsidRPr="005D3D7B">
              <w:rPr>
                <w:color w:val="000000"/>
                <w:sz w:val="20"/>
                <w:szCs w:val="20"/>
                <w:shd w:val="clear" w:color="auto" w:fill="FFFFFF"/>
              </w:rPr>
              <w:t>Säte kohustab liikmesriike tagama pädevatele asutustele riigisisese õiguse kohaselt õiguse määrata halduskaristusi ja võtta muid sobivaid haldusmeetmeid, mis peavad olema tõhusad, proportsionaalsed ja hoiatavad.</w:t>
            </w:r>
            <w:r w:rsidR="00527EFB">
              <w:rPr>
                <w:color w:val="000000"/>
                <w:sz w:val="20"/>
                <w:szCs w:val="20"/>
                <w:shd w:val="clear" w:color="auto" w:fill="FFFFFF"/>
              </w:rPr>
              <w:t xml:space="preserve"> </w:t>
            </w:r>
          </w:p>
        </w:tc>
      </w:tr>
      <w:tr w:rsidR="00B55FBD" w:rsidRPr="005D3D7B" w14:paraId="099DEDDB" w14:textId="77777777" w:rsidTr="00D80EBF">
        <w:tc>
          <w:tcPr>
            <w:tcW w:w="2265" w:type="dxa"/>
          </w:tcPr>
          <w:p w14:paraId="4F04320A" w14:textId="77777777" w:rsidR="005D3D7B" w:rsidRPr="005D3D7B" w:rsidRDefault="005D3D7B" w:rsidP="00D375E5">
            <w:pPr>
              <w:spacing w:before="0"/>
              <w:rPr>
                <w:sz w:val="20"/>
                <w:szCs w:val="20"/>
                <w:lang w:eastAsia="en-US"/>
              </w:rPr>
            </w:pPr>
            <w:r w:rsidRPr="005D3D7B">
              <w:rPr>
                <w:sz w:val="20"/>
                <w:szCs w:val="20"/>
                <w:lang w:eastAsia="en-US"/>
              </w:rPr>
              <w:t>Artikkel 39 lõike 1 viimane lõik</w:t>
            </w:r>
          </w:p>
        </w:tc>
        <w:tc>
          <w:tcPr>
            <w:tcW w:w="2265" w:type="dxa"/>
          </w:tcPr>
          <w:p w14:paraId="6F008CC3" w14:textId="54AFCAC5" w:rsidR="005D3D7B" w:rsidRPr="005D3D7B" w:rsidRDefault="00032DDF" w:rsidP="00D375E5">
            <w:pPr>
              <w:spacing w:before="0"/>
              <w:rPr>
                <w:sz w:val="20"/>
                <w:szCs w:val="20"/>
                <w:lang w:eastAsia="en-US"/>
              </w:rPr>
            </w:pPr>
            <w:r>
              <w:rPr>
                <w:sz w:val="20"/>
                <w:szCs w:val="20"/>
                <w:lang w:eastAsia="en-US"/>
              </w:rPr>
              <w:t>ei</w:t>
            </w:r>
          </w:p>
        </w:tc>
        <w:tc>
          <w:tcPr>
            <w:tcW w:w="2265" w:type="dxa"/>
          </w:tcPr>
          <w:p w14:paraId="0324FA99" w14:textId="47D2C20A" w:rsidR="005D3D7B" w:rsidRPr="005D3D7B" w:rsidRDefault="00032DDF" w:rsidP="00D375E5">
            <w:pPr>
              <w:spacing w:before="0"/>
              <w:rPr>
                <w:sz w:val="20"/>
                <w:szCs w:val="20"/>
                <w:lang w:eastAsia="en-US"/>
              </w:rPr>
            </w:pPr>
            <w:r>
              <w:rPr>
                <w:sz w:val="20"/>
                <w:szCs w:val="20"/>
                <w:lang w:eastAsia="en-US"/>
              </w:rPr>
              <w:t>-</w:t>
            </w:r>
          </w:p>
        </w:tc>
        <w:tc>
          <w:tcPr>
            <w:tcW w:w="2266" w:type="dxa"/>
          </w:tcPr>
          <w:p w14:paraId="3F2F42C8" w14:textId="77777777" w:rsidR="005D3D7B" w:rsidRDefault="005D3D7B" w:rsidP="00D375E5">
            <w:pPr>
              <w:spacing w:before="0"/>
              <w:rPr>
                <w:color w:val="000000"/>
                <w:sz w:val="20"/>
                <w:szCs w:val="20"/>
                <w:shd w:val="clear" w:color="auto" w:fill="FFFFFF"/>
              </w:rPr>
            </w:pPr>
            <w:r w:rsidRPr="005D3D7B">
              <w:rPr>
                <w:color w:val="000000"/>
                <w:sz w:val="20"/>
                <w:szCs w:val="20"/>
                <w:shd w:val="clear" w:color="auto" w:fill="FFFFFF"/>
              </w:rPr>
              <w:t xml:space="preserve">Liikmesriigid teevad esimeses ja teises lõigus osutatud õigusnormid komisjonile ja ESMA-le üksikasjalikult teatavaks hiljemalt 10. novembriks 2021. Nad teavitavad komisjoni ja ESMAt viivitamata kõigist </w:t>
            </w:r>
            <w:r w:rsidRPr="005D3D7B">
              <w:rPr>
                <w:color w:val="000000"/>
                <w:sz w:val="20"/>
                <w:szCs w:val="20"/>
                <w:shd w:val="clear" w:color="auto" w:fill="FFFFFF"/>
              </w:rPr>
              <w:lastRenderedPageBreak/>
              <w:t>õigusnormide hilisematest muudatustest.</w:t>
            </w:r>
            <w:r w:rsidR="00032DDF">
              <w:rPr>
                <w:color w:val="000000"/>
                <w:sz w:val="20"/>
                <w:szCs w:val="20"/>
                <w:shd w:val="clear" w:color="auto" w:fill="FFFFFF"/>
              </w:rPr>
              <w:t xml:space="preserve"> </w:t>
            </w:r>
          </w:p>
          <w:p w14:paraId="3CAE6678" w14:textId="1331398A" w:rsidR="00032DDF" w:rsidRPr="005D3D7B" w:rsidRDefault="00032DDF" w:rsidP="00D375E5">
            <w:pPr>
              <w:spacing w:before="0"/>
              <w:rPr>
                <w:sz w:val="20"/>
                <w:szCs w:val="20"/>
              </w:rPr>
            </w:pPr>
            <w:r w:rsidRPr="005D3D7B">
              <w:rPr>
                <w:sz w:val="20"/>
                <w:szCs w:val="20"/>
              </w:rPr>
              <w:t>Tegemist on sättega, mis kehtestab liikmesriikidele kohustuse edastada Euroopa Komisjonile</w:t>
            </w:r>
            <w:r>
              <w:rPr>
                <w:sz w:val="20"/>
                <w:szCs w:val="20"/>
              </w:rPr>
              <w:t xml:space="preserve"> </w:t>
            </w:r>
            <w:r w:rsidRPr="005D3D7B">
              <w:rPr>
                <w:sz w:val="20"/>
                <w:szCs w:val="20"/>
              </w:rPr>
              <w:t xml:space="preserve">ja </w:t>
            </w:r>
            <w:r w:rsidRPr="005D3D7B">
              <w:rPr>
                <w:color w:val="000000"/>
                <w:sz w:val="20"/>
                <w:szCs w:val="20"/>
                <w:shd w:val="clear" w:color="auto" w:fill="FFFFFF"/>
              </w:rPr>
              <w:t>Euroopa Väärtpaberiturujärelevalvele</w:t>
            </w:r>
            <w:r w:rsidRPr="005D3D7B">
              <w:rPr>
                <w:sz w:val="20"/>
                <w:szCs w:val="20"/>
              </w:rPr>
              <w:t xml:space="preserve"> </w:t>
            </w:r>
            <w:r>
              <w:rPr>
                <w:sz w:val="20"/>
                <w:szCs w:val="20"/>
              </w:rPr>
              <w:t>määrust</w:t>
            </w:r>
            <w:r w:rsidRPr="005D3D7B">
              <w:rPr>
                <w:sz w:val="20"/>
                <w:szCs w:val="20"/>
              </w:rPr>
              <w:t xml:space="preserve"> ülevõtvate riigisiseste sätete teksti</w:t>
            </w:r>
            <w:r>
              <w:rPr>
                <w:sz w:val="20"/>
                <w:szCs w:val="20"/>
              </w:rPr>
              <w:t>, mh ka siis, kui need muutuvad seaduse vastuvõtmise järel</w:t>
            </w:r>
            <w:r w:rsidRPr="005D3D7B">
              <w:rPr>
                <w:sz w:val="20"/>
                <w:szCs w:val="20"/>
              </w:rPr>
              <w:t>.</w:t>
            </w:r>
          </w:p>
        </w:tc>
      </w:tr>
      <w:tr w:rsidR="00B55FBD" w:rsidRPr="005D3D7B" w14:paraId="2899FFD6" w14:textId="77777777" w:rsidTr="00D80EBF">
        <w:tc>
          <w:tcPr>
            <w:tcW w:w="2265" w:type="dxa"/>
          </w:tcPr>
          <w:p w14:paraId="0ABA9007" w14:textId="77777777" w:rsidR="005D3D7B" w:rsidRPr="005D3D7B" w:rsidRDefault="005D3D7B" w:rsidP="00D375E5">
            <w:pPr>
              <w:spacing w:before="0"/>
              <w:rPr>
                <w:sz w:val="20"/>
                <w:szCs w:val="20"/>
                <w:lang w:eastAsia="en-US"/>
              </w:rPr>
            </w:pPr>
            <w:r w:rsidRPr="005D3D7B">
              <w:rPr>
                <w:sz w:val="20"/>
                <w:szCs w:val="20"/>
                <w:lang w:eastAsia="en-US"/>
              </w:rPr>
              <w:lastRenderedPageBreak/>
              <w:t>Artikkel 39 lõige 2</w:t>
            </w:r>
          </w:p>
        </w:tc>
        <w:tc>
          <w:tcPr>
            <w:tcW w:w="2265" w:type="dxa"/>
          </w:tcPr>
          <w:p w14:paraId="32340920" w14:textId="2BA7EB09" w:rsidR="005D3D7B" w:rsidRPr="005D3D7B" w:rsidRDefault="00032DDF" w:rsidP="00D375E5">
            <w:pPr>
              <w:spacing w:before="0"/>
              <w:rPr>
                <w:sz w:val="20"/>
                <w:szCs w:val="20"/>
                <w:lang w:eastAsia="en-US"/>
              </w:rPr>
            </w:pPr>
            <w:r>
              <w:rPr>
                <w:sz w:val="20"/>
                <w:szCs w:val="20"/>
                <w:lang w:eastAsia="en-US"/>
              </w:rPr>
              <w:t>jah</w:t>
            </w:r>
          </w:p>
        </w:tc>
        <w:tc>
          <w:tcPr>
            <w:tcW w:w="2265" w:type="dxa"/>
          </w:tcPr>
          <w:p w14:paraId="114EED64" w14:textId="1359B6C0" w:rsidR="005D3D7B" w:rsidRPr="005D3D7B" w:rsidRDefault="00032DDF" w:rsidP="00D375E5">
            <w:pPr>
              <w:spacing w:before="0"/>
              <w:rPr>
                <w:sz w:val="20"/>
                <w:szCs w:val="20"/>
                <w:lang w:eastAsia="en-US"/>
              </w:rPr>
            </w:pPr>
            <w:r>
              <w:rPr>
                <w:sz w:val="20"/>
                <w:szCs w:val="20"/>
                <w:lang w:eastAsia="en-US"/>
              </w:rPr>
              <w:t>Vt alljärgnevaid lahtreid.</w:t>
            </w:r>
          </w:p>
        </w:tc>
        <w:tc>
          <w:tcPr>
            <w:tcW w:w="2266" w:type="dxa"/>
          </w:tcPr>
          <w:p w14:paraId="3E67A10B" w14:textId="5EEAE9AD" w:rsidR="005D3D7B" w:rsidRPr="005D3D7B" w:rsidRDefault="00032DDF" w:rsidP="00D375E5">
            <w:pPr>
              <w:spacing w:before="0"/>
              <w:rPr>
                <w:sz w:val="20"/>
                <w:szCs w:val="20"/>
              </w:rPr>
            </w:pPr>
            <w:r>
              <w:rPr>
                <w:color w:val="000000"/>
                <w:sz w:val="20"/>
                <w:szCs w:val="20"/>
                <w:shd w:val="clear" w:color="auto" w:fill="FFFFFF"/>
              </w:rPr>
              <w:t xml:space="preserve">Viidatud sätte kohaselt peavad </w:t>
            </w:r>
            <w:r w:rsidR="005D3D7B" w:rsidRPr="005D3D7B">
              <w:rPr>
                <w:color w:val="000000"/>
                <w:sz w:val="20"/>
                <w:szCs w:val="20"/>
                <w:shd w:val="clear" w:color="auto" w:fill="FFFFFF"/>
              </w:rPr>
              <w:t xml:space="preserve">iikmesriigid </w:t>
            </w:r>
            <w:r w:rsidRPr="005D3D7B">
              <w:rPr>
                <w:color w:val="000000"/>
                <w:sz w:val="20"/>
                <w:szCs w:val="20"/>
                <w:shd w:val="clear" w:color="auto" w:fill="FFFFFF"/>
              </w:rPr>
              <w:t>tagava</w:t>
            </w:r>
            <w:r>
              <w:rPr>
                <w:color w:val="000000"/>
                <w:sz w:val="20"/>
                <w:szCs w:val="20"/>
                <w:shd w:val="clear" w:color="auto" w:fill="FFFFFF"/>
              </w:rPr>
              <w:t>ma</w:t>
            </w:r>
            <w:r w:rsidRPr="005D3D7B">
              <w:rPr>
                <w:color w:val="000000"/>
                <w:sz w:val="20"/>
                <w:szCs w:val="20"/>
                <w:shd w:val="clear" w:color="auto" w:fill="FFFFFF"/>
              </w:rPr>
              <w:t xml:space="preserve"> </w:t>
            </w:r>
            <w:r w:rsidR="005D3D7B" w:rsidRPr="005D3D7B">
              <w:rPr>
                <w:color w:val="000000"/>
                <w:sz w:val="20"/>
                <w:szCs w:val="20"/>
                <w:shd w:val="clear" w:color="auto" w:fill="FFFFFF"/>
              </w:rPr>
              <w:t>kooskõlas oma riigisisese õigusega, et pädevatel asutustel on lõike </w:t>
            </w:r>
            <w:r>
              <w:rPr>
                <w:color w:val="000000"/>
                <w:sz w:val="20"/>
                <w:szCs w:val="20"/>
                <w:shd w:val="clear" w:color="auto" w:fill="FFFFFF"/>
              </w:rPr>
              <w:t xml:space="preserve">artikli 39 </w:t>
            </w:r>
            <w:r w:rsidR="005D3D7B" w:rsidRPr="005D3D7B">
              <w:rPr>
                <w:color w:val="000000"/>
                <w:sz w:val="20"/>
                <w:szCs w:val="20"/>
                <w:shd w:val="clear" w:color="auto" w:fill="FFFFFF"/>
              </w:rPr>
              <w:t>1 esimese lõigu punktis a osutatud õigusrikkumiste eest õigus kohaldada vähemalt järgmisi halduskaristusi ja muid haldusmeetmeid:</w:t>
            </w:r>
          </w:p>
        </w:tc>
      </w:tr>
      <w:tr w:rsidR="00B55FBD" w:rsidRPr="005D3D7B" w14:paraId="0906A362" w14:textId="77777777" w:rsidTr="00D80EBF">
        <w:tc>
          <w:tcPr>
            <w:tcW w:w="2265" w:type="dxa"/>
            <w:shd w:val="clear" w:color="auto" w:fill="auto"/>
          </w:tcPr>
          <w:p w14:paraId="36F86A3E" w14:textId="77777777" w:rsidR="005D3D7B" w:rsidRPr="005D3D7B" w:rsidRDefault="005D3D7B" w:rsidP="00D375E5">
            <w:pPr>
              <w:spacing w:before="0"/>
              <w:rPr>
                <w:sz w:val="20"/>
                <w:szCs w:val="20"/>
                <w:lang w:eastAsia="en-US"/>
              </w:rPr>
            </w:pPr>
            <w:r w:rsidRPr="005D3D7B">
              <w:rPr>
                <w:sz w:val="20"/>
                <w:szCs w:val="20"/>
                <w:lang w:eastAsia="en-US"/>
              </w:rPr>
              <w:t>Artikkel 39 lõige 2 punkt a</w:t>
            </w:r>
          </w:p>
        </w:tc>
        <w:tc>
          <w:tcPr>
            <w:tcW w:w="2265" w:type="dxa"/>
            <w:shd w:val="clear" w:color="auto" w:fill="auto"/>
          </w:tcPr>
          <w:p w14:paraId="73109A85" w14:textId="6FFDB7E8" w:rsidR="005D3D7B" w:rsidRPr="005D3D7B" w:rsidRDefault="00032DDF" w:rsidP="00D375E5">
            <w:pPr>
              <w:spacing w:before="0"/>
              <w:rPr>
                <w:sz w:val="20"/>
                <w:szCs w:val="20"/>
                <w:lang w:eastAsia="en-US"/>
              </w:rPr>
            </w:pPr>
            <w:r>
              <w:rPr>
                <w:sz w:val="20"/>
                <w:szCs w:val="20"/>
                <w:lang w:eastAsia="en-US"/>
              </w:rPr>
              <w:t>jah</w:t>
            </w:r>
          </w:p>
        </w:tc>
        <w:tc>
          <w:tcPr>
            <w:tcW w:w="2265" w:type="dxa"/>
            <w:shd w:val="clear" w:color="auto" w:fill="auto"/>
          </w:tcPr>
          <w:p w14:paraId="5F04E3E4" w14:textId="1D8D9F83" w:rsidR="005D3D7B" w:rsidRPr="005D3D7B" w:rsidRDefault="005E50A0" w:rsidP="00041448">
            <w:pPr>
              <w:spacing w:before="0"/>
              <w:rPr>
                <w:sz w:val="20"/>
                <w:szCs w:val="20"/>
                <w:lang w:eastAsia="en-US"/>
              </w:rPr>
            </w:pPr>
            <w:r>
              <w:rPr>
                <w:sz w:val="20"/>
                <w:szCs w:val="20"/>
                <w:lang w:eastAsia="en-US"/>
              </w:rPr>
              <w:t>eelnõu § 8</w:t>
            </w:r>
            <w:r w:rsidR="00041448">
              <w:rPr>
                <w:sz w:val="20"/>
                <w:szCs w:val="20"/>
                <w:lang w:eastAsia="en-US"/>
              </w:rPr>
              <w:t>7</w:t>
            </w:r>
            <w:r>
              <w:rPr>
                <w:sz w:val="20"/>
                <w:szCs w:val="20"/>
                <w:lang w:eastAsia="en-US"/>
              </w:rPr>
              <w:t xml:space="preserve"> lg 7</w:t>
            </w:r>
          </w:p>
        </w:tc>
        <w:tc>
          <w:tcPr>
            <w:tcW w:w="2266" w:type="dxa"/>
            <w:shd w:val="clear" w:color="auto" w:fill="auto"/>
          </w:tcPr>
          <w:p w14:paraId="59A77A2B" w14:textId="77777777" w:rsidR="005D3D7B" w:rsidRPr="005D3D7B" w:rsidRDefault="005D3D7B" w:rsidP="00D375E5">
            <w:pPr>
              <w:spacing w:before="0"/>
              <w:rPr>
                <w:sz w:val="20"/>
                <w:szCs w:val="20"/>
              </w:rPr>
            </w:pPr>
            <w:r w:rsidRPr="005D3D7B">
              <w:rPr>
                <w:sz w:val="20"/>
                <w:szCs w:val="20"/>
              </w:rPr>
              <w:t>a) avalik teadaanne, milles märgitakse ära õigusrikkumise eest vastutava füüsilise või juriidilise isiku nimi ja õigusrikkumise laad;</w:t>
            </w:r>
          </w:p>
        </w:tc>
      </w:tr>
      <w:tr w:rsidR="00B55FBD" w:rsidRPr="005D3D7B" w14:paraId="67E108DB" w14:textId="77777777" w:rsidTr="00D80EBF">
        <w:tc>
          <w:tcPr>
            <w:tcW w:w="2265" w:type="dxa"/>
            <w:shd w:val="clear" w:color="auto" w:fill="auto"/>
          </w:tcPr>
          <w:p w14:paraId="5EB69F52" w14:textId="77777777" w:rsidR="005D3D7B" w:rsidRPr="005D3D7B" w:rsidRDefault="005D3D7B" w:rsidP="00D375E5">
            <w:pPr>
              <w:spacing w:before="0"/>
              <w:rPr>
                <w:sz w:val="20"/>
                <w:szCs w:val="20"/>
                <w:lang w:eastAsia="en-US"/>
              </w:rPr>
            </w:pPr>
            <w:r w:rsidRPr="005D3D7B">
              <w:rPr>
                <w:sz w:val="20"/>
                <w:szCs w:val="20"/>
                <w:lang w:eastAsia="en-US"/>
              </w:rPr>
              <w:t>Artikkel 39 lõige 2 punkt b</w:t>
            </w:r>
          </w:p>
        </w:tc>
        <w:tc>
          <w:tcPr>
            <w:tcW w:w="2265" w:type="dxa"/>
            <w:shd w:val="clear" w:color="auto" w:fill="auto"/>
          </w:tcPr>
          <w:p w14:paraId="1F0AF9E3" w14:textId="7E2B2016" w:rsidR="005D3D7B" w:rsidRPr="005D3D7B" w:rsidRDefault="00032DDF" w:rsidP="00D375E5">
            <w:pPr>
              <w:spacing w:before="0"/>
              <w:rPr>
                <w:sz w:val="20"/>
                <w:szCs w:val="20"/>
                <w:lang w:eastAsia="en-US"/>
              </w:rPr>
            </w:pPr>
            <w:r>
              <w:rPr>
                <w:sz w:val="20"/>
                <w:szCs w:val="20"/>
                <w:lang w:eastAsia="en-US"/>
              </w:rPr>
              <w:t>jah</w:t>
            </w:r>
          </w:p>
        </w:tc>
        <w:tc>
          <w:tcPr>
            <w:tcW w:w="2265" w:type="dxa"/>
            <w:shd w:val="clear" w:color="auto" w:fill="auto"/>
          </w:tcPr>
          <w:p w14:paraId="03213EED" w14:textId="0B036C13" w:rsidR="005D3D7B" w:rsidRPr="005D3D7B" w:rsidRDefault="005E50A0" w:rsidP="005E68F3">
            <w:pPr>
              <w:spacing w:before="0"/>
              <w:rPr>
                <w:sz w:val="20"/>
                <w:szCs w:val="20"/>
                <w:lang w:eastAsia="en-US"/>
              </w:rPr>
            </w:pPr>
            <w:r>
              <w:rPr>
                <w:sz w:val="20"/>
                <w:szCs w:val="20"/>
                <w:lang w:eastAsia="en-US"/>
              </w:rPr>
              <w:t xml:space="preserve">eelnõu </w:t>
            </w:r>
            <w:r w:rsidR="00032DDF">
              <w:rPr>
                <w:sz w:val="20"/>
                <w:szCs w:val="20"/>
                <w:lang w:eastAsia="en-US"/>
              </w:rPr>
              <w:t>§ 8</w:t>
            </w:r>
            <w:r w:rsidR="00041448">
              <w:rPr>
                <w:sz w:val="20"/>
                <w:szCs w:val="20"/>
                <w:lang w:eastAsia="en-US"/>
              </w:rPr>
              <w:t>7</w:t>
            </w:r>
            <w:r w:rsidR="00032DDF">
              <w:rPr>
                <w:sz w:val="20"/>
                <w:szCs w:val="20"/>
                <w:lang w:eastAsia="en-US"/>
              </w:rPr>
              <w:t xml:space="preserve"> lg 3 p 5</w:t>
            </w:r>
            <w:r w:rsidR="00371BC2">
              <w:rPr>
                <w:sz w:val="20"/>
                <w:szCs w:val="20"/>
                <w:lang w:eastAsia="en-US"/>
              </w:rPr>
              <w:t xml:space="preserve"> ja § </w:t>
            </w:r>
            <w:r w:rsidR="005E68F3">
              <w:rPr>
                <w:sz w:val="20"/>
                <w:szCs w:val="20"/>
                <w:lang w:eastAsia="en-US"/>
              </w:rPr>
              <w:t>95</w:t>
            </w:r>
            <w:r w:rsidR="00C04220">
              <w:rPr>
                <w:sz w:val="20"/>
                <w:szCs w:val="20"/>
                <w:lang w:eastAsia="en-US"/>
              </w:rPr>
              <w:t>-96</w:t>
            </w:r>
          </w:p>
        </w:tc>
        <w:tc>
          <w:tcPr>
            <w:tcW w:w="2266" w:type="dxa"/>
            <w:shd w:val="clear" w:color="auto" w:fill="auto"/>
          </w:tcPr>
          <w:p w14:paraId="2D77CC30" w14:textId="77777777" w:rsidR="005D3D7B" w:rsidRPr="005D3D7B" w:rsidRDefault="005D3D7B" w:rsidP="00D375E5">
            <w:pPr>
              <w:spacing w:before="0"/>
              <w:rPr>
                <w:sz w:val="20"/>
                <w:szCs w:val="20"/>
              </w:rPr>
            </w:pPr>
            <w:r w:rsidRPr="005D3D7B">
              <w:rPr>
                <w:sz w:val="20"/>
                <w:szCs w:val="20"/>
              </w:rPr>
              <w:t>b) ettekirjutus, millega nõutakse, et füüsiline või juriidiline isik lõpetaks õigusrikkumisena käsitatava tegevuse ja hoiduks selle tegevuse kordamisest;</w:t>
            </w:r>
          </w:p>
        </w:tc>
      </w:tr>
      <w:tr w:rsidR="00B55FBD" w:rsidRPr="005D3D7B" w14:paraId="3B9E7FF3" w14:textId="77777777" w:rsidTr="00D80EBF">
        <w:tc>
          <w:tcPr>
            <w:tcW w:w="2265" w:type="dxa"/>
            <w:shd w:val="clear" w:color="auto" w:fill="auto"/>
          </w:tcPr>
          <w:p w14:paraId="3F1DABF9" w14:textId="77777777" w:rsidR="005D3D7B" w:rsidRPr="005D3D7B" w:rsidRDefault="005D3D7B" w:rsidP="00D375E5">
            <w:pPr>
              <w:spacing w:before="0"/>
              <w:rPr>
                <w:sz w:val="20"/>
                <w:szCs w:val="20"/>
                <w:lang w:eastAsia="en-US"/>
              </w:rPr>
            </w:pPr>
            <w:r w:rsidRPr="005D3D7B">
              <w:rPr>
                <w:sz w:val="20"/>
                <w:szCs w:val="20"/>
                <w:lang w:eastAsia="en-US"/>
              </w:rPr>
              <w:t>Artikkel 39 lõige 2 punkt c</w:t>
            </w:r>
          </w:p>
        </w:tc>
        <w:tc>
          <w:tcPr>
            <w:tcW w:w="2265" w:type="dxa"/>
            <w:shd w:val="clear" w:color="auto" w:fill="auto"/>
          </w:tcPr>
          <w:p w14:paraId="705B574E" w14:textId="57A61B83" w:rsidR="005D3D7B" w:rsidRPr="005D3D7B" w:rsidRDefault="00032DDF" w:rsidP="00D375E5">
            <w:pPr>
              <w:spacing w:before="0"/>
              <w:rPr>
                <w:sz w:val="20"/>
                <w:szCs w:val="20"/>
                <w:lang w:eastAsia="en-US"/>
              </w:rPr>
            </w:pPr>
            <w:r>
              <w:rPr>
                <w:sz w:val="20"/>
                <w:szCs w:val="20"/>
                <w:lang w:eastAsia="en-US"/>
              </w:rPr>
              <w:t>jah</w:t>
            </w:r>
          </w:p>
        </w:tc>
        <w:tc>
          <w:tcPr>
            <w:tcW w:w="2265" w:type="dxa"/>
            <w:shd w:val="clear" w:color="auto" w:fill="auto"/>
          </w:tcPr>
          <w:p w14:paraId="7B314218" w14:textId="11091934" w:rsidR="005D3D7B" w:rsidRPr="005D3D7B" w:rsidRDefault="005E50A0" w:rsidP="005E68F3">
            <w:pPr>
              <w:spacing w:before="0"/>
              <w:rPr>
                <w:sz w:val="20"/>
                <w:szCs w:val="20"/>
                <w:lang w:eastAsia="en-US"/>
              </w:rPr>
            </w:pPr>
            <w:r>
              <w:rPr>
                <w:sz w:val="20"/>
                <w:szCs w:val="20"/>
                <w:lang w:eastAsia="en-US"/>
              </w:rPr>
              <w:t xml:space="preserve">eelnõu </w:t>
            </w:r>
            <w:r w:rsidR="00371BC2">
              <w:rPr>
                <w:sz w:val="20"/>
                <w:szCs w:val="20"/>
                <w:lang w:eastAsia="en-US"/>
              </w:rPr>
              <w:t>§ 1</w:t>
            </w:r>
            <w:r w:rsidR="005E68F3">
              <w:rPr>
                <w:sz w:val="20"/>
                <w:szCs w:val="20"/>
                <w:lang w:eastAsia="en-US"/>
              </w:rPr>
              <w:t>8</w:t>
            </w:r>
            <w:r w:rsidR="00371BC2">
              <w:rPr>
                <w:sz w:val="20"/>
                <w:szCs w:val="20"/>
                <w:lang w:eastAsia="en-US"/>
              </w:rPr>
              <w:t>, § 2</w:t>
            </w:r>
            <w:r w:rsidR="005E68F3">
              <w:rPr>
                <w:sz w:val="20"/>
                <w:szCs w:val="20"/>
                <w:lang w:eastAsia="en-US"/>
              </w:rPr>
              <w:t>7</w:t>
            </w:r>
            <w:r w:rsidR="00371BC2">
              <w:rPr>
                <w:sz w:val="20"/>
                <w:szCs w:val="20"/>
                <w:lang w:eastAsia="en-US"/>
              </w:rPr>
              <w:t xml:space="preserve"> lg 1  ja lg 3</w:t>
            </w:r>
            <w:r w:rsidR="00FE221F">
              <w:rPr>
                <w:sz w:val="20"/>
                <w:szCs w:val="20"/>
                <w:lang w:eastAsia="en-US"/>
              </w:rPr>
              <w:t xml:space="preserve"> </w:t>
            </w:r>
            <w:r w:rsidR="005B3DCA">
              <w:rPr>
                <w:sz w:val="20"/>
                <w:szCs w:val="20"/>
                <w:lang w:eastAsia="en-US"/>
              </w:rPr>
              <w:t>ja § 2</w:t>
            </w:r>
            <w:r w:rsidR="005E68F3">
              <w:rPr>
                <w:sz w:val="20"/>
                <w:szCs w:val="20"/>
                <w:lang w:eastAsia="en-US"/>
              </w:rPr>
              <w:t>8</w:t>
            </w:r>
            <w:r w:rsidR="005B3DCA">
              <w:rPr>
                <w:sz w:val="20"/>
                <w:szCs w:val="20"/>
                <w:lang w:eastAsia="en-US"/>
              </w:rPr>
              <w:t xml:space="preserve"> lõiked 5-6 </w:t>
            </w:r>
            <w:r w:rsidR="00337F63">
              <w:rPr>
                <w:sz w:val="20"/>
                <w:szCs w:val="20"/>
                <w:lang w:eastAsia="en-US"/>
              </w:rPr>
              <w:t xml:space="preserve">ning § </w:t>
            </w:r>
            <w:r w:rsidR="005E68F3">
              <w:rPr>
                <w:sz w:val="20"/>
                <w:szCs w:val="20"/>
                <w:lang w:eastAsia="en-US"/>
              </w:rPr>
              <w:t>95</w:t>
            </w:r>
            <w:r w:rsidR="00337F63">
              <w:rPr>
                <w:sz w:val="20"/>
                <w:szCs w:val="20"/>
                <w:lang w:eastAsia="en-US"/>
              </w:rPr>
              <w:t xml:space="preserve"> lg 4 punktid 5 ja 7</w:t>
            </w:r>
          </w:p>
        </w:tc>
        <w:tc>
          <w:tcPr>
            <w:tcW w:w="2266" w:type="dxa"/>
            <w:shd w:val="clear" w:color="auto" w:fill="auto"/>
          </w:tcPr>
          <w:p w14:paraId="2BC18F2D" w14:textId="77777777" w:rsidR="005D3D7B" w:rsidRPr="005D3D7B" w:rsidRDefault="005D3D7B" w:rsidP="00D375E5">
            <w:pPr>
              <w:spacing w:before="0"/>
              <w:rPr>
                <w:sz w:val="20"/>
                <w:szCs w:val="20"/>
              </w:rPr>
            </w:pPr>
            <w:r w:rsidRPr="005D3D7B">
              <w:rPr>
                <w:sz w:val="20"/>
                <w:szCs w:val="20"/>
              </w:rPr>
              <w:t xml:space="preserve">c) keeld õigusrikkumise eest </w:t>
            </w:r>
            <w:r w:rsidRPr="005B3DCA">
              <w:rPr>
                <w:sz w:val="20"/>
                <w:szCs w:val="20"/>
              </w:rPr>
              <w:t>vastutaval juriidilise isiku juhtorgani liikmel või muul õigusrikkumise eest vastutaval füüsilisel isikul ühisrahastusteenuse osutajates juhtimisülesandeid täita;</w:t>
            </w:r>
          </w:p>
        </w:tc>
      </w:tr>
      <w:tr w:rsidR="00B55FBD" w:rsidRPr="005D3D7B" w14:paraId="5C0EDC7A" w14:textId="77777777" w:rsidTr="00D80EBF">
        <w:tc>
          <w:tcPr>
            <w:tcW w:w="2265" w:type="dxa"/>
            <w:shd w:val="clear" w:color="auto" w:fill="auto"/>
          </w:tcPr>
          <w:p w14:paraId="4A9F5582" w14:textId="77777777" w:rsidR="005D3D7B" w:rsidRPr="005D3D7B" w:rsidRDefault="005D3D7B" w:rsidP="00D375E5">
            <w:pPr>
              <w:spacing w:before="0"/>
              <w:rPr>
                <w:sz w:val="20"/>
                <w:szCs w:val="20"/>
                <w:lang w:eastAsia="en-US"/>
              </w:rPr>
            </w:pPr>
            <w:r w:rsidRPr="005D3D7B">
              <w:rPr>
                <w:sz w:val="20"/>
                <w:szCs w:val="20"/>
                <w:lang w:eastAsia="en-US"/>
              </w:rPr>
              <w:t>Artikkel 39 lõige 2 punkt d</w:t>
            </w:r>
          </w:p>
        </w:tc>
        <w:tc>
          <w:tcPr>
            <w:tcW w:w="2265" w:type="dxa"/>
            <w:shd w:val="clear" w:color="auto" w:fill="auto"/>
          </w:tcPr>
          <w:p w14:paraId="5DA039F6" w14:textId="77777777" w:rsidR="005D3D7B" w:rsidRPr="005D3D7B" w:rsidRDefault="005D3D7B" w:rsidP="00D375E5">
            <w:pPr>
              <w:spacing w:before="0"/>
              <w:rPr>
                <w:sz w:val="20"/>
                <w:szCs w:val="20"/>
                <w:lang w:eastAsia="en-US"/>
              </w:rPr>
            </w:pPr>
            <w:r w:rsidRPr="005D3D7B">
              <w:rPr>
                <w:sz w:val="20"/>
                <w:szCs w:val="20"/>
                <w:lang w:eastAsia="en-US"/>
              </w:rPr>
              <w:t>jah</w:t>
            </w:r>
          </w:p>
        </w:tc>
        <w:tc>
          <w:tcPr>
            <w:tcW w:w="2265" w:type="dxa"/>
            <w:shd w:val="clear" w:color="auto" w:fill="auto"/>
          </w:tcPr>
          <w:p w14:paraId="66DC751F" w14:textId="767DF4F1" w:rsidR="005D3D7B" w:rsidRPr="005D3D7B" w:rsidRDefault="005E50A0" w:rsidP="00981355">
            <w:pPr>
              <w:spacing w:before="0"/>
              <w:rPr>
                <w:sz w:val="20"/>
                <w:szCs w:val="20"/>
                <w:lang w:eastAsia="en-US"/>
              </w:rPr>
            </w:pPr>
            <w:r>
              <w:rPr>
                <w:sz w:val="20"/>
                <w:szCs w:val="20"/>
                <w:lang w:eastAsia="en-US"/>
              </w:rPr>
              <w:t xml:space="preserve">eelnõu </w:t>
            </w:r>
            <w:r w:rsidR="005D3D7B" w:rsidRPr="005B3DCA">
              <w:rPr>
                <w:sz w:val="20"/>
                <w:szCs w:val="20"/>
                <w:lang w:eastAsia="en-US"/>
              </w:rPr>
              <w:t>§ 9</w:t>
            </w:r>
            <w:r w:rsidR="00981355">
              <w:rPr>
                <w:sz w:val="20"/>
                <w:szCs w:val="20"/>
                <w:lang w:eastAsia="en-US"/>
              </w:rPr>
              <w:t>8</w:t>
            </w:r>
          </w:p>
        </w:tc>
        <w:tc>
          <w:tcPr>
            <w:tcW w:w="2266" w:type="dxa"/>
            <w:shd w:val="clear" w:color="auto" w:fill="auto"/>
          </w:tcPr>
          <w:p w14:paraId="32860F8A" w14:textId="77777777" w:rsidR="005D3D7B" w:rsidRPr="005D3D7B" w:rsidRDefault="005D3D7B" w:rsidP="00D375E5">
            <w:pPr>
              <w:spacing w:before="0"/>
              <w:rPr>
                <w:sz w:val="20"/>
                <w:szCs w:val="20"/>
              </w:rPr>
            </w:pPr>
            <w:r w:rsidRPr="005D3D7B">
              <w:rPr>
                <w:sz w:val="20"/>
                <w:szCs w:val="20"/>
              </w:rPr>
              <w:t>d) maksimaalne haldustrahv, mis on vähemalt sama suur kui kahekordne kasu, mis saadi õigusrikkumise tulemusel, mille puhul on võimalik kasu kindlaks määrata, isegi kui see ületab punktis e sätestatud maksimumsummasid;</w:t>
            </w:r>
          </w:p>
        </w:tc>
      </w:tr>
      <w:tr w:rsidR="00B55FBD" w:rsidRPr="005D3D7B" w14:paraId="4B35AA79" w14:textId="77777777" w:rsidTr="00D80EBF">
        <w:tc>
          <w:tcPr>
            <w:tcW w:w="2265" w:type="dxa"/>
            <w:shd w:val="clear" w:color="auto" w:fill="auto"/>
          </w:tcPr>
          <w:p w14:paraId="412D08C4" w14:textId="77777777" w:rsidR="005D3D7B" w:rsidRPr="005D3D7B" w:rsidRDefault="005D3D7B" w:rsidP="00D375E5">
            <w:pPr>
              <w:spacing w:before="0"/>
              <w:rPr>
                <w:sz w:val="20"/>
                <w:szCs w:val="20"/>
                <w:lang w:eastAsia="en-US"/>
              </w:rPr>
            </w:pPr>
            <w:r w:rsidRPr="005D3D7B">
              <w:rPr>
                <w:sz w:val="20"/>
                <w:szCs w:val="20"/>
                <w:lang w:eastAsia="en-US"/>
              </w:rPr>
              <w:t>Artikkel 39 lõige 2 punkt e</w:t>
            </w:r>
          </w:p>
        </w:tc>
        <w:tc>
          <w:tcPr>
            <w:tcW w:w="2265" w:type="dxa"/>
            <w:shd w:val="clear" w:color="auto" w:fill="auto"/>
          </w:tcPr>
          <w:p w14:paraId="77B615E0" w14:textId="245F2EAD" w:rsidR="005D3D7B" w:rsidRPr="005D3D7B" w:rsidRDefault="00CF6DF3" w:rsidP="00D375E5">
            <w:pPr>
              <w:spacing w:before="0"/>
              <w:rPr>
                <w:sz w:val="20"/>
                <w:szCs w:val="20"/>
                <w:lang w:eastAsia="en-US"/>
              </w:rPr>
            </w:pPr>
            <w:r>
              <w:rPr>
                <w:sz w:val="20"/>
                <w:szCs w:val="20"/>
                <w:lang w:eastAsia="en-US"/>
              </w:rPr>
              <w:t>jah</w:t>
            </w:r>
          </w:p>
        </w:tc>
        <w:tc>
          <w:tcPr>
            <w:tcW w:w="2265" w:type="dxa"/>
            <w:shd w:val="clear" w:color="auto" w:fill="auto"/>
          </w:tcPr>
          <w:p w14:paraId="1F7227F1" w14:textId="3B1EA30F" w:rsidR="005D3D7B" w:rsidRPr="005D3D7B" w:rsidRDefault="005E50A0" w:rsidP="00981355">
            <w:pPr>
              <w:spacing w:before="0"/>
              <w:rPr>
                <w:sz w:val="20"/>
                <w:szCs w:val="20"/>
                <w:lang w:eastAsia="en-US"/>
              </w:rPr>
            </w:pPr>
            <w:r>
              <w:rPr>
                <w:sz w:val="20"/>
                <w:szCs w:val="20"/>
                <w:lang w:eastAsia="en-US"/>
              </w:rPr>
              <w:t>eelnõu</w:t>
            </w:r>
            <w:r w:rsidRPr="005B3DCA">
              <w:rPr>
                <w:sz w:val="20"/>
                <w:szCs w:val="20"/>
                <w:lang w:eastAsia="en-US"/>
              </w:rPr>
              <w:t xml:space="preserve"> </w:t>
            </w:r>
            <w:r w:rsidR="005D3D7B" w:rsidRPr="005B3DCA">
              <w:rPr>
                <w:sz w:val="20"/>
                <w:szCs w:val="20"/>
                <w:lang w:eastAsia="en-US"/>
              </w:rPr>
              <w:t>§ 9</w:t>
            </w:r>
            <w:r w:rsidR="00981355">
              <w:rPr>
                <w:sz w:val="20"/>
                <w:szCs w:val="20"/>
                <w:lang w:eastAsia="en-US"/>
              </w:rPr>
              <w:t>8</w:t>
            </w:r>
          </w:p>
        </w:tc>
        <w:tc>
          <w:tcPr>
            <w:tcW w:w="2266" w:type="dxa"/>
            <w:shd w:val="clear" w:color="auto" w:fill="auto"/>
          </w:tcPr>
          <w:p w14:paraId="7972FBE0" w14:textId="77777777" w:rsidR="005D3D7B" w:rsidRPr="005D3D7B" w:rsidRDefault="005D3D7B" w:rsidP="00D375E5">
            <w:pPr>
              <w:spacing w:before="0"/>
              <w:rPr>
                <w:sz w:val="20"/>
                <w:szCs w:val="20"/>
              </w:rPr>
            </w:pPr>
            <w:r w:rsidRPr="005D3D7B">
              <w:rPr>
                <w:sz w:val="20"/>
                <w:szCs w:val="20"/>
              </w:rPr>
              <w:t xml:space="preserve">e) juriidilise isiku puhul maksimaalne haldustrahv vähemalt 500 000 eurot või liikmesriigis, mille rahaühik ei ole euro, vastav summa omavääringus 9. novembri 2020. aasta seisuga või kuni 5 % selle juriidilise isiku aastasest kogukäibest vastavalt kõige värskemale finantsaruandele, mille juhtorgan on kinnitanud. Kui </w:t>
            </w:r>
            <w:r w:rsidRPr="005D3D7B">
              <w:rPr>
                <w:sz w:val="20"/>
                <w:szCs w:val="20"/>
              </w:rPr>
              <w:lastRenderedPageBreak/>
              <w:t>juriidiline isik on emaettevõtja või selle emaettevõtja tütarettevõtja, kes peab koostama konsolideeritud finantsaruandeid vastavalt Euroopa Parlamendi ja nõukogu direktiivile 2013/34/EL, (23) siis on asjakohane aastane kogukäive vastavalt liidu asjakohastele raamatupidamisalastele õigusaktidele aastane kogukäive või vastav tululiik viimase kättesaadava konsolideeritud finantsaruande järgi, mille on kinnitanud kõrgeima tasandi emaettevõtja juhtorgan;</w:t>
            </w:r>
          </w:p>
        </w:tc>
      </w:tr>
      <w:tr w:rsidR="00B55FBD" w:rsidRPr="005D3D7B" w14:paraId="024CD4A0" w14:textId="77777777" w:rsidTr="00D80EBF">
        <w:tc>
          <w:tcPr>
            <w:tcW w:w="2265" w:type="dxa"/>
            <w:shd w:val="clear" w:color="auto" w:fill="auto"/>
          </w:tcPr>
          <w:p w14:paraId="64D9C596" w14:textId="77777777" w:rsidR="005D3D7B" w:rsidRPr="005D3D7B" w:rsidRDefault="005D3D7B" w:rsidP="00D375E5">
            <w:pPr>
              <w:spacing w:before="0"/>
              <w:rPr>
                <w:sz w:val="20"/>
                <w:szCs w:val="20"/>
                <w:lang w:eastAsia="en-US"/>
              </w:rPr>
            </w:pPr>
            <w:r w:rsidRPr="005D3D7B">
              <w:rPr>
                <w:sz w:val="20"/>
                <w:szCs w:val="20"/>
                <w:lang w:eastAsia="en-US"/>
              </w:rPr>
              <w:lastRenderedPageBreak/>
              <w:t>Artikkel 39 lõige 2 punkt f</w:t>
            </w:r>
          </w:p>
        </w:tc>
        <w:tc>
          <w:tcPr>
            <w:tcW w:w="2265" w:type="dxa"/>
            <w:shd w:val="clear" w:color="auto" w:fill="auto"/>
          </w:tcPr>
          <w:p w14:paraId="117DFF56" w14:textId="78D22227" w:rsidR="005D3D7B" w:rsidRPr="005D3D7B" w:rsidRDefault="00CF6DF3" w:rsidP="00D375E5">
            <w:pPr>
              <w:spacing w:before="0"/>
              <w:rPr>
                <w:sz w:val="20"/>
                <w:szCs w:val="20"/>
                <w:lang w:eastAsia="en-US"/>
              </w:rPr>
            </w:pPr>
            <w:r>
              <w:rPr>
                <w:sz w:val="20"/>
                <w:szCs w:val="20"/>
                <w:lang w:eastAsia="en-US"/>
              </w:rPr>
              <w:t>jah</w:t>
            </w:r>
          </w:p>
        </w:tc>
        <w:tc>
          <w:tcPr>
            <w:tcW w:w="2265" w:type="dxa"/>
            <w:shd w:val="clear" w:color="auto" w:fill="auto"/>
          </w:tcPr>
          <w:p w14:paraId="29B932AD" w14:textId="364EA0A5" w:rsidR="005D3D7B" w:rsidRPr="005B3DCA" w:rsidRDefault="005E50A0" w:rsidP="00981355">
            <w:pPr>
              <w:spacing w:before="0"/>
              <w:rPr>
                <w:sz w:val="20"/>
                <w:szCs w:val="20"/>
                <w:lang w:eastAsia="en-US"/>
              </w:rPr>
            </w:pPr>
            <w:r>
              <w:rPr>
                <w:sz w:val="20"/>
                <w:szCs w:val="20"/>
                <w:lang w:eastAsia="en-US"/>
              </w:rPr>
              <w:t>eelnõu</w:t>
            </w:r>
            <w:r w:rsidRPr="005B3DCA">
              <w:rPr>
                <w:sz w:val="20"/>
                <w:szCs w:val="20"/>
                <w:lang w:eastAsia="en-US"/>
              </w:rPr>
              <w:t xml:space="preserve"> </w:t>
            </w:r>
            <w:r w:rsidR="005D3D7B" w:rsidRPr="005B3DCA">
              <w:rPr>
                <w:sz w:val="20"/>
                <w:szCs w:val="20"/>
                <w:lang w:eastAsia="en-US"/>
              </w:rPr>
              <w:t>§ 9</w:t>
            </w:r>
            <w:r w:rsidR="00981355">
              <w:rPr>
                <w:sz w:val="20"/>
                <w:szCs w:val="20"/>
                <w:lang w:eastAsia="en-US"/>
              </w:rPr>
              <w:t>8</w:t>
            </w:r>
          </w:p>
        </w:tc>
        <w:tc>
          <w:tcPr>
            <w:tcW w:w="2266" w:type="dxa"/>
            <w:shd w:val="clear" w:color="auto" w:fill="auto"/>
          </w:tcPr>
          <w:p w14:paraId="40D9E5AC" w14:textId="77777777" w:rsidR="005D3D7B" w:rsidRPr="005B3DCA" w:rsidRDefault="005D3D7B" w:rsidP="00D375E5">
            <w:pPr>
              <w:spacing w:before="0"/>
              <w:rPr>
                <w:sz w:val="20"/>
                <w:szCs w:val="20"/>
              </w:rPr>
            </w:pPr>
            <w:r w:rsidRPr="005B3DCA">
              <w:rPr>
                <w:sz w:val="20"/>
                <w:szCs w:val="20"/>
              </w:rPr>
              <w:t>füüsilise isiku puhul maksimaalne haldustrahv vähemalt 500 000 eurot või liikmesriigis, mille rahaühik ei ole euro, vastav summa omavääringus 9. novembri 2020. aasta seisuga.</w:t>
            </w:r>
          </w:p>
        </w:tc>
      </w:tr>
      <w:tr w:rsidR="00B55FBD" w:rsidRPr="005D3D7B" w14:paraId="71A12F29" w14:textId="77777777" w:rsidTr="00D80EBF">
        <w:tc>
          <w:tcPr>
            <w:tcW w:w="2265" w:type="dxa"/>
          </w:tcPr>
          <w:p w14:paraId="5885A922" w14:textId="178D7D22" w:rsidR="005D3D7B" w:rsidRPr="005D3D7B" w:rsidRDefault="00371BC2" w:rsidP="00D375E5">
            <w:pPr>
              <w:spacing w:before="0"/>
              <w:rPr>
                <w:sz w:val="20"/>
                <w:szCs w:val="20"/>
                <w:lang w:eastAsia="en-US"/>
              </w:rPr>
            </w:pPr>
            <w:r>
              <w:rPr>
                <w:sz w:val="20"/>
                <w:szCs w:val="20"/>
                <w:lang w:eastAsia="en-US"/>
              </w:rPr>
              <w:t>Artikkel 39 lõige 3</w:t>
            </w:r>
          </w:p>
        </w:tc>
        <w:tc>
          <w:tcPr>
            <w:tcW w:w="2265" w:type="dxa"/>
          </w:tcPr>
          <w:p w14:paraId="1AB6613C" w14:textId="5FECCD3E" w:rsidR="005D3D7B" w:rsidRPr="005D3D7B" w:rsidRDefault="009D7F85" w:rsidP="00D375E5">
            <w:pPr>
              <w:spacing w:before="0"/>
              <w:rPr>
                <w:sz w:val="20"/>
                <w:szCs w:val="20"/>
                <w:lang w:eastAsia="en-US"/>
              </w:rPr>
            </w:pPr>
            <w:r>
              <w:rPr>
                <w:sz w:val="20"/>
                <w:szCs w:val="20"/>
                <w:lang w:eastAsia="en-US"/>
              </w:rPr>
              <w:t>ei</w:t>
            </w:r>
          </w:p>
        </w:tc>
        <w:tc>
          <w:tcPr>
            <w:tcW w:w="2265" w:type="dxa"/>
          </w:tcPr>
          <w:p w14:paraId="61BD0A25" w14:textId="06B24855" w:rsidR="005D3D7B" w:rsidRPr="005D3D7B" w:rsidRDefault="005E50A0" w:rsidP="00D375E5">
            <w:pPr>
              <w:spacing w:before="0"/>
              <w:rPr>
                <w:sz w:val="20"/>
                <w:szCs w:val="20"/>
                <w:lang w:eastAsia="en-US"/>
              </w:rPr>
            </w:pPr>
            <w:r>
              <w:rPr>
                <w:sz w:val="20"/>
                <w:szCs w:val="20"/>
                <w:lang w:eastAsia="en-US"/>
              </w:rPr>
              <w:t xml:space="preserve">eelnõu </w:t>
            </w:r>
            <w:r w:rsidR="009D7F85">
              <w:rPr>
                <w:sz w:val="20"/>
                <w:szCs w:val="20"/>
                <w:lang w:eastAsia="en-US"/>
              </w:rPr>
              <w:t>12. peatükk</w:t>
            </w:r>
          </w:p>
        </w:tc>
        <w:tc>
          <w:tcPr>
            <w:tcW w:w="2266" w:type="dxa"/>
          </w:tcPr>
          <w:p w14:paraId="2C3B14FE" w14:textId="77777777" w:rsidR="005D3D7B" w:rsidRPr="005D3D7B" w:rsidRDefault="005D3D7B" w:rsidP="00D375E5">
            <w:pPr>
              <w:spacing w:before="0"/>
              <w:rPr>
                <w:color w:val="000000"/>
                <w:sz w:val="20"/>
                <w:szCs w:val="20"/>
                <w:shd w:val="clear" w:color="auto" w:fill="FFFFFF"/>
              </w:rPr>
            </w:pPr>
            <w:r w:rsidRPr="005D3D7B">
              <w:rPr>
                <w:color w:val="000000"/>
                <w:sz w:val="20"/>
                <w:szCs w:val="20"/>
                <w:shd w:val="clear" w:color="auto" w:fill="FFFFFF"/>
              </w:rPr>
              <w:t>Liikmesriigid võivad õigusrikkumise eest vastutavate füüsiliste ja juriidiliste isikute suhtes ette näha täiendavaid karistusi või meetmeid ning suuremaid haldustrahve, kui on sätestatud käesolevas määruses.</w:t>
            </w:r>
          </w:p>
        </w:tc>
      </w:tr>
      <w:tr w:rsidR="00B55FBD" w:rsidRPr="005D3D7B" w14:paraId="17BE9A8C" w14:textId="77777777" w:rsidTr="00D80EBF">
        <w:tc>
          <w:tcPr>
            <w:tcW w:w="2265" w:type="dxa"/>
          </w:tcPr>
          <w:p w14:paraId="4F9B1E65" w14:textId="77777777" w:rsidR="005D3D7B" w:rsidRPr="005D3D7B" w:rsidRDefault="005D3D7B" w:rsidP="00D375E5">
            <w:pPr>
              <w:spacing w:before="0"/>
              <w:rPr>
                <w:sz w:val="20"/>
                <w:szCs w:val="20"/>
                <w:lang w:eastAsia="en-US"/>
              </w:rPr>
            </w:pPr>
            <w:r w:rsidRPr="005D3D7B">
              <w:rPr>
                <w:sz w:val="20"/>
                <w:szCs w:val="20"/>
                <w:lang w:eastAsia="en-US"/>
              </w:rPr>
              <w:t>Artikkel 41</w:t>
            </w:r>
          </w:p>
        </w:tc>
        <w:tc>
          <w:tcPr>
            <w:tcW w:w="2265" w:type="dxa"/>
          </w:tcPr>
          <w:p w14:paraId="0CE9F51E" w14:textId="3FA5C225" w:rsidR="005D3D7B" w:rsidRPr="005D3D7B" w:rsidRDefault="00CF6DF3" w:rsidP="00D375E5">
            <w:pPr>
              <w:spacing w:before="0"/>
              <w:rPr>
                <w:sz w:val="20"/>
                <w:szCs w:val="20"/>
                <w:lang w:eastAsia="en-US"/>
              </w:rPr>
            </w:pPr>
            <w:r>
              <w:rPr>
                <w:sz w:val="20"/>
                <w:szCs w:val="20"/>
                <w:lang w:eastAsia="en-US"/>
              </w:rPr>
              <w:t>jah</w:t>
            </w:r>
          </w:p>
        </w:tc>
        <w:tc>
          <w:tcPr>
            <w:tcW w:w="2265" w:type="dxa"/>
          </w:tcPr>
          <w:p w14:paraId="066D2D02" w14:textId="39927F84" w:rsidR="005D3D7B" w:rsidRPr="005D3D7B" w:rsidRDefault="00CF6DF3" w:rsidP="00D375E5">
            <w:pPr>
              <w:spacing w:before="0"/>
              <w:rPr>
                <w:sz w:val="20"/>
                <w:szCs w:val="20"/>
                <w:lang w:eastAsia="en-US"/>
              </w:rPr>
            </w:pPr>
            <w:r>
              <w:rPr>
                <w:sz w:val="20"/>
                <w:szCs w:val="20"/>
                <w:lang w:eastAsia="en-US"/>
              </w:rPr>
              <w:t>HMS nõuded</w:t>
            </w:r>
          </w:p>
        </w:tc>
        <w:tc>
          <w:tcPr>
            <w:tcW w:w="2266" w:type="dxa"/>
          </w:tcPr>
          <w:p w14:paraId="2564668B" w14:textId="77777777" w:rsidR="005D3D7B" w:rsidRPr="005D3D7B" w:rsidRDefault="005D3D7B" w:rsidP="00D375E5">
            <w:pPr>
              <w:spacing w:before="0"/>
              <w:rPr>
                <w:color w:val="000000"/>
                <w:sz w:val="20"/>
                <w:szCs w:val="20"/>
                <w:shd w:val="clear" w:color="auto" w:fill="FFFFFF"/>
              </w:rPr>
            </w:pPr>
            <w:r w:rsidRPr="005D3D7B">
              <w:rPr>
                <w:color w:val="000000"/>
                <w:sz w:val="20"/>
                <w:szCs w:val="20"/>
                <w:shd w:val="clear" w:color="auto" w:fill="FFFFFF"/>
              </w:rPr>
              <w:t>Liikmesriigid tagavad, et käesoleva määruse alusel vastu võetud otsused on asjakohaselt põhjendatud ja nende peale võib esitada kaebuse kohtule. Samuti kehtib kohtule kaebuse esitamise õigus, kui otsust ei tehta kuue kuu jooksul alates kõiki nõutud andmeid sisaldava tegevusloa taotluse esitamist.</w:t>
            </w:r>
          </w:p>
        </w:tc>
      </w:tr>
      <w:tr w:rsidR="00B55FBD" w:rsidRPr="005D3D7B" w14:paraId="65F62A8D" w14:textId="77777777" w:rsidTr="00D80EBF">
        <w:tc>
          <w:tcPr>
            <w:tcW w:w="2265" w:type="dxa"/>
          </w:tcPr>
          <w:p w14:paraId="063B9B3E" w14:textId="77777777" w:rsidR="005D3D7B" w:rsidRPr="005D3D7B" w:rsidRDefault="005D3D7B" w:rsidP="00D375E5">
            <w:pPr>
              <w:spacing w:before="0"/>
              <w:rPr>
                <w:sz w:val="20"/>
                <w:szCs w:val="20"/>
                <w:lang w:eastAsia="en-US"/>
              </w:rPr>
            </w:pPr>
            <w:r w:rsidRPr="005D3D7B">
              <w:rPr>
                <w:sz w:val="20"/>
                <w:szCs w:val="20"/>
                <w:lang w:eastAsia="en-US"/>
              </w:rPr>
              <w:t>Artikkel 48</w:t>
            </w:r>
          </w:p>
        </w:tc>
        <w:tc>
          <w:tcPr>
            <w:tcW w:w="2265" w:type="dxa"/>
          </w:tcPr>
          <w:p w14:paraId="37BF5DB6" w14:textId="4A4D5513" w:rsidR="005D3D7B" w:rsidRPr="005D3D7B" w:rsidRDefault="00CF6DF3" w:rsidP="00D375E5">
            <w:pPr>
              <w:spacing w:before="0"/>
              <w:rPr>
                <w:sz w:val="20"/>
                <w:szCs w:val="20"/>
                <w:lang w:eastAsia="en-US"/>
              </w:rPr>
            </w:pPr>
            <w:r>
              <w:rPr>
                <w:sz w:val="20"/>
                <w:szCs w:val="20"/>
                <w:lang w:eastAsia="en-US"/>
              </w:rPr>
              <w:t>ei</w:t>
            </w:r>
          </w:p>
        </w:tc>
        <w:tc>
          <w:tcPr>
            <w:tcW w:w="2265" w:type="dxa"/>
          </w:tcPr>
          <w:p w14:paraId="437ACDD5" w14:textId="0349D190" w:rsidR="005D3D7B" w:rsidRPr="005D3D7B" w:rsidRDefault="008876BD" w:rsidP="00D375E5">
            <w:pPr>
              <w:spacing w:before="0"/>
              <w:rPr>
                <w:sz w:val="20"/>
                <w:szCs w:val="20"/>
                <w:lang w:eastAsia="en-US"/>
              </w:rPr>
            </w:pPr>
            <w:r>
              <w:rPr>
                <w:sz w:val="20"/>
                <w:szCs w:val="20"/>
                <w:lang w:eastAsia="en-US"/>
              </w:rPr>
              <w:t>eelnõu rakendussätted</w:t>
            </w:r>
          </w:p>
        </w:tc>
        <w:tc>
          <w:tcPr>
            <w:tcW w:w="2266" w:type="dxa"/>
          </w:tcPr>
          <w:p w14:paraId="59373F7E" w14:textId="77777777" w:rsidR="005D3D7B" w:rsidRPr="005D3D7B" w:rsidRDefault="005D3D7B" w:rsidP="00D375E5">
            <w:pPr>
              <w:pStyle w:val="oj-ti-art"/>
              <w:shd w:val="clear" w:color="auto" w:fill="FFFFFF"/>
              <w:spacing w:before="0" w:beforeAutospacing="0" w:after="0" w:afterAutospacing="0"/>
              <w:jc w:val="center"/>
              <w:rPr>
                <w:i/>
                <w:iCs/>
                <w:color w:val="000000"/>
                <w:sz w:val="20"/>
                <w:szCs w:val="20"/>
              </w:rPr>
            </w:pPr>
            <w:r w:rsidRPr="005D3D7B">
              <w:rPr>
                <w:i/>
                <w:iCs/>
                <w:color w:val="000000"/>
                <w:sz w:val="20"/>
                <w:szCs w:val="20"/>
              </w:rPr>
              <w:t>Artikkel 48</w:t>
            </w:r>
          </w:p>
          <w:p w14:paraId="378B99D1" w14:textId="77777777" w:rsidR="005D3D7B" w:rsidRPr="005D3D7B" w:rsidRDefault="005D3D7B" w:rsidP="00D375E5">
            <w:pPr>
              <w:pStyle w:val="oj-sti-art"/>
              <w:shd w:val="clear" w:color="auto" w:fill="FFFFFF"/>
              <w:spacing w:before="0" w:beforeAutospacing="0" w:after="0" w:afterAutospacing="0"/>
              <w:jc w:val="center"/>
              <w:rPr>
                <w:b/>
                <w:bCs/>
                <w:color w:val="000000"/>
                <w:sz w:val="20"/>
                <w:szCs w:val="20"/>
              </w:rPr>
            </w:pPr>
            <w:r w:rsidRPr="005D3D7B">
              <w:rPr>
                <w:b/>
                <w:bCs/>
                <w:color w:val="000000"/>
                <w:sz w:val="20"/>
                <w:szCs w:val="20"/>
              </w:rPr>
              <w:t>Üleminekuperiood ühisrahastusteenuste osutamiseks kooskõlas riigisisese õigusega</w:t>
            </w:r>
          </w:p>
          <w:p w14:paraId="0198C6FD" w14:textId="162EDA21" w:rsidR="005D3D7B" w:rsidRPr="005D3D7B" w:rsidRDefault="005D3D7B" w:rsidP="00D375E5">
            <w:pPr>
              <w:pStyle w:val="oj-normal"/>
              <w:shd w:val="clear" w:color="auto" w:fill="FFFFFF"/>
              <w:spacing w:before="0" w:beforeAutospacing="0" w:after="0" w:afterAutospacing="0"/>
              <w:jc w:val="both"/>
              <w:rPr>
                <w:rFonts w:ascii="inherit" w:hAnsi="inherit"/>
                <w:color w:val="000000"/>
                <w:sz w:val="20"/>
                <w:szCs w:val="20"/>
                <w:lang w:val="et-EE"/>
              </w:rPr>
            </w:pPr>
            <w:r w:rsidRPr="005D3D7B">
              <w:rPr>
                <w:rFonts w:ascii="inherit" w:hAnsi="inherit"/>
                <w:color w:val="000000"/>
                <w:sz w:val="20"/>
                <w:szCs w:val="20"/>
                <w:lang w:val="et-EE"/>
              </w:rPr>
              <w:t>1.</w:t>
            </w:r>
            <w:r w:rsidR="00527EFB">
              <w:rPr>
                <w:rFonts w:ascii="inherit" w:hAnsi="inherit"/>
                <w:color w:val="000000"/>
                <w:sz w:val="20"/>
                <w:szCs w:val="20"/>
                <w:lang w:val="et-EE"/>
              </w:rPr>
              <w:t xml:space="preserve"> </w:t>
            </w:r>
            <w:r w:rsidRPr="005D3D7B">
              <w:rPr>
                <w:rFonts w:ascii="inherit" w:hAnsi="inherit"/>
                <w:color w:val="000000"/>
                <w:sz w:val="20"/>
                <w:szCs w:val="20"/>
                <w:lang w:val="et-EE"/>
              </w:rPr>
              <w:t xml:space="preserve"> Ühisrahastusteenuse osutaja võib kooskõlas kohaldatava riigisisese õigusega jätkata käesoleva määruse kohaldamisalasse kuuluvate ühisrahastusteenuste osutamist kuni </w:t>
            </w:r>
            <w:r w:rsidRPr="005D3D7B">
              <w:rPr>
                <w:rFonts w:ascii="inherit" w:hAnsi="inherit"/>
                <w:color w:val="000000"/>
                <w:sz w:val="20"/>
                <w:szCs w:val="20"/>
                <w:lang w:val="et-EE"/>
              </w:rPr>
              <w:lastRenderedPageBreak/>
              <w:t>10. novembrini 2022 või kuni neile antakse artiklis 12 osutatud tegevusluba, olenevalt sellest, kumb kuupäev on varasem.</w:t>
            </w:r>
          </w:p>
          <w:p w14:paraId="5D168624" w14:textId="3944A4EF" w:rsidR="005D3D7B" w:rsidRPr="003F6EC0" w:rsidRDefault="005D3D7B" w:rsidP="00D375E5">
            <w:pPr>
              <w:pStyle w:val="oj-normal"/>
              <w:shd w:val="clear" w:color="auto" w:fill="FFFFFF"/>
              <w:spacing w:before="0" w:beforeAutospacing="0" w:after="0" w:afterAutospacing="0"/>
              <w:jc w:val="both"/>
              <w:rPr>
                <w:rFonts w:ascii="inherit" w:hAnsi="inherit"/>
                <w:color w:val="000000"/>
                <w:sz w:val="20"/>
                <w:szCs w:val="20"/>
                <w:lang w:val="et-EE"/>
              </w:rPr>
            </w:pPr>
            <w:r w:rsidRPr="005D3D7B">
              <w:rPr>
                <w:rFonts w:ascii="inherit" w:hAnsi="inherit"/>
                <w:color w:val="000000"/>
                <w:sz w:val="20"/>
                <w:szCs w:val="20"/>
                <w:lang w:val="et-EE"/>
              </w:rPr>
              <w:t>2.</w:t>
            </w:r>
            <w:r w:rsidR="00527EFB">
              <w:rPr>
                <w:rFonts w:ascii="inherit" w:hAnsi="inherit"/>
                <w:color w:val="000000"/>
                <w:sz w:val="20"/>
                <w:szCs w:val="20"/>
                <w:lang w:val="et-EE"/>
              </w:rPr>
              <w:t xml:space="preserve"> </w:t>
            </w:r>
            <w:r w:rsidRPr="005D3D7B">
              <w:rPr>
                <w:rFonts w:ascii="inherit" w:hAnsi="inherit"/>
                <w:color w:val="000000"/>
                <w:sz w:val="20"/>
                <w:szCs w:val="20"/>
                <w:lang w:val="et-EE"/>
              </w:rPr>
              <w:t xml:space="preserve"> Käesoleva </w:t>
            </w:r>
            <w:r w:rsidRPr="00215492">
              <w:rPr>
                <w:rFonts w:ascii="inherit" w:hAnsi="inherit"/>
                <w:color w:val="000000"/>
                <w:sz w:val="20"/>
                <w:szCs w:val="20"/>
                <w:lang w:val="et-EE"/>
              </w:rPr>
              <w:t>artikli lõikes 1 osutatud üleminekuperioodi jooksul v</w:t>
            </w:r>
            <w:r w:rsidRPr="00215492">
              <w:rPr>
                <w:rFonts w:ascii="inherit" w:hAnsi="inherit" w:hint="eastAsia"/>
                <w:color w:val="000000"/>
                <w:sz w:val="20"/>
                <w:szCs w:val="20"/>
                <w:lang w:val="et-EE"/>
              </w:rPr>
              <w:t>õ</w:t>
            </w:r>
            <w:r w:rsidRPr="00215492">
              <w:rPr>
                <w:rFonts w:ascii="inherit" w:hAnsi="inherit"/>
                <w:color w:val="000000"/>
                <w:sz w:val="20"/>
                <w:szCs w:val="20"/>
                <w:lang w:val="et-EE"/>
              </w:rPr>
              <w:t xml:space="preserve">ivad liikmesriigid kehtestada lihtsustatud tegevusloa andmise korra </w:t>
            </w:r>
            <w:r w:rsidRPr="00215492">
              <w:rPr>
                <w:rFonts w:ascii="inherit" w:hAnsi="inherit" w:hint="eastAsia"/>
                <w:color w:val="000000"/>
                <w:sz w:val="20"/>
                <w:szCs w:val="20"/>
                <w:lang w:val="et-EE"/>
              </w:rPr>
              <w:t>ü</w:t>
            </w:r>
            <w:r w:rsidRPr="00215492">
              <w:rPr>
                <w:rFonts w:ascii="inherit" w:hAnsi="inherit"/>
                <w:color w:val="000000"/>
                <w:sz w:val="20"/>
                <w:szCs w:val="20"/>
                <w:lang w:val="et-EE"/>
              </w:rPr>
              <w:t>ksustele, kellel on k</w:t>
            </w:r>
            <w:r w:rsidRPr="00215492">
              <w:rPr>
                <w:rFonts w:ascii="inherit" w:hAnsi="inherit" w:hint="eastAsia"/>
                <w:color w:val="000000"/>
                <w:sz w:val="20"/>
                <w:szCs w:val="20"/>
                <w:lang w:val="et-EE"/>
              </w:rPr>
              <w:t>ä</w:t>
            </w:r>
            <w:r w:rsidRPr="00215492">
              <w:rPr>
                <w:rFonts w:ascii="inherit" w:hAnsi="inherit"/>
                <w:color w:val="000000"/>
                <w:sz w:val="20"/>
                <w:szCs w:val="20"/>
                <w:lang w:val="et-EE"/>
              </w:rPr>
              <w:t>esoleva m</w:t>
            </w:r>
            <w:r w:rsidRPr="00215492">
              <w:rPr>
                <w:rFonts w:ascii="inherit" w:hAnsi="inherit" w:hint="eastAsia"/>
                <w:color w:val="000000"/>
                <w:sz w:val="20"/>
                <w:szCs w:val="20"/>
                <w:lang w:val="et-EE"/>
              </w:rPr>
              <w:t>ää</w:t>
            </w:r>
            <w:r w:rsidRPr="00215492">
              <w:rPr>
                <w:rFonts w:ascii="inherit" w:hAnsi="inherit"/>
                <w:color w:val="000000"/>
                <w:sz w:val="20"/>
                <w:szCs w:val="20"/>
                <w:lang w:val="et-EE"/>
              </w:rPr>
              <w:t>ruse j</w:t>
            </w:r>
            <w:r w:rsidRPr="00215492">
              <w:rPr>
                <w:rFonts w:ascii="inherit" w:hAnsi="inherit" w:hint="eastAsia"/>
                <w:color w:val="000000"/>
                <w:sz w:val="20"/>
                <w:szCs w:val="20"/>
                <w:lang w:val="et-EE"/>
              </w:rPr>
              <w:t>õ</w:t>
            </w:r>
            <w:r w:rsidRPr="00215492">
              <w:rPr>
                <w:rFonts w:ascii="inherit" w:hAnsi="inherit"/>
                <w:color w:val="000000"/>
                <w:sz w:val="20"/>
                <w:szCs w:val="20"/>
                <w:lang w:val="et-EE"/>
              </w:rPr>
              <w:t xml:space="preserve">ustumise ajal riigisisese </w:t>
            </w:r>
            <w:r w:rsidRPr="00215492">
              <w:rPr>
                <w:rFonts w:ascii="inherit" w:hAnsi="inherit" w:hint="eastAsia"/>
                <w:color w:val="000000"/>
                <w:sz w:val="20"/>
                <w:szCs w:val="20"/>
                <w:lang w:val="et-EE"/>
              </w:rPr>
              <w:t>õ</w:t>
            </w:r>
            <w:r w:rsidRPr="00215492">
              <w:rPr>
                <w:rFonts w:ascii="inherit" w:hAnsi="inherit"/>
                <w:color w:val="000000"/>
                <w:sz w:val="20"/>
                <w:szCs w:val="20"/>
                <w:lang w:val="et-EE"/>
              </w:rPr>
              <w:t xml:space="preserve">iguse kohane luba osutada </w:t>
            </w:r>
            <w:r w:rsidRPr="00215492">
              <w:rPr>
                <w:rFonts w:ascii="inherit" w:hAnsi="inherit" w:hint="eastAsia"/>
                <w:color w:val="000000"/>
                <w:sz w:val="20"/>
                <w:szCs w:val="20"/>
                <w:lang w:val="et-EE"/>
              </w:rPr>
              <w:t>ü</w:t>
            </w:r>
            <w:r w:rsidRPr="00215492">
              <w:rPr>
                <w:rFonts w:ascii="inherit" w:hAnsi="inherit"/>
                <w:color w:val="000000"/>
                <w:sz w:val="20"/>
                <w:szCs w:val="20"/>
                <w:lang w:val="et-EE"/>
              </w:rPr>
              <w:t xml:space="preserve">hisrahastusteenuseid. </w:t>
            </w:r>
            <w:r w:rsidRPr="003F6EC0">
              <w:rPr>
                <w:rFonts w:ascii="inherit" w:hAnsi="inherit"/>
                <w:color w:val="000000"/>
                <w:sz w:val="20"/>
                <w:szCs w:val="20"/>
                <w:lang w:val="et-EE"/>
              </w:rPr>
              <w:t>P</w:t>
            </w:r>
            <w:r w:rsidRPr="003F6EC0">
              <w:rPr>
                <w:rFonts w:ascii="inherit" w:hAnsi="inherit" w:hint="eastAsia"/>
                <w:color w:val="000000"/>
                <w:sz w:val="20"/>
                <w:szCs w:val="20"/>
                <w:lang w:val="et-EE"/>
              </w:rPr>
              <w:t>ä</w:t>
            </w:r>
            <w:r w:rsidRPr="003F6EC0">
              <w:rPr>
                <w:rFonts w:ascii="inherit" w:hAnsi="inherit"/>
                <w:color w:val="000000"/>
                <w:sz w:val="20"/>
                <w:szCs w:val="20"/>
                <w:lang w:val="et-EE"/>
              </w:rPr>
              <w:t>devad asutused tagavad, et artiklis 12 s</w:t>
            </w:r>
            <w:r w:rsidRPr="003F6EC0">
              <w:rPr>
                <w:rFonts w:ascii="inherit" w:hAnsi="inherit" w:hint="eastAsia"/>
                <w:color w:val="000000"/>
                <w:sz w:val="20"/>
                <w:szCs w:val="20"/>
                <w:lang w:val="et-EE"/>
              </w:rPr>
              <w:t>ä</w:t>
            </w:r>
            <w:r w:rsidRPr="003F6EC0">
              <w:rPr>
                <w:rFonts w:ascii="inherit" w:hAnsi="inherit"/>
                <w:color w:val="000000"/>
                <w:sz w:val="20"/>
                <w:szCs w:val="20"/>
                <w:lang w:val="et-EE"/>
              </w:rPr>
              <w:t>testatud n</w:t>
            </w:r>
            <w:r w:rsidRPr="003F6EC0">
              <w:rPr>
                <w:rFonts w:ascii="inherit" w:hAnsi="inherit" w:hint="eastAsia"/>
                <w:color w:val="000000"/>
                <w:sz w:val="20"/>
                <w:szCs w:val="20"/>
                <w:lang w:val="et-EE"/>
              </w:rPr>
              <w:t>õ</w:t>
            </w:r>
            <w:r w:rsidRPr="003F6EC0">
              <w:rPr>
                <w:rFonts w:ascii="inherit" w:hAnsi="inherit"/>
                <w:color w:val="000000"/>
                <w:sz w:val="20"/>
                <w:szCs w:val="20"/>
                <w:lang w:val="et-EE"/>
              </w:rPr>
              <w:t>uded on t</w:t>
            </w:r>
            <w:r w:rsidRPr="003F6EC0">
              <w:rPr>
                <w:rFonts w:ascii="inherit" w:hAnsi="inherit" w:hint="eastAsia"/>
                <w:color w:val="000000"/>
                <w:sz w:val="20"/>
                <w:szCs w:val="20"/>
                <w:lang w:val="et-EE"/>
              </w:rPr>
              <w:t>ä</w:t>
            </w:r>
            <w:r w:rsidRPr="003F6EC0">
              <w:rPr>
                <w:rFonts w:ascii="inherit" w:hAnsi="inherit"/>
                <w:color w:val="000000"/>
                <w:sz w:val="20"/>
                <w:szCs w:val="20"/>
                <w:lang w:val="et-EE"/>
              </w:rPr>
              <w:t>idetud enne sellise lihtsustatud korra kohaselt loa andmist.</w:t>
            </w:r>
          </w:p>
          <w:p w14:paraId="4424EFB1" w14:textId="349B9658" w:rsidR="005D3D7B" w:rsidRPr="003F6EC0" w:rsidRDefault="005D3D7B" w:rsidP="00D375E5">
            <w:pPr>
              <w:pStyle w:val="oj-normal"/>
              <w:shd w:val="clear" w:color="auto" w:fill="FFFFFF"/>
              <w:spacing w:before="0" w:beforeAutospacing="0" w:after="0" w:afterAutospacing="0"/>
              <w:jc w:val="both"/>
              <w:rPr>
                <w:rFonts w:ascii="inherit" w:hAnsi="inherit"/>
                <w:color w:val="000000"/>
                <w:sz w:val="20"/>
                <w:szCs w:val="20"/>
                <w:lang w:val="et-EE"/>
              </w:rPr>
            </w:pPr>
            <w:r w:rsidRPr="003F6EC0">
              <w:rPr>
                <w:rFonts w:ascii="inherit" w:hAnsi="inherit"/>
                <w:color w:val="000000"/>
                <w:sz w:val="20"/>
                <w:szCs w:val="20"/>
                <w:lang w:val="et-EE"/>
              </w:rPr>
              <w:t>3.</w:t>
            </w:r>
            <w:r w:rsidR="00527EFB" w:rsidRPr="003F6EC0">
              <w:rPr>
                <w:rFonts w:ascii="inherit" w:hAnsi="inherit"/>
                <w:color w:val="000000"/>
                <w:sz w:val="20"/>
                <w:szCs w:val="20"/>
                <w:lang w:val="et-EE"/>
              </w:rPr>
              <w:t xml:space="preserve"> </w:t>
            </w:r>
            <w:r w:rsidRPr="003F6EC0">
              <w:rPr>
                <w:rFonts w:ascii="inherit" w:hAnsi="inherit" w:hint="eastAsia"/>
                <w:color w:val="000000"/>
                <w:sz w:val="20"/>
                <w:szCs w:val="20"/>
                <w:lang w:val="et-EE"/>
              </w:rPr>
              <w:t> </w:t>
            </w:r>
            <w:r w:rsidRPr="003F6EC0">
              <w:rPr>
                <w:rFonts w:ascii="inherit" w:hAnsi="inherit"/>
                <w:color w:val="000000"/>
                <w:sz w:val="20"/>
                <w:szCs w:val="20"/>
                <w:lang w:val="et-EE"/>
              </w:rPr>
              <w:t>Hiljemalt 10. maiks 2022 hindab komisjon p</w:t>
            </w:r>
            <w:r w:rsidRPr="003F6EC0">
              <w:rPr>
                <w:rFonts w:ascii="inherit" w:hAnsi="inherit" w:hint="eastAsia"/>
                <w:color w:val="000000"/>
                <w:sz w:val="20"/>
                <w:szCs w:val="20"/>
                <w:lang w:val="et-EE"/>
              </w:rPr>
              <w:t>ä</w:t>
            </w:r>
            <w:r w:rsidRPr="003F6EC0">
              <w:rPr>
                <w:rFonts w:ascii="inherit" w:hAnsi="inherit"/>
                <w:color w:val="000000"/>
                <w:sz w:val="20"/>
                <w:szCs w:val="20"/>
                <w:lang w:val="et-EE"/>
              </w:rPr>
              <w:t>rast ESMAga konsulteerimist k</w:t>
            </w:r>
            <w:r w:rsidRPr="003F6EC0">
              <w:rPr>
                <w:rFonts w:ascii="inherit" w:hAnsi="inherit" w:hint="eastAsia"/>
                <w:color w:val="000000"/>
                <w:sz w:val="20"/>
                <w:szCs w:val="20"/>
                <w:lang w:val="et-EE"/>
              </w:rPr>
              <w:t>ä</w:t>
            </w:r>
            <w:r w:rsidRPr="003F6EC0">
              <w:rPr>
                <w:rFonts w:ascii="inherit" w:hAnsi="inherit"/>
                <w:color w:val="000000"/>
                <w:sz w:val="20"/>
                <w:szCs w:val="20"/>
                <w:lang w:val="et-EE"/>
              </w:rPr>
              <w:t>esoleva m</w:t>
            </w:r>
            <w:r w:rsidRPr="003F6EC0">
              <w:rPr>
                <w:rFonts w:ascii="inherit" w:hAnsi="inherit" w:hint="eastAsia"/>
                <w:color w:val="000000"/>
                <w:sz w:val="20"/>
                <w:szCs w:val="20"/>
                <w:lang w:val="et-EE"/>
              </w:rPr>
              <w:t>ää</w:t>
            </w:r>
            <w:r w:rsidRPr="003F6EC0">
              <w:rPr>
                <w:rFonts w:ascii="inherit" w:hAnsi="inherit"/>
                <w:color w:val="000000"/>
                <w:sz w:val="20"/>
                <w:szCs w:val="20"/>
                <w:lang w:val="et-EE"/>
              </w:rPr>
              <w:t xml:space="preserve">ruse kohaldamist </w:t>
            </w:r>
            <w:r w:rsidRPr="003F6EC0">
              <w:rPr>
                <w:rFonts w:ascii="inherit" w:hAnsi="inherit" w:hint="eastAsia"/>
                <w:color w:val="000000"/>
                <w:sz w:val="20"/>
                <w:szCs w:val="20"/>
                <w:lang w:val="et-EE"/>
              </w:rPr>
              <w:t>ü</w:t>
            </w:r>
            <w:r w:rsidRPr="003F6EC0">
              <w:rPr>
                <w:rFonts w:ascii="inherit" w:hAnsi="inherit"/>
                <w:color w:val="000000"/>
                <w:sz w:val="20"/>
                <w:szCs w:val="20"/>
                <w:lang w:val="et-EE"/>
              </w:rPr>
              <w:t xml:space="preserve">hisrahastusteenuse osutajate suhtes, kes osutavad </w:t>
            </w:r>
            <w:r w:rsidRPr="003F6EC0">
              <w:rPr>
                <w:rFonts w:ascii="inherit" w:hAnsi="inherit" w:hint="eastAsia"/>
                <w:color w:val="000000"/>
                <w:sz w:val="20"/>
                <w:szCs w:val="20"/>
                <w:lang w:val="et-EE"/>
              </w:rPr>
              <w:t>ü</w:t>
            </w:r>
            <w:r w:rsidRPr="003F6EC0">
              <w:rPr>
                <w:rFonts w:ascii="inherit" w:hAnsi="inherit"/>
                <w:color w:val="000000"/>
                <w:sz w:val="20"/>
                <w:szCs w:val="20"/>
                <w:lang w:val="et-EE"/>
              </w:rPr>
              <w:t xml:space="preserve">hisrahastusteenuseid </w:t>
            </w:r>
            <w:r w:rsidRPr="003F6EC0">
              <w:rPr>
                <w:rFonts w:ascii="inherit" w:hAnsi="inherit" w:hint="eastAsia"/>
                <w:color w:val="000000"/>
                <w:sz w:val="20"/>
                <w:szCs w:val="20"/>
                <w:lang w:val="et-EE"/>
              </w:rPr>
              <w:t>ü</w:t>
            </w:r>
            <w:r w:rsidRPr="003F6EC0">
              <w:rPr>
                <w:rFonts w:ascii="inherit" w:hAnsi="inherit"/>
                <w:color w:val="000000"/>
                <w:sz w:val="20"/>
                <w:szCs w:val="20"/>
                <w:lang w:val="et-EE"/>
              </w:rPr>
              <w:t>ksnes riigi tasandil, ning k</w:t>
            </w:r>
            <w:r w:rsidRPr="003F6EC0">
              <w:rPr>
                <w:rFonts w:ascii="inherit" w:hAnsi="inherit" w:hint="eastAsia"/>
                <w:color w:val="000000"/>
                <w:sz w:val="20"/>
                <w:szCs w:val="20"/>
                <w:lang w:val="et-EE"/>
              </w:rPr>
              <w:t>ä</w:t>
            </w:r>
            <w:r w:rsidRPr="003F6EC0">
              <w:rPr>
                <w:rFonts w:ascii="inherit" w:hAnsi="inherit"/>
                <w:color w:val="000000"/>
                <w:sz w:val="20"/>
                <w:szCs w:val="20"/>
                <w:lang w:val="et-EE"/>
              </w:rPr>
              <w:t>esoleva m</w:t>
            </w:r>
            <w:r w:rsidRPr="003F6EC0">
              <w:rPr>
                <w:rFonts w:ascii="inherit" w:hAnsi="inherit" w:hint="eastAsia"/>
                <w:color w:val="000000"/>
                <w:sz w:val="20"/>
                <w:szCs w:val="20"/>
                <w:lang w:val="et-EE"/>
              </w:rPr>
              <w:t>ää</w:t>
            </w:r>
            <w:r w:rsidRPr="003F6EC0">
              <w:rPr>
                <w:rFonts w:ascii="inherit" w:hAnsi="inherit"/>
                <w:color w:val="000000"/>
                <w:sz w:val="20"/>
                <w:szCs w:val="20"/>
                <w:lang w:val="et-EE"/>
              </w:rPr>
              <w:t>ruse m</w:t>
            </w:r>
            <w:r w:rsidRPr="003F6EC0">
              <w:rPr>
                <w:rFonts w:ascii="inherit" w:hAnsi="inherit" w:hint="eastAsia"/>
                <w:color w:val="000000"/>
                <w:sz w:val="20"/>
                <w:szCs w:val="20"/>
                <w:lang w:val="et-EE"/>
              </w:rPr>
              <w:t>õ</w:t>
            </w:r>
            <w:r w:rsidRPr="003F6EC0">
              <w:rPr>
                <w:rFonts w:ascii="inherit" w:hAnsi="inherit"/>
                <w:color w:val="000000"/>
                <w:sz w:val="20"/>
                <w:szCs w:val="20"/>
                <w:lang w:val="et-EE"/>
              </w:rPr>
              <w:t xml:space="preserve">ju riiklike </w:t>
            </w:r>
            <w:r w:rsidRPr="003F6EC0">
              <w:rPr>
                <w:rFonts w:ascii="inherit" w:hAnsi="inherit" w:hint="eastAsia"/>
                <w:color w:val="000000"/>
                <w:sz w:val="20"/>
                <w:szCs w:val="20"/>
                <w:lang w:val="et-EE"/>
              </w:rPr>
              <w:t>ü</w:t>
            </w:r>
            <w:r w:rsidRPr="003F6EC0">
              <w:rPr>
                <w:rFonts w:ascii="inherit" w:hAnsi="inherit"/>
                <w:color w:val="000000"/>
                <w:sz w:val="20"/>
                <w:szCs w:val="20"/>
                <w:lang w:val="et-EE"/>
              </w:rPr>
              <w:t>hisrahastusturgude arengule ja rahastamisele juurdep</w:t>
            </w:r>
            <w:r w:rsidRPr="003F6EC0">
              <w:rPr>
                <w:rFonts w:ascii="inherit" w:hAnsi="inherit" w:hint="eastAsia"/>
                <w:color w:val="000000"/>
                <w:sz w:val="20"/>
                <w:szCs w:val="20"/>
                <w:lang w:val="et-EE"/>
              </w:rPr>
              <w:t>ää</w:t>
            </w:r>
            <w:r w:rsidRPr="003F6EC0">
              <w:rPr>
                <w:rFonts w:ascii="inherit" w:hAnsi="inherit"/>
                <w:color w:val="000000"/>
                <w:sz w:val="20"/>
                <w:szCs w:val="20"/>
                <w:lang w:val="et-EE"/>
              </w:rPr>
              <w:t>sule. Selle hinnangu p</w:t>
            </w:r>
            <w:r w:rsidRPr="003F6EC0">
              <w:rPr>
                <w:rFonts w:ascii="inherit" w:hAnsi="inherit" w:hint="eastAsia"/>
                <w:color w:val="000000"/>
                <w:sz w:val="20"/>
                <w:szCs w:val="20"/>
                <w:lang w:val="et-EE"/>
              </w:rPr>
              <w:t>õ</w:t>
            </w:r>
            <w:r w:rsidRPr="003F6EC0">
              <w:rPr>
                <w:rFonts w:ascii="inherit" w:hAnsi="inherit"/>
                <w:color w:val="000000"/>
                <w:sz w:val="20"/>
                <w:szCs w:val="20"/>
                <w:lang w:val="et-EE"/>
              </w:rPr>
              <w:t xml:space="preserve">hjal on komisjonil </w:t>
            </w:r>
            <w:r w:rsidRPr="003F6EC0">
              <w:rPr>
                <w:rFonts w:ascii="inherit" w:hAnsi="inherit" w:hint="eastAsia"/>
                <w:color w:val="000000"/>
                <w:sz w:val="20"/>
                <w:szCs w:val="20"/>
                <w:lang w:val="et-EE"/>
              </w:rPr>
              <w:t>õ</w:t>
            </w:r>
            <w:r w:rsidRPr="003F6EC0">
              <w:rPr>
                <w:rFonts w:ascii="inherit" w:hAnsi="inherit"/>
                <w:color w:val="000000"/>
                <w:sz w:val="20"/>
                <w:szCs w:val="20"/>
                <w:lang w:val="et-EE"/>
              </w:rPr>
              <w:t>igus v</w:t>
            </w:r>
            <w:r w:rsidRPr="003F6EC0">
              <w:rPr>
                <w:rFonts w:ascii="inherit" w:hAnsi="inherit" w:hint="eastAsia"/>
                <w:color w:val="000000"/>
                <w:sz w:val="20"/>
                <w:szCs w:val="20"/>
                <w:lang w:val="et-EE"/>
              </w:rPr>
              <w:t>õ</w:t>
            </w:r>
            <w:r w:rsidRPr="003F6EC0">
              <w:rPr>
                <w:rFonts w:ascii="inherit" w:hAnsi="inherit"/>
                <w:color w:val="000000"/>
                <w:sz w:val="20"/>
                <w:szCs w:val="20"/>
                <w:lang w:val="et-EE"/>
              </w:rPr>
              <w:t>tta koosk</w:t>
            </w:r>
            <w:r w:rsidRPr="003F6EC0">
              <w:rPr>
                <w:rFonts w:ascii="inherit" w:hAnsi="inherit" w:hint="eastAsia"/>
                <w:color w:val="000000"/>
                <w:sz w:val="20"/>
                <w:szCs w:val="20"/>
                <w:lang w:val="et-EE"/>
              </w:rPr>
              <w:t>õ</w:t>
            </w:r>
            <w:r w:rsidRPr="003F6EC0">
              <w:rPr>
                <w:rFonts w:ascii="inherit" w:hAnsi="inherit"/>
                <w:color w:val="000000"/>
                <w:sz w:val="20"/>
                <w:szCs w:val="20"/>
                <w:lang w:val="et-EE"/>
              </w:rPr>
              <w:t xml:space="preserve">las artikliga 44 vastu delegeeritud </w:t>
            </w:r>
            <w:r w:rsidRPr="003F6EC0">
              <w:rPr>
                <w:rFonts w:ascii="inherit" w:hAnsi="inherit" w:hint="eastAsia"/>
                <w:color w:val="000000"/>
                <w:sz w:val="20"/>
                <w:szCs w:val="20"/>
                <w:lang w:val="et-EE"/>
              </w:rPr>
              <w:t>õ</w:t>
            </w:r>
            <w:r w:rsidRPr="003F6EC0">
              <w:rPr>
                <w:rFonts w:ascii="inherit" w:hAnsi="inherit"/>
                <w:color w:val="000000"/>
                <w:sz w:val="20"/>
                <w:szCs w:val="20"/>
                <w:lang w:val="et-EE"/>
              </w:rPr>
              <w:t>igusakte, et pikendada k</w:t>
            </w:r>
            <w:r w:rsidRPr="003F6EC0">
              <w:rPr>
                <w:rFonts w:ascii="inherit" w:hAnsi="inherit" w:hint="eastAsia"/>
                <w:color w:val="000000"/>
                <w:sz w:val="20"/>
                <w:szCs w:val="20"/>
                <w:lang w:val="et-EE"/>
              </w:rPr>
              <w:t>ä</w:t>
            </w:r>
            <w:r w:rsidRPr="003F6EC0">
              <w:rPr>
                <w:rFonts w:ascii="inherit" w:hAnsi="inherit"/>
                <w:color w:val="000000"/>
                <w:sz w:val="20"/>
                <w:szCs w:val="20"/>
                <w:lang w:val="et-EE"/>
              </w:rPr>
              <w:t>esoleva artikli l</w:t>
            </w:r>
            <w:r w:rsidRPr="003F6EC0">
              <w:rPr>
                <w:rFonts w:ascii="inherit" w:hAnsi="inherit" w:hint="eastAsia"/>
                <w:color w:val="000000"/>
                <w:sz w:val="20"/>
                <w:szCs w:val="20"/>
                <w:lang w:val="et-EE"/>
              </w:rPr>
              <w:t>õ</w:t>
            </w:r>
            <w:r w:rsidRPr="003F6EC0">
              <w:rPr>
                <w:rFonts w:ascii="inherit" w:hAnsi="inherit"/>
                <w:color w:val="000000"/>
                <w:sz w:val="20"/>
                <w:szCs w:val="20"/>
                <w:lang w:val="et-EE"/>
              </w:rPr>
              <w:t xml:space="preserve">ikes 1 osutatud ajavahemikku </w:t>
            </w:r>
            <w:r w:rsidRPr="003F6EC0">
              <w:rPr>
                <w:rFonts w:ascii="inherit" w:hAnsi="inherit" w:hint="eastAsia"/>
                <w:color w:val="000000"/>
                <w:sz w:val="20"/>
                <w:szCs w:val="20"/>
                <w:lang w:val="et-EE"/>
              </w:rPr>
              <w:t>ü</w:t>
            </w:r>
            <w:r w:rsidRPr="003F6EC0">
              <w:rPr>
                <w:rFonts w:ascii="inherit" w:hAnsi="inherit"/>
                <w:color w:val="000000"/>
                <w:sz w:val="20"/>
                <w:szCs w:val="20"/>
                <w:lang w:val="et-EE"/>
              </w:rPr>
              <w:t>he korra 12-kuulise ajavahemiku v</w:t>
            </w:r>
            <w:r w:rsidRPr="003F6EC0">
              <w:rPr>
                <w:rFonts w:ascii="inherit" w:hAnsi="inherit" w:hint="eastAsia"/>
                <w:color w:val="000000"/>
                <w:sz w:val="20"/>
                <w:szCs w:val="20"/>
                <w:lang w:val="et-EE"/>
              </w:rPr>
              <w:t>õ</w:t>
            </w:r>
            <w:r w:rsidRPr="003F6EC0">
              <w:rPr>
                <w:rFonts w:ascii="inherit" w:hAnsi="inherit"/>
                <w:color w:val="000000"/>
                <w:sz w:val="20"/>
                <w:szCs w:val="20"/>
                <w:lang w:val="et-EE"/>
              </w:rPr>
              <w:t>rra.</w:t>
            </w:r>
          </w:p>
          <w:p w14:paraId="580C2BB9" w14:textId="77777777" w:rsidR="005D3D7B" w:rsidRPr="005D3D7B" w:rsidRDefault="005D3D7B" w:rsidP="00D375E5">
            <w:pPr>
              <w:spacing w:before="0"/>
              <w:rPr>
                <w:color w:val="000000"/>
                <w:sz w:val="20"/>
                <w:szCs w:val="20"/>
                <w:shd w:val="clear" w:color="auto" w:fill="FFFFFF"/>
              </w:rPr>
            </w:pPr>
          </w:p>
        </w:tc>
      </w:tr>
      <w:tr w:rsidR="00B55FBD" w:rsidRPr="005D3D7B" w14:paraId="25A89BF9" w14:textId="77777777" w:rsidTr="00D80EBF">
        <w:tc>
          <w:tcPr>
            <w:tcW w:w="2265" w:type="dxa"/>
          </w:tcPr>
          <w:p w14:paraId="2FCB54F7" w14:textId="77777777" w:rsidR="005D3D7B" w:rsidRPr="005D3D7B" w:rsidRDefault="005D3D7B" w:rsidP="00D375E5">
            <w:pPr>
              <w:spacing w:before="0"/>
              <w:rPr>
                <w:sz w:val="20"/>
                <w:szCs w:val="20"/>
                <w:lang w:eastAsia="en-US"/>
              </w:rPr>
            </w:pPr>
            <w:r w:rsidRPr="005D3D7B">
              <w:rPr>
                <w:sz w:val="20"/>
                <w:szCs w:val="20"/>
                <w:lang w:eastAsia="en-US"/>
              </w:rPr>
              <w:lastRenderedPageBreak/>
              <w:t>Artikkel 50 lõige 1</w:t>
            </w:r>
          </w:p>
        </w:tc>
        <w:tc>
          <w:tcPr>
            <w:tcW w:w="2265" w:type="dxa"/>
          </w:tcPr>
          <w:p w14:paraId="2687573B" w14:textId="6545D93D" w:rsidR="005D3D7B" w:rsidRPr="005D3D7B" w:rsidRDefault="00CF6DF3" w:rsidP="00D375E5">
            <w:pPr>
              <w:spacing w:before="0"/>
              <w:rPr>
                <w:sz w:val="20"/>
                <w:szCs w:val="20"/>
                <w:lang w:eastAsia="en-US"/>
              </w:rPr>
            </w:pPr>
            <w:r>
              <w:rPr>
                <w:sz w:val="20"/>
                <w:szCs w:val="20"/>
                <w:lang w:eastAsia="en-US"/>
              </w:rPr>
              <w:t>jah</w:t>
            </w:r>
          </w:p>
        </w:tc>
        <w:tc>
          <w:tcPr>
            <w:tcW w:w="2265" w:type="dxa"/>
          </w:tcPr>
          <w:p w14:paraId="312A418F" w14:textId="72EE7430" w:rsidR="005D3D7B" w:rsidRPr="005D3D7B" w:rsidRDefault="00CF6DF3" w:rsidP="00D375E5">
            <w:pPr>
              <w:spacing w:before="0"/>
              <w:rPr>
                <w:sz w:val="20"/>
                <w:szCs w:val="20"/>
                <w:lang w:eastAsia="en-US"/>
              </w:rPr>
            </w:pPr>
            <w:r>
              <w:rPr>
                <w:sz w:val="20"/>
                <w:szCs w:val="20"/>
                <w:lang w:eastAsia="en-US"/>
              </w:rPr>
              <w:t>Võetakse üle asjaomase eriseadusega (</w:t>
            </w:r>
            <w:r w:rsidR="00285B11" w:rsidRPr="00285B11">
              <w:rPr>
                <w:i/>
                <w:sz w:val="20"/>
                <w:szCs w:val="20"/>
                <w:lang w:eastAsia="en-US"/>
              </w:rPr>
              <w:t xml:space="preserve">rikkumisest </w:t>
            </w:r>
            <w:r w:rsidRPr="00627E5C">
              <w:rPr>
                <w:i/>
                <w:sz w:val="20"/>
                <w:szCs w:val="20"/>
                <w:lang w:eastAsia="en-US"/>
              </w:rPr>
              <w:t>teavitaja kaitse seadus</w:t>
            </w:r>
            <w:r>
              <w:rPr>
                <w:sz w:val="20"/>
                <w:szCs w:val="20"/>
                <w:lang w:eastAsia="en-US"/>
              </w:rPr>
              <w:t>), mis käesoleval ajal on justiitsministeeriumi poolt ettevalmistamisel.</w:t>
            </w:r>
          </w:p>
        </w:tc>
        <w:tc>
          <w:tcPr>
            <w:tcW w:w="2266" w:type="dxa"/>
          </w:tcPr>
          <w:p w14:paraId="3D21DD98" w14:textId="77777777" w:rsidR="005D3D7B" w:rsidRPr="005D3D7B" w:rsidRDefault="005D3D7B" w:rsidP="00D375E5">
            <w:pPr>
              <w:pStyle w:val="oj-sti-art"/>
              <w:shd w:val="clear" w:color="auto" w:fill="FFFFFF"/>
              <w:spacing w:before="0" w:beforeAutospacing="0" w:after="0" w:afterAutospacing="0"/>
              <w:jc w:val="center"/>
              <w:rPr>
                <w:b/>
                <w:bCs/>
                <w:color w:val="000000"/>
                <w:sz w:val="20"/>
                <w:szCs w:val="20"/>
              </w:rPr>
            </w:pPr>
            <w:r w:rsidRPr="005D3D7B">
              <w:rPr>
                <w:b/>
                <w:bCs/>
                <w:color w:val="000000"/>
                <w:sz w:val="20"/>
                <w:szCs w:val="20"/>
              </w:rPr>
              <w:t>Direktiivi (EL) 2019/1937 muudatuse ülevõtmine</w:t>
            </w:r>
          </w:p>
          <w:p w14:paraId="573EF778" w14:textId="67455D37" w:rsidR="005D3D7B" w:rsidRPr="005D3D7B" w:rsidRDefault="005D3D7B" w:rsidP="00D375E5">
            <w:pPr>
              <w:pStyle w:val="oj-normal"/>
              <w:shd w:val="clear" w:color="auto" w:fill="FFFFFF"/>
              <w:spacing w:before="0" w:beforeAutospacing="0" w:after="0" w:afterAutospacing="0"/>
              <w:jc w:val="both"/>
              <w:rPr>
                <w:rFonts w:ascii="inherit" w:hAnsi="inherit"/>
                <w:color w:val="000000"/>
                <w:sz w:val="20"/>
                <w:szCs w:val="20"/>
                <w:lang w:val="et-EE"/>
              </w:rPr>
            </w:pPr>
            <w:r w:rsidRPr="005D3D7B">
              <w:rPr>
                <w:rFonts w:ascii="inherit" w:hAnsi="inherit"/>
                <w:color w:val="000000"/>
                <w:sz w:val="20"/>
                <w:szCs w:val="20"/>
                <w:lang w:val="et-EE"/>
              </w:rPr>
              <w:t>1.</w:t>
            </w:r>
            <w:r w:rsidR="00527EFB">
              <w:rPr>
                <w:rFonts w:ascii="inherit" w:hAnsi="inherit"/>
                <w:color w:val="000000"/>
                <w:sz w:val="20"/>
                <w:szCs w:val="20"/>
                <w:lang w:val="et-EE"/>
              </w:rPr>
              <w:t xml:space="preserve"> </w:t>
            </w:r>
            <w:r w:rsidRPr="005D3D7B">
              <w:rPr>
                <w:rFonts w:ascii="inherit" w:hAnsi="inherit"/>
                <w:color w:val="000000"/>
                <w:sz w:val="20"/>
                <w:szCs w:val="20"/>
                <w:lang w:val="et-EE"/>
              </w:rPr>
              <w:t> Liikmesriigid võtavad artikli 47 järgimiseks vajalikud õigus- ja haldusnormid vastu ja avaldavad need hiljemalt 10. novembriks 2021. Kui nimetatud kuupäev on varasem, kui direktiivi (EL) 2019/1937 artikli 26 lõikes 1 osutatud ülevõtmiskuupäev, lükatakse asjaomaste õigus- ja haldusnormide vastuvõtmine, avaldamine ja kohaldamine edasi kuni direktiivi (EL) 2019/1937 artikli 26 lõikes 1 osutatud ülevõtmiskuupäevani.</w:t>
            </w:r>
          </w:p>
        </w:tc>
      </w:tr>
      <w:tr w:rsidR="00B55FBD" w:rsidRPr="005D3D7B" w14:paraId="6C716F6E" w14:textId="77777777" w:rsidTr="00D80EBF">
        <w:tc>
          <w:tcPr>
            <w:tcW w:w="2265" w:type="dxa"/>
          </w:tcPr>
          <w:p w14:paraId="50747014" w14:textId="77777777" w:rsidR="005D3D7B" w:rsidRPr="005D3D7B" w:rsidRDefault="005D3D7B" w:rsidP="00D375E5">
            <w:pPr>
              <w:spacing w:before="0"/>
              <w:rPr>
                <w:sz w:val="20"/>
                <w:szCs w:val="20"/>
                <w:lang w:eastAsia="en-US"/>
              </w:rPr>
            </w:pPr>
            <w:r w:rsidRPr="005D3D7B">
              <w:rPr>
                <w:sz w:val="20"/>
                <w:szCs w:val="20"/>
                <w:lang w:eastAsia="en-US"/>
              </w:rPr>
              <w:lastRenderedPageBreak/>
              <w:t>Artikkel 50 lõige 2</w:t>
            </w:r>
          </w:p>
        </w:tc>
        <w:tc>
          <w:tcPr>
            <w:tcW w:w="2265" w:type="dxa"/>
          </w:tcPr>
          <w:p w14:paraId="1DFC9A31" w14:textId="7AAD91A1" w:rsidR="005D3D7B" w:rsidRPr="005D3D7B" w:rsidRDefault="00CF6DF3" w:rsidP="00D375E5">
            <w:pPr>
              <w:spacing w:before="0"/>
              <w:rPr>
                <w:sz w:val="20"/>
                <w:szCs w:val="20"/>
                <w:lang w:eastAsia="en-US"/>
              </w:rPr>
            </w:pPr>
            <w:r>
              <w:rPr>
                <w:sz w:val="20"/>
                <w:szCs w:val="20"/>
                <w:lang w:eastAsia="en-US"/>
              </w:rPr>
              <w:t>ei</w:t>
            </w:r>
          </w:p>
        </w:tc>
        <w:tc>
          <w:tcPr>
            <w:tcW w:w="2265" w:type="dxa"/>
          </w:tcPr>
          <w:p w14:paraId="7EB404FE" w14:textId="5B44353F" w:rsidR="005D3D7B" w:rsidRPr="005D3D7B" w:rsidRDefault="00CF6DF3" w:rsidP="00D375E5">
            <w:pPr>
              <w:spacing w:before="0"/>
              <w:rPr>
                <w:sz w:val="20"/>
                <w:szCs w:val="20"/>
                <w:lang w:eastAsia="en-US"/>
              </w:rPr>
            </w:pPr>
            <w:r>
              <w:rPr>
                <w:sz w:val="20"/>
                <w:szCs w:val="20"/>
                <w:lang w:eastAsia="en-US"/>
              </w:rPr>
              <w:t>Edastatakse, kui asjaomane eriseadus (</w:t>
            </w:r>
            <w:r w:rsidR="00285B11">
              <w:rPr>
                <w:i/>
                <w:sz w:val="20"/>
                <w:szCs w:val="20"/>
                <w:lang w:eastAsia="en-US"/>
              </w:rPr>
              <w:t xml:space="preserve">rikkumisest </w:t>
            </w:r>
            <w:r w:rsidRPr="00627E5C">
              <w:rPr>
                <w:i/>
                <w:sz w:val="20"/>
                <w:szCs w:val="20"/>
                <w:lang w:eastAsia="en-US"/>
              </w:rPr>
              <w:t>teavitaja kaitse seadus</w:t>
            </w:r>
            <w:r>
              <w:rPr>
                <w:sz w:val="20"/>
                <w:szCs w:val="20"/>
                <w:lang w:eastAsia="en-US"/>
              </w:rPr>
              <w:t>) on vastu võetud.</w:t>
            </w:r>
          </w:p>
        </w:tc>
        <w:tc>
          <w:tcPr>
            <w:tcW w:w="2266" w:type="dxa"/>
          </w:tcPr>
          <w:p w14:paraId="5B307125" w14:textId="1533D73B" w:rsidR="005D3D7B" w:rsidRPr="005D3D7B" w:rsidRDefault="00CF6DF3" w:rsidP="00D375E5">
            <w:pPr>
              <w:pStyle w:val="oj-sti-art"/>
              <w:shd w:val="clear" w:color="auto" w:fill="FFFFFF"/>
              <w:spacing w:before="0" w:beforeAutospacing="0" w:after="0" w:afterAutospacing="0"/>
              <w:jc w:val="both"/>
              <w:rPr>
                <w:b/>
                <w:bCs/>
                <w:color w:val="000000"/>
                <w:sz w:val="20"/>
                <w:szCs w:val="20"/>
              </w:rPr>
            </w:pPr>
            <w:r>
              <w:rPr>
                <w:color w:val="000000"/>
                <w:sz w:val="20"/>
                <w:szCs w:val="20"/>
                <w:shd w:val="clear" w:color="auto" w:fill="FFFFFF"/>
              </w:rPr>
              <w:t>Viidatud sätte kohaselt edastavad l</w:t>
            </w:r>
            <w:r w:rsidR="005D3D7B" w:rsidRPr="005D3D7B">
              <w:rPr>
                <w:color w:val="000000"/>
                <w:sz w:val="20"/>
                <w:szCs w:val="20"/>
                <w:shd w:val="clear" w:color="auto" w:fill="FFFFFF"/>
              </w:rPr>
              <w:t>iikmesriigid komisjonile ja ESMA-le artikliga 47 reguleeritavas valdkonnas nende poolt vastu võetud põhiliste õigusnormide teksti.</w:t>
            </w:r>
            <w:r>
              <w:rPr>
                <w:color w:val="000000"/>
                <w:sz w:val="20"/>
                <w:szCs w:val="20"/>
                <w:shd w:val="clear" w:color="auto" w:fill="FFFFFF"/>
              </w:rPr>
              <w:t xml:space="preserve"> </w:t>
            </w:r>
            <w:r w:rsidRPr="005D3D7B">
              <w:rPr>
                <w:sz w:val="20"/>
                <w:szCs w:val="20"/>
              </w:rPr>
              <w:t>Tegemist on sättega, mis kehtestab liikmesriikidele kohustuse edastada Euroopa Komisjonile</w:t>
            </w:r>
            <w:r>
              <w:rPr>
                <w:sz w:val="20"/>
                <w:szCs w:val="20"/>
              </w:rPr>
              <w:t xml:space="preserve"> </w:t>
            </w:r>
            <w:r w:rsidRPr="005D3D7B">
              <w:rPr>
                <w:sz w:val="20"/>
                <w:szCs w:val="20"/>
              </w:rPr>
              <w:t xml:space="preserve">ja </w:t>
            </w:r>
            <w:r w:rsidRPr="005D3D7B">
              <w:rPr>
                <w:color w:val="000000"/>
                <w:sz w:val="20"/>
                <w:szCs w:val="20"/>
                <w:shd w:val="clear" w:color="auto" w:fill="FFFFFF"/>
              </w:rPr>
              <w:t>Euroopa Väärtpaberiturujärelevalvele</w:t>
            </w:r>
            <w:r w:rsidRPr="005D3D7B">
              <w:rPr>
                <w:sz w:val="20"/>
                <w:szCs w:val="20"/>
              </w:rPr>
              <w:t xml:space="preserve"> </w:t>
            </w:r>
            <w:r>
              <w:rPr>
                <w:sz w:val="20"/>
                <w:szCs w:val="20"/>
              </w:rPr>
              <w:t>määrust</w:t>
            </w:r>
            <w:r w:rsidRPr="005D3D7B">
              <w:rPr>
                <w:sz w:val="20"/>
                <w:szCs w:val="20"/>
              </w:rPr>
              <w:t xml:space="preserve"> ülevõ</w:t>
            </w:r>
            <w:r w:rsidR="00B55FBD">
              <w:rPr>
                <w:sz w:val="20"/>
                <w:szCs w:val="20"/>
              </w:rPr>
              <w:t>tvate riigisiseste sätete tekst.</w:t>
            </w:r>
          </w:p>
        </w:tc>
      </w:tr>
      <w:tr w:rsidR="00B55FBD" w:rsidRPr="005D3D7B" w14:paraId="492F1A3C" w14:textId="77777777" w:rsidTr="00D80EBF">
        <w:tc>
          <w:tcPr>
            <w:tcW w:w="2265" w:type="dxa"/>
          </w:tcPr>
          <w:p w14:paraId="56CCCABE" w14:textId="77777777" w:rsidR="005D3D7B" w:rsidRPr="005D3D7B" w:rsidRDefault="005D3D7B" w:rsidP="00D375E5">
            <w:pPr>
              <w:spacing w:before="0"/>
              <w:rPr>
                <w:sz w:val="20"/>
                <w:szCs w:val="20"/>
                <w:lang w:eastAsia="en-US"/>
              </w:rPr>
            </w:pPr>
            <w:r w:rsidRPr="005D3D7B">
              <w:rPr>
                <w:sz w:val="20"/>
                <w:szCs w:val="20"/>
                <w:lang w:eastAsia="en-US"/>
              </w:rPr>
              <w:t>Artikkel 51</w:t>
            </w:r>
          </w:p>
        </w:tc>
        <w:tc>
          <w:tcPr>
            <w:tcW w:w="2265" w:type="dxa"/>
          </w:tcPr>
          <w:p w14:paraId="098AB790" w14:textId="3B76CBE4" w:rsidR="005D3D7B" w:rsidRPr="005D3D7B" w:rsidRDefault="003D3C05" w:rsidP="00D375E5">
            <w:pPr>
              <w:spacing w:before="0"/>
              <w:rPr>
                <w:sz w:val="20"/>
                <w:szCs w:val="20"/>
                <w:lang w:eastAsia="en-US"/>
              </w:rPr>
            </w:pPr>
            <w:r>
              <w:rPr>
                <w:sz w:val="20"/>
                <w:szCs w:val="20"/>
                <w:lang w:eastAsia="en-US"/>
              </w:rPr>
              <w:t>ei</w:t>
            </w:r>
          </w:p>
        </w:tc>
        <w:tc>
          <w:tcPr>
            <w:tcW w:w="2265" w:type="dxa"/>
          </w:tcPr>
          <w:p w14:paraId="29B0CF4E" w14:textId="52356403" w:rsidR="005D3D7B" w:rsidRPr="005D3D7B" w:rsidRDefault="003D3C05" w:rsidP="00B55FBD">
            <w:pPr>
              <w:spacing w:before="0"/>
              <w:rPr>
                <w:sz w:val="20"/>
                <w:szCs w:val="20"/>
                <w:lang w:eastAsia="en-US"/>
              </w:rPr>
            </w:pPr>
            <w:r>
              <w:rPr>
                <w:sz w:val="20"/>
                <w:szCs w:val="20"/>
                <w:lang w:eastAsia="en-US"/>
              </w:rPr>
              <w:t xml:space="preserve">Riigisisene õigus tuleb viidatud ajaks määruse normidega vastavusse viia. </w:t>
            </w:r>
            <w:r w:rsidR="00B55FBD">
              <w:rPr>
                <w:sz w:val="20"/>
                <w:szCs w:val="20"/>
                <w:lang w:eastAsia="en-US"/>
              </w:rPr>
              <w:t>EL ühisrahastusmääruse sätete ülevõtmiseks on eelnõu kooskõlastusele saatmise ajaks menetluses ka teine eelnõu (Finantsinspektsiooni seaduse ja teiste seaduse muutmise eelnõu</w:t>
            </w:r>
            <w:r w:rsidR="004879D9">
              <w:rPr>
                <w:sz w:val="20"/>
                <w:szCs w:val="20"/>
                <w:lang w:eastAsia="en-US"/>
              </w:rPr>
              <w:t>; eelnõude infosüsteemi dokumendi number 21-0580/05</w:t>
            </w:r>
            <w:r w:rsidR="00B55FBD">
              <w:rPr>
                <w:sz w:val="20"/>
                <w:szCs w:val="20"/>
                <w:lang w:eastAsia="en-US"/>
              </w:rPr>
              <w:t xml:space="preserve">). </w:t>
            </w:r>
            <w:r>
              <w:rPr>
                <w:sz w:val="20"/>
                <w:szCs w:val="20"/>
                <w:lang w:eastAsia="en-US"/>
              </w:rPr>
              <w:t>ÜMIVS</w:t>
            </w:r>
            <w:r w:rsidR="00323322">
              <w:rPr>
                <w:sz w:val="20"/>
                <w:szCs w:val="20"/>
                <w:lang w:eastAsia="en-US"/>
              </w:rPr>
              <w:t>-</w:t>
            </w:r>
            <w:r>
              <w:rPr>
                <w:sz w:val="20"/>
                <w:szCs w:val="20"/>
                <w:lang w:eastAsia="en-US"/>
              </w:rPr>
              <w:t>i</w:t>
            </w:r>
            <w:r w:rsidR="008876BD">
              <w:rPr>
                <w:sz w:val="20"/>
                <w:szCs w:val="20"/>
                <w:lang w:eastAsia="en-US"/>
              </w:rPr>
              <w:t xml:space="preserve"> üldine</w:t>
            </w:r>
            <w:r>
              <w:rPr>
                <w:sz w:val="20"/>
                <w:szCs w:val="20"/>
                <w:lang w:eastAsia="en-US"/>
              </w:rPr>
              <w:t xml:space="preserve"> jõustumisaeg on kehtestatud 1. </w:t>
            </w:r>
            <w:r w:rsidR="00B55FBD">
              <w:rPr>
                <w:sz w:val="20"/>
                <w:szCs w:val="20"/>
                <w:lang w:eastAsia="en-US"/>
              </w:rPr>
              <w:t>aprilliks</w:t>
            </w:r>
            <w:r>
              <w:rPr>
                <w:sz w:val="20"/>
                <w:szCs w:val="20"/>
                <w:lang w:eastAsia="en-US"/>
              </w:rPr>
              <w:t xml:space="preserve"> 202</w:t>
            </w:r>
            <w:r w:rsidR="00B55FBD">
              <w:rPr>
                <w:sz w:val="20"/>
                <w:szCs w:val="20"/>
                <w:lang w:eastAsia="en-US"/>
              </w:rPr>
              <w:t>2</w:t>
            </w:r>
            <w:r>
              <w:rPr>
                <w:sz w:val="20"/>
                <w:szCs w:val="20"/>
                <w:lang w:eastAsia="en-US"/>
              </w:rPr>
              <w:t>.</w:t>
            </w:r>
          </w:p>
        </w:tc>
        <w:tc>
          <w:tcPr>
            <w:tcW w:w="2266" w:type="dxa"/>
          </w:tcPr>
          <w:p w14:paraId="7F0D9B74" w14:textId="4F220615" w:rsidR="005D3D7B" w:rsidRPr="005D3D7B" w:rsidRDefault="00CF6DF3" w:rsidP="00D375E5">
            <w:pPr>
              <w:pStyle w:val="oj-normal"/>
              <w:shd w:val="clear" w:color="auto" w:fill="FFFFFF"/>
              <w:spacing w:before="0" w:beforeAutospacing="0" w:after="0" w:afterAutospacing="0"/>
              <w:jc w:val="both"/>
              <w:rPr>
                <w:rFonts w:ascii="inherit" w:hAnsi="inherit"/>
                <w:color w:val="000000"/>
                <w:sz w:val="20"/>
                <w:szCs w:val="20"/>
                <w:lang w:val="et-EE"/>
              </w:rPr>
            </w:pPr>
            <w:r>
              <w:rPr>
                <w:rFonts w:ascii="inherit" w:hAnsi="inherit"/>
                <w:color w:val="000000"/>
                <w:sz w:val="20"/>
                <w:szCs w:val="20"/>
                <w:lang w:val="et-EE"/>
              </w:rPr>
              <w:t>EL ühisrahastusmäärus</w:t>
            </w:r>
            <w:r w:rsidR="005D3D7B" w:rsidRPr="005D3D7B">
              <w:rPr>
                <w:rFonts w:ascii="inherit" w:hAnsi="inherit"/>
                <w:color w:val="000000"/>
                <w:sz w:val="20"/>
                <w:szCs w:val="20"/>
                <w:lang w:val="et-EE"/>
              </w:rPr>
              <w:t xml:space="preserve"> jõustub kahekümnendal päeval pärast selle avaldamist </w:t>
            </w:r>
            <w:r w:rsidR="005D3D7B" w:rsidRPr="005D3D7B">
              <w:rPr>
                <w:rStyle w:val="oj-italic"/>
                <w:rFonts w:ascii="inherit" w:eastAsiaTheme="majorEastAsia" w:hAnsi="inherit"/>
                <w:i/>
                <w:iCs/>
                <w:color w:val="000000"/>
                <w:sz w:val="20"/>
                <w:szCs w:val="20"/>
                <w:lang w:val="et-EE"/>
              </w:rPr>
              <w:t>Euroopa Liidu Teatajas</w:t>
            </w:r>
            <w:r w:rsidR="005D3D7B" w:rsidRPr="005D3D7B">
              <w:rPr>
                <w:rFonts w:ascii="inherit" w:hAnsi="inherit"/>
                <w:color w:val="000000"/>
                <w:sz w:val="20"/>
                <w:szCs w:val="20"/>
                <w:lang w:val="et-EE"/>
              </w:rPr>
              <w:t>.</w:t>
            </w:r>
          </w:p>
          <w:p w14:paraId="4811B337" w14:textId="7ED1047E" w:rsidR="005D3D7B" w:rsidRPr="005D3D7B" w:rsidRDefault="00C05726" w:rsidP="00D375E5">
            <w:pPr>
              <w:pStyle w:val="oj-normal"/>
              <w:shd w:val="clear" w:color="auto" w:fill="FFFFFF"/>
              <w:spacing w:before="0" w:beforeAutospacing="0" w:after="0" w:afterAutospacing="0"/>
              <w:jc w:val="both"/>
              <w:rPr>
                <w:rFonts w:ascii="inherit" w:hAnsi="inherit"/>
                <w:color w:val="000000"/>
                <w:sz w:val="20"/>
                <w:szCs w:val="20"/>
                <w:lang w:val="et-EE"/>
              </w:rPr>
            </w:pPr>
            <w:r>
              <w:rPr>
                <w:rFonts w:ascii="inherit" w:hAnsi="inherit"/>
                <w:color w:val="000000"/>
                <w:sz w:val="20"/>
                <w:szCs w:val="20"/>
                <w:lang w:val="et-EE"/>
              </w:rPr>
              <w:t>EL ühisrahastusmäärust</w:t>
            </w:r>
            <w:r w:rsidR="0075390F">
              <w:rPr>
                <w:rFonts w:ascii="inherit" w:hAnsi="inherit"/>
                <w:color w:val="000000"/>
                <w:sz w:val="20"/>
                <w:szCs w:val="20"/>
                <w:lang w:val="et-EE"/>
              </w:rPr>
              <w:t xml:space="preserve"> </w:t>
            </w:r>
            <w:r w:rsidR="005D3D7B" w:rsidRPr="005D3D7B">
              <w:rPr>
                <w:rFonts w:ascii="inherit" w:hAnsi="inherit"/>
                <w:color w:val="000000"/>
                <w:sz w:val="20"/>
                <w:szCs w:val="20"/>
                <w:lang w:val="et-EE"/>
              </w:rPr>
              <w:t>kohaldatakse alates 10. novembrist 2020.</w:t>
            </w:r>
          </w:p>
          <w:p w14:paraId="33945DE0" w14:textId="058D8BCB" w:rsidR="005D3D7B" w:rsidRDefault="00A56224" w:rsidP="00D375E5">
            <w:pPr>
              <w:pStyle w:val="oj-normal"/>
              <w:shd w:val="clear" w:color="auto" w:fill="FFFFFF"/>
              <w:spacing w:before="0" w:beforeAutospacing="0" w:after="0" w:afterAutospacing="0"/>
              <w:jc w:val="both"/>
              <w:rPr>
                <w:rFonts w:ascii="inherit" w:hAnsi="inherit"/>
                <w:color w:val="000000"/>
                <w:sz w:val="20"/>
                <w:szCs w:val="20"/>
                <w:lang w:val="et-EE"/>
              </w:rPr>
            </w:pPr>
            <w:r>
              <w:rPr>
                <w:rFonts w:ascii="inherit" w:hAnsi="inherit"/>
                <w:color w:val="000000"/>
                <w:sz w:val="20"/>
                <w:szCs w:val="20"/>
                <w:lang w:val="et-EE"/>
              </w:rPr>
              <w:t>Viidatud</w:t>
            </w:r>
            <w:r w:rsidR="005D3D7B" w:rsidRPr="005D3D7B">
              <w:rPr>
                <w:rFonts w:ascii="inherit" w:hAnsi="inherit"/>
                <w:color w:val="000000"/>
                <w:sz w:val="20"/>
                <w:szCs w:val="20"/>
                <w:lang w:val="et-EE"/>
              </w:rPr>
              <w:t xml:space="preserve"> määrus on tervikuna siduv ja vahetult kohaldatav kõikides liikmesriikides.</w:t>
            </w:r>
          </w:p>
          <w:p w14:paraId="6A152B68" w14:textId="45B7135B" w:rsidR="00CF6DF3" w:rsidRPr="005D3D7B" w:rsidRDefault="00CF6DF3" w:rsidP="00D375E5">
            <w:pPr>
              <w:pStyle w:val="oj-normal"/>
              <w:shd w:val="clear" w:color="auto" w:fill="FFFFFF"/>
              <w:spacing w:before="0" w:beforeAutospacing="0" w:after="0" w:afterAutospacing="0"/>
              <w:jc w:val="both"/>
              <w:rPr>
                <w:rFonts w:ascii="inherit" w:hAnsi="inherit"/>
                <w:color w:val="000000"/>
                <w:sz w:val="20"/>
                <w:szCs w:val="20"/>
                <w:lang w:val="et-EE"/>
              </w:rPr>
            </w:pPr>
            <w:r>
              <w:rPr>
                <w:rFonts w:ascii="inherit" w:hAnsi="inherit"/>
                <w:color w:val="000000"/>
                <w:sz w:val="20"/>
                <w:szCs w:val="20"/>
                <w:lang w:val="et-EE"/>
              </w:rPr>
              <w:t xml:space="preserve">Tegemist on normiga, mis sätestab määruse jõustumise </w:t>
            </w:r>
            <w:r w:rsidR="003D3C05">
              <w:rPr>
                <w:rFonts w:ascii="inherit" w:hAnsi="inherit"/>
                <w:color w:val="000000"/>
                <w:sz w:val="20"/>
                <w:szCs w:val="20"/>
                <w:lang w:val="et-EE"/>
              </w:rPr>
              <w:t xml:space="preserve">ja kohaldamise </w:t>
            </w:r>
            <w:r>
              <w:rPr>
                <w:rFonts w:ascii="inherit" w:hAnsi="inherit"/>
                <w:color w:val="000000"/>
                <w:sz w:val="20"/>
                <w:szCs w:val="20"/>
                <w:lang w:val="et-EE"/>
              </w:rPr>
              <w:t>aj</w:t>
            </w:r>
            <w:r w:rsidR="003D3C05">
              <w:rPr>
                <w:rFonts w:ascii="inherit" w:hAnsi="inherit"/>
                <w:color w:val="000000"/>
                <w:sz w:val="20"/>
                <w:szCs w:val="20"/>
                <w:lang w:val="et-EE"/>
              </w:rPr>
              <w:t>ad ning</w:t>
            </w:r>
            <w:r>
              <w:rPr>
                <w:rFonts w:ascii="inherit" w:hAnsi="inherit"/>
                <w:color w:val="000000"/>
                <w:sz w:val="20"/>
                <w:szCs w:val="20"/>
                <w:lang w:val="et-EE"/>
              </w:rPr>
              <w:t xml:space="preserve"> selle adressaadid.</w:t>
            </w:r>
          </w:p>
        </w:tc>
      </w:tr>
    </w:tbl>
    <w:p w14:paraId="2F0E4764" w14:textId="77777777" w:rsidR="005D3D7B" w:rsidRDefault="005D3D7B" w:rsidP="00D375E5">
      <w:pPr>
        <w:spacing w:before="0"/>
        <w:rPr>
          <w:lang w:eastAsia="en-US"/>
        </w:rPr>
      </w:pPr>
    </w:p>
    <w:p w14:paraId="04365EF9" w14:textId="77777777" w:rsidR="005D3D7B" w:rsidRDefault="005D3D7B" w:rsidP="00D375E5">
      <w:pPr>
        <w:pStyle w:val="vk"/>
        <w:jc w:val="both"/>
        <w:rPr>
          <w:sz w:val="22"/>
          <w:szCs w:val="22"/>
          <w:lang w:eastAsia="en-US"/>
        </w:rPr>
      </w:pPr>
    </w:p>
    <w:p w14:paraId="4D10C842" w14:textId="77777777" w:rsidR="0080668A" w:rsidRDefault="0080668A" w:rsidP="00D375E5">
      <w:pPr>
        <w:pStyle w:val="vk"/>
        <w:jc w:val="both"/>
        <w:rPr>
          <w:sz w:val="22"/>
          <w:szCs w:val="22"/>
          <w:lang w:eastAsia="en-US"/>
        </w:rPr>
      </w:pPr>
    </w:p>
    <w:p w14:paraId="17DF709C" w14:textId="77777777" w:rsidR="0080668A" w:rsidRDefault="0080668A" w:rsidP="00D375E5">
      <w:pPr>
        <w:pStyle w:val="vk"/>
        <w:jc w:val="both"/>
        <w:rPr>
          <w:sz w:val="22"/>
          <w:szCs w:val="22"/>
          <w:lang w:eastAsia="en-US"/>
        </w:rPr>
      </w:pPr>
    </w:p>
    <w:p w14:paraId="71EFC1F9" w14:textId="77777777" w:rsidR="0080668A" w:rsidRDefault="0080668A" w:rsidP="00D375E5">
      <w:pPr>
        <w:pStyle w:val="vk"/>
        <w:jc w:val="both"/>
        <w:rPr>
          <w:sz w:val="22"/>
          <w:szCs w:val="22"/>
          <w:lang w:eastAsia="en-US"/>
        </w:rPr>
      </w:pPr>
    </w:p>
    <w:p w14:paraId="256CCF6A" w14:textId="77777777" w:rsidR="0025116F" w:rsidRDefault="0025116F" w:rsidP="00D375E5">
      <w:pPr>
        <w:pStyle w:val="vk"/>
        <w:jc w:val="both"/>
        <w:rPr>
          <w:b/>
          <w:sz w:val="22"/>
          <w:szCs w:val="22"/>
        </w:rPr>
        <w:sectPr w:rsidR="0025116F" w:rsidSect="0039268C">
          <w:footerReference w:type="default" r:id="rId29"/>
          <w:pgSz w:w="11906" w:h="16838"/>
          <w:pgMar w:top="1134" w:right="1134" w:bottom="1134" w:left="1701" w:header="709" w:footer="709" w:gutter="0"/>
          <w:cols w:space="708"/>
          <w:docGrid w:linePitch="360"/>
        </w:sectPr>
      </w:pPr>
    </w:p>
    <w:p w14:paraId="67459DF4" w14:textId="348ACC18" w:rsidR="0080668A" w:rsidRPr="00527EFB" w:rsidRDefault="0080668A" w:rsidP="00D375E5">
      <w:pPr>
        <w:pStyle w:val="vk"/>
        <w:jc w:val="both"/>
        <w:rPr>
          <w:b/>
          <w:sz w:val="22"/>
          <w:szCs w:val="22"/>
          <w:lang w:eastAsia="en-US"/>
        </w:rPr>
      </w:pPr>
      <w:r w:rsidRPr="00527EFB">
        <w:rPr>
          <w:b/>
          <w:sz w:val="22"/>
          <w:szCs w:val="22"/>
        </w:rPr>
        <w:lastRenderedPageBreak/>
        <w:t xml:space="preserve">LISA 2. Kokkuvõte krüptovarade </w:t>
      </w:r>
      <w:r w:rsidR="00527EFB" w:rsidRPr="00527EFB">
        <w:rPr>
          <w:b/>
          <w:sz w:val="22"/>
          <w:szCs w:val="22"/>
        </w:rPr>
        <w:t xml:space="preserve">väljatöötamiskavatsuse </w:t>
      </w:r>
      <w:r w:rsidRPr="00527EFB">
        <w:rPr>
          <w:b/>
          <w:sz w:val="22"/>
          <w:szCs w:val="22"/>
        </w:rPr>
        <w:t>kohta laekunud tagasisidest</w:t>
      </w:r>
    </w:p>
    <w:p w14:paraId="15F15B3B" w14:textId="77777777" w:rsidR="0080668A" w:rsidRPr="00527EFB" w:rsidRDefault="0080668A" w:rsidP="00D375E5">
      <w:pPr>
        <w:pStyle w:val="vk"/>
        <w:jc w:val="both"/>
        <w:rPr>
          <w:sz w:val="22"/>
          <w:szCs w:val="22"/>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7633"/>
      </w:tblGrid>
      <w:tr w:rsidR="0025116F" w:rsidRPr="00527EFB" w14:paraId="2D253E01" w14:textId="77777777" w:rsidTr="00543727">
        <w:trPr>
          <w:trHeight w:val="720"/>
        </w:trPr>
        <w:tc>
          <w:tcPr>
            <w:tcW w:w="2994" w:type="dxa"/>
            <w:shd w:val="clear" w:color="auto" w:fill="DEEAF6" w:themeFill="accent1" w:themeFillTint="33"/>
            <w:hideMark/>
          </w:tcPr>
          <w:p w14:paraId="32102159" w14:textId="77777777" w:rsidR="0025116F" w:rsidRPr="00527EFB" w:rsidRDefault="0025116F" w:rsidP="00D375E5">
            <w:pPr>
              <w:spacing w:before="0"/>
              <w:jc w:val="left"/>
              <w:rPr>
                <w:b/>
                <w:bCs/>
                <w:color w:val="000000"/>
                <w:sz w:val="20"/>
                <w:szCs w:val="20"/>
                <w:lang w:eastAsia="en-US"/>
              </w:rPr>
            </w:pPr>
            <w:r w:rsidRPr="00527EFB">
              <w:rPr>
                <w:b/>
                <w:bCs/>
                <w:color w:val="000000"/>
                <w:sz w:val="20"/>
                <w:szCs w:val="20"/>
                <w:lang w:eastAsia="en-US"/>
              </w:rPr>
              <w:t>Eesti Krüptoraha Liit</w:t>
            </w:r>
          </w:p>
        </w:tc>
        <w:tc>
          <w:tcPr>
            <w:tcW w:w="7633" w:type="dxa"/>
            <w:shd w:val="clear" w:color="auto" w:fill="auto"/>
            <w:hideMark/>
          </w:tcPr>
          <w:p w14:paraId="739CECB7" w14:textId="1DC6A468" w:rsidR="0025116F" w:rsidRPr="00527EFB" w:rsidRDefault="0025116F" w:rsidP="00D375E5">
            <w:pPr>
              <w:spacing w:before="0"/>
              <w:rPr>
                <w:color w:val="000000"/>
                <w:sz w:val="20"/>
                <w:szCs w:val="20"/>
                <w:lang w:eastAsia="en-US"/>
              </w:rPr>
            </w:pPr>
            <w:r w:rsidRPr="00527EFB">
              <w:rPr>
                <w:color w:val="000000"/>
                <w:sz w:val="20"/>
                <w:szCs w:val="20"/>
                <w:lang w:eastAsia="en-US"/>
              </w:rPr>
              <w:t xml:space="preserve">VTK teemade käsitlus on tervitatav, aga peaks minema veel kaugemale, sh 1) looma eraldi TOÜ - tokeniseeritud osaühingu vormi; </w:t>
            </w:r>
            <w:r w:rsidR="00527EFB" w:rsidRPr="00527EFB">
              <w:rPr>
                <w:color w:val="000000"/>
                <w:sz w:val="20"/>
                <w:szCs w:val="20"/>
                <w:lang w:eastAsia="en-US"/>
              </w:rPr>
              <w:t xml:space="preserve">ja </w:t>
            </w:r>
            <w:r w:rsidRPr="00527EFB">
              <w:rPr>
                <w:color w:val="000000"/>
                <w:sz w:val="20"/>
                <w:szCs w:val="20"/>
                <w:lang w:eastAsia="en-US"/>
              </w:rPr>
              <w:t>2) loom</w:t>
            </w:r>
            <w:r w:rsidR="00B67AF1">
              <w:rPr>
                <w:color w:val="000000"/>
                <w:sz w:val="20"/>
                <w:szCs w:val="20"/>
                <w:lang w:eastAsia="en-US"/>
              </w:rPr>
              <w:t>a lihtsa lahenduse STO/ETO-dele,</w:t>
            </w:r>
            <w:r w:rsidRPr="00527EFB">
              <w:rPr>
                <w:color w:val="000000"/>
                <w:sz w:val="20"/>
                <w:szCs w:val="20"/>
                <w:lang w:eastAsia="en-US"/>
              </w:rPr>
              <w:t xml:space="preserve"> et vähendada uute ettevõtjate kulusid.</w:t>
            </w:r>
          </w:p>
          <w:p w14:paraId="2FDC2FDF" w14:textId="77777777" w:rsidR="0044722A" w:rsidRPr="00527EFB" w:rsidRDefault="0044722A" w:rsidP="00D375E5">
            <w:pPr>
              <w:spacing w:before="0"/>
              <w:rPr>
                <w:color w:val="000000"/>
                <w:sz w:val="20"/>
                <w:szCs w:val="20"/>
                <w:lang w:eastAsia="en-US"/>
              </w:rPr>
            </w:pPr>
          </w:p>
        </w:tc>
      </w:tr>
      <w:tr w:rsidR="0025116F" w:rsidRPr="00527EFB" w14:paraId="13602CE8" w14:textId="77777777" w:rsidTr="00543727">
        <w:trPr>
          <w:trHeight w:val="720"/>
        </w:trPr>
        <w:tc>
          <w:tcPr>
            <w:tcW w:w="2994" w:type="dxa"/>
            <w:shd w:val="clear" w:color="auto" w:fill="DEEAF6" w:themeFill="accent1" w:themeFillTint="33"/>
            <w:hideMark/>
          </w:tcPr>
          <w:p w14:paraId="08C8647D" w14:textId="77777777" w:rsidR="0025116F" w:rsidRPr="00527EFB" w:rsidRDefault="0025116F" w:rsidP="00D375E5">
            <w:pPr>
              <w:spacing w:before="0"/>
              <w:jc w:val="left"/>
              <w:rPr>
                <w:b/>
                <w:bCs/>
                <w:color w:val="000000"/>
                <w:sz w:val="20"/>
                <w:szCs w:val="20"/>
                <w:lang w:eastAsia="en-US"/>
              </w:rPr>
            </w:pPr>
            <w:r w:rsidRPr="00527EFB">
              <w:rPr>
                <w:b/>
                <w:bCs/>
                <w:color w:val="000000"/>
                <w:sz w:val="20"/>
                <w:szCs w:val="20"/>
                <w:lang w:eastAsia="en-US"/>
              </w:rPr>
              <w:t>Audiitorkogu</w:t>
            </w:r>
          </w:p>
        </w:tc>
        <w:tc>
          <w:tcPr>
            <w:tcW w:w="7633" w:type="dxa"/>
            <w:shd w:val="clear" w:color="auto" w:fill="auto"/>
            <w:hideMark/>
          </w:tcPr>
          <w:p w14:paraId="558B112C" w14:textId="77777777" w:rsidR="00527EFB" w:rsidRPr="00527EFB" w:rsidRDefault="0025116F" w:rsidP="00D375E5">
            <w:pPr>
              <w:spacing w:before="0"/>
              <w:rPr>
                <w:color w:val="000000"/>
                <w:sz w:val="20"/>
                <w:szCs w:val="20"/>
                <w:lang w:eastAsia="en-US"/>
              </w:rPr>
            </w:pPr>
            <w:r w:rsidRPr="00527EFB">
              <w:rPr>
                <w:color w:val="000000"/>
                <w:sz w:val="20"/>
                <w:szCs w:val="20"/>
                <w:lang w:eastAsia="en-US"/>
              </w:rPr>
              <w:t xml:space="preserve">Toetavad </w:t>
            </w:r>
            <w:r w:rsidR="00527EFB" w:rsidRPr="00527EFB">
              <w:rPr>
                <w:color w:val="000000"/>
                <w:sz w:val="20"/>
                <w:szCs w:val="20"/>
                <w:lang w:eastAsia="en-US"/>
              </w:rPr>
              <w:t>krüptovarade reguleerimisega seotud</w:t>
            </w:r>
            <w:r w:rsidRPr="00527EFB">
              <w:rPr>
                <w:color w:val="000000"/>
                <w:sz w:val="20"/>
                <w:szCs w:val="20"/>
                <w:lang w:eastAsia="en-US"/>
              </w:rPr>
              <w:t xml:space="preserve"> algatust ja märgivad, et see on vajalik krüptovarade olemuse paremini mõistmiseks ja nende kohta arvestuse pidamiseks.</w:t>
            </w:r>
          </w:p>
          <w:p w14:paraId="0AC3C4C3" w14:textId="1368133D" w:rsidR="0025116F" w:rsidRPr="00527EFB" w:rsidRDefault="0025116F" w:rsidP="00D375E5">
            <w:pPr>
              <w:spacing w:before="0"/>
              <w:rPr>
                <w:color w:val="000000"/>
                <w:sz w:val="20"/>
                <w:szCs w:val="20"/>
                <w:lang w:eastAsia="en-US"/>
              </w:rPr>
            </w:pPr>
          </w:p>
        </w:tc>
      </w:tr>
      <w:tr w:rsidR="0025116F" w:rsidRPr="00527EFB" w14:paraId="6924C752" w14:textId="77777777" w:rsidTr="00543727">
        <w:trPr>
          <w:trHeight w:val="720"/>
        </w:trPr>
        <w:tc>
          <w:tcPr>
            <w:tcW w:w="2994" w:type="dxa"/>
            <w:shd w:val="clear" w:color="auto" w:fill="DEEAF6" w:themeFill="accent1" w:themeFillTint="33"/>
            <w:hideMark/>
          </w:tcPr>
          <w:p w14:paraId="6BA77F5E" w14:textId="77777777" w:rsidR="0025116F" w:rsidRPr="00527EFB" w:rsidRDefault="0025116F" w:rsidP="00D375E5">
            <w:pPr>
              <w:spacing w:before="0"/>
              <w:jc w:val="left"/>
              <w:rPr>
                <w:b/>
                <w:bCs/>
                <w:color w:val="000000"/>
                <w:sz w:val="20"/>
                <w:szCs w:val="20"/>
                <w:lang w:eastAsia="en-US"/>
              </w:rPr>
            </w:pPr>
            <w:r w:rsidRPr="00527EFB">
              <w:rPr>
                <w:b/>
                <w:bCs/>
                <w:color w:val="000000"/>
                <w:sz w:val="20"/>
                <w:szCs w:val="20"/>
                <w:lang w:eastAsia="en-US"/>
              </w:rPr>
              <w:t>Coinfirm</w:t>
            </w:r>
          </w:p>
        </w:tc>
        <w:tc>
          <w:tcPr>
            <w:tcW w:w="7633" w:type="dxa"/>
            <w:shd w:val="clear" w:color="auto" w:fill="auto"/>
            <w:hideMark/>
          </w:tcPr>
          <w:p w14:paraId="66322443" w14:textId="51C49041" w:rsidR="0025116F" w:rsidRPr="00527EFB" w:rsidRDefault="0025116F" w:rsidP="00D375E5">
            <w:pPr>
              <w:spacing w:before="0"/>
              <w:rPr>
                <w:color w:val="000000"/>
                <w:sz w:val="20"/>
                <w:szCs w:val="20"/>
                <w:lang w:eastAsia="en-US"/>
              </w:rPr>
            </w:pPr>
            <w:r w:rsidRPr="00527EFB">
              <w:rPr>
                <w:color w:val="000000"/>
                <w:sz w:val="20"/>
                <w:szCs w:val="20"/>
                <w:lang w:eastAsia="en-US"/>
              </w:rPr>
              <w:t xml:space="preserve">VTK kui sellisel kujul algatus on positiivne. </w:t>
            </w:r>
            <w:r w:rsidR="0044722A" w:rsidRPr="00527EFB">
              <w:rPr>
                <w:color w:val="000000"/>
                <w:sz w:val="20"/>
                <w:szCs w:val="20"/>
                <w:lang w:eastAsia="en-US"/>
              </w:rPr>
              <w:t>S</w:t>
            </w:r>
            <w:r w:rsidRPr="00527EFB">
              <w:rPr>
                <w:color w:val="000000"/>
                <w:sz w:val="20"/>
                <w:szCs w:val="20"/>
                <w:lang w:eastAsia="en-US"/>
              </w:rPr>
              <w:t>oovitavad lisada krüptovaradega tehtud tehingute monitoorimise klausli seadusesse.</w:t>
            </w:r>
            <w:r w:rsidR="00527EFB" w:rsidRPr="00527EFB">
              <w:rPr>
                <w:color w:val="000000"/>
                <w:sz w:val="20"/>
                <w:szCs w:val="20"/>
                <w:lang w:eastAsia="en-US"/>
              </w:rPr>
              <w:t xml:space="preserve"> Rakendatud juba UAE's ja Š</w:t>
            </w:r>
            <w:r w:rsidRPr="00527EFB">
              <w:rPr>
                <w:color w:val="000000"/>
                <w:sz w:val="20"/>
                <w:szCs w:val="20"/>
                <w:lang w:eastAsia="en-US"/>
              </w:rPr>
              <w:t>veitsis, tuleneb FATF</w:t>
            </w:r>
            <w:r w:rsidR="00527EFB" w:rsidRPr="00527EFB">
              <w:rPr>
                <w:color w:val="000000"/>
                <w:sz w:val="20"/>
                <w:szCs w:val="20"/>
                <w:lang w:eastAsia="en-US"/>
              </w:rPr>
              <w:t>-i</w:t>
            </w:r>
            <w:r w:rsidRPr="00527EFB">
              <w:rPr>
                <w:color w:val="000000"/>
                <w:sz w:val="20"/>
                <w:szCs w:val="20"/>
                <w:lang w:eastAsia="en-US"/>
              </w:rPr>
              <w:t xml:space="preserve"> uutest soovitustest.</w:t>
            </w:r>
          </w:p>
          <w:p w14:paraId="13CE371B" w14:textId="77777777" w:rsidR="0044722A" w:rsidRPr="00527EFB" w:rsidRDefault="0044722A" w:rsidP="00D375E5">
            <w:pPr>
              <w:spacing w:before="0"/>
              <w:rPr>
                <w:color w:val="000000"/>
                <w:sz w:val="20"/>
                <w:szCs w:val="20"/>
                <w:lang w:eastAsia="en-US"/>
              </w:rPr>
            </w:pPr>
          </w:p>
        </w:tc>
      </w:tr>
      <w:tr w:rsidR="0025116F" w:rsidRPr="00527EFB" w14:paraId="49776A4F" w14:textId="77777777" w:rsidTr="00543727">
        <w:trPr>
          <w:trHeight w:val="480"/>
        </w:trPr>
        <w:tc>
          <w:tcPr>
            <w:tcW w:w="2994" w:type="dxa"/>
            <w:shd w:val="clear" w:color="auto" w:fill="DEEAF6" w:themeFill="accent1" w:themeFillTint="33"/>
            <w:hideMark/>
          </w:tcPr>
          <w:p w14:paraId="42FF7DB0" w14:textId="77777777" w:rsidR="0025116F" w:rsidRPr="00527EFB" w:rsidRDefault="0025116F" w:rsidP="00D375E5">
            <w:pPr>
              <w:spacing w:before="0"/>
              <w:jc w:val="left"/>
              <w:rPr>
                <w:b/>
                <w:bCs/>
                <w:color w:val="000000"/>
                <w:sz w:val="20"/>
                <w:szCs w:val="20"/>
                <w:lang w:eastAsia="en-US"/>
              </w:rPr>
            </w:pPr>
            <w:r w:rsidRPr="00527EFB">
              <w:rPr>
                <w:b/>
                <w:bCs/>
                <w:color w:val="000000"/>
                <w:sz w:val="20"/>
                <w:szCs w:val="20"/>
                <w:lang w:eastAsia="en-US"/>
              </w:rPr>
              <w:t>Eesti Pank</w:t>
            </w:r>
          </w:p>
        </w:tc>
        <w:tc>
          <w:tcPr>
            <w:tcW w:w="7633" w:type="dxa"/>
            <w:shd w:val="clear" w:color="auto" w:fill="auto"/>
            <w:hideMark/>
          </w:tcPr>
          <w:p w14:paraId="0BF44BE0" w14:textId="77777777" w:rsidR="0025116F" w:rsidRPr="00527EFB" w:rsidRDefault="0025116F" w:rsidP="00D375E5">
            <w:pPr>
              <w:spacing w:before="0"/>
              <w:rPr>
                <w:color w:val="000000"/>
                <w:sz w:val="20"/>
                <w:szCs w:val="20"/>
                <w:lang w:eastAsia="en-US"/>
              </w:rPr>
            </w:pPr>
            <w:r w:rsidRPr="00527EFB">
              <w:rPr>
                <w:color w:val="000000"/>
                <w:sz w:val="20"/>
                <w:szCs w:val="20"/>
                <w:lang w:eastAsia="en-US"/>
              </w:rPr>
              <w:t>Toetavad VTK-s nimetatud eesmärkide lahendamist. Probleem on õiguslike garantiide vähesus ja üldise õigusselguse madal tase.</w:t>
            </w:r>
          </w:p>
          <w:p w14:paraId="5E85AE2A" w14:textId="77777777" w:rsidR="0044722A" w:rsidRPr="00527EFB" w:rsidRDefault="0044722A" w:rsidP="00D375E5">
            <w:pPr>
              <w:spacing w:before="0"/>
              <w:rPr>
                <w:color w:val="000000"/>
                <w:sz w:val="20"/>
                <w:szCs w:val="20"/>
                <w:lang w:eastAsia="en-US"/>
              </w:rPr>
            </w:pPr>
          </w:p>
        </w:tc>
      </w:tr>
      <w:tr w:rsidR="0025116F" w:rsidRPr="00527EFB" w14:paraId="63CC2440" w14:textId="77777777" w:rsidTr="00543727">
        <w:trPr>
          <w:trHeight w:val="300"/>
        </w:trPr>
        <w:tc>
          <w:tcPr>
            <w:tcW w:w="2994" w:type="dxa"/>
            <w:shd w:val="clear" w:color="auto" w:fill="DEEAF6" w:themeFill="accent1" w:themeFillTint="33"/>
            <w:hideMark/>
          </w:tcPr>
          <w:p w14:paraId="05362581" w14:textId="77777777" w:rsidR="0025116F" w:rsidRPr="00527EFB" w:rsidRDefault="0025116F" w:rsidP="00D375E5">
            <w:pPr>
              <w:spacing w:before="0"/>
              <w:jc w:val="left"/>
              <w:rPr>
                <w:b/>
                <w:bCs/>
                <w:color w:val="000000"/>
                <w:sz w:val="20"/>
                <w:szCs w:val="20"/>
                <w:lang w:eastAsia="en-US"/>
              </w:rPr>
            </w:pPr>
            <w:r w:rsidRPr="00527EFB">
              <w:rPr>
                <w:b/>
                <w:bCs/>
                <w:color w:val="000000"/>
                <w:sz w:val="20"/>
                <w:szCs w:val="20"/>
                <w:lang w:eastAsia="en-US"/>
              </w:rPr>
              <w:t>Justiitsministeerium</w:t>
            </w:r>
          </w:p>
        </w:tc>
        <w:tc>
          <w:tcPr>
            <w:tcW w:w="7633" w:type="dxa"/>
            <w:shd w:val="clear" w:color="auto" w:fill="FFFFFF" w:themeFill="background1"/>
            <w:hideMark/>
          </w:tcPr>
          <w:p w14:paraId="62C1421E" w14:textId="0193D7D0" w:rsidR="0025116F" w:rsidRPr="00527EFB" w:rsidRDefault="0044722A" w:rsidP="00D375E5">
            <w:pPr>
              <w:spacing w:before="0"/>
              <w:rPr>
                <w:color w:val="000000"/>
                <w:sz w:val="20"/>
                <w:szCs w:val="20"/>
                <w:lang w:eastAsia="en-US"/>
              </w:rPr>
            </w:pPr>
            <w:r w:rsidRPr="00527EFB">
              <w:rPr>
                <w:color w:val="000000"/>
                <w:sz w:val="20"/>
                <w:szCs w:val="20"/>
                <w:lang w:eastAsia="en-US"/>
              </w:rPr>
              <w:t>Eelkõige keskenduvad tagasisides äriseadustiku muutmisele. Märgivad, et osade registri-pidamise probleemid tuleks lahendada revisjoni raames, ja siis vaadata, et kuidas plokiahel sinna sobitub. Ei toeta eraldi võõrandamise viisi loomist.</w:t>
            </w:r>
          </w:p>
          <w:p w14:paraId="09498050" w14:textId="2FF19A82" w:rsidR="0044722A" w:rsidRPr="00527EFB" w:rsidRDefault="0044722A" w:rsidP="00D375E5">
            <w:pPr>
              <w:spacing w:before="0"/>
              <w:rPr>
                <w:color w:val="000000"/>
                <w:sz w:val="20"/>
                <w:szCs w:val="20"/>
                <w:lang w:eastAsia="en-US"/>
              </w:rPr>
            </w:pPr>
          </w:p>
        </w:tc>
      </w:tr>
      <w:tr w:rsidR="00323322" w:rsidRPr="00527EFB" w14:paraId="2BF09D0B" w14:textId="77777777" w:rsidTr="00543727">
        <w:trPr>
          <w:trHeight w:val="720"/>
        </w:trPr>
        <w:tc>
          <w:tcPr>
            <w:tcW w:w="2994" w:type="dxa"/>
            <w:shd w:val="clear" w:color="auto" w:fill="DEEAF6" w:themeFill="accent1" w:themeFillTint="33"/>
            <w:noWrap/>
            <w:hideMark/>
          </w:tcPr>
          <w:p w14:paraId="29978504" w14:textId="0D61C41A" w:rsidR="00323322" w:rsidRPr="00527EFB" w:rsidRDefault="00323322" w:rsidP="00D375E5">
            <w:pPr>
              <w:spacing w:before="0"/>
              <w:jc w:val="left"/>
              <w:rPr>
                <w:b/>
                <w:bCs/>
                <w:color w:val="000000"/>
                <w:sz w:val="20"/>
                <w:szCs w:val="20"/>
                <w:lang w:eastAsia="en-US"/>
              </w:rPr>
            </w:pPr>
            <w:r>
              <w:rPr>
                <w:b/>
                <w:bCs/>
                <w:color w:val="000000"/>
                <w:sz w:val="20"/>
                <w:szCs w:val="20"/>
                <w:lang w:eastAsia="en-US"/>
              </w:rPr>
              <w:t>Finantsinspektsioon</w:t>
            </w:r>
          </w:p>
        </w:tc>
        <w:tc>
          <w:tcPr>
            <w:tcW w:w="7633" w:type="dxa"/>
            <w:shd w:val="clear" w:color="auto" w:fill="auto"/>
            <w:hideMark/>
          </w:tcPr>
          <w:p w14:paraId="34D6B528" w14:textId="77777777" w:rsidR="00323322" w:rsidRPr="00527EFB" w:rsidRDefault="00323322" w:rsidP="00D375E5">
            <w:pPr>
              <w:spacing w:before="0"/>
              <w:rPr>
                <w:color w:val="000000"/>
                <w:sz w:val="20"/>
                <w:szCs w:val="20"/>
                <w:lang w:eastAsia="en-US"/>
              </w:rPr>
            </w:pPr>
            <w:r w:rsidRPr="00527EFB">
              <w:rPr>
                <w:color w:val="000000"/>
                <w:sz w:val="20"/>
                <w:szCs w:val="20"/>
                <w:lang w:eastAsia="en-US"/>
              </w:rPr>
              <w:t xml:space="preserve">Algatus on positiivne, VTK-s käsitletud küsimused on olulised ja käsitlevad õigeid aspekte. </w:t>
            </w:r>
            <w:r w:rsidRPr="00527EFB">
              <w:rPr>
                <w:color w:val="000000"/>
                <w:sz w:val="20"/>
                <w:szCs w:val="20"/>
                <w:lang w:eastAsia="en-US"/>
              </w:rPr>
              <w:br/>
              <w:t xml:space="preserve">Riskide käsitlus IT-teenuste juures on jäänud tahaplaanile. </w:t>
            </w:r>
          </w:p>
        </w:tc>
      </w:tr>
      <w:tr w:rsidR="00323322" w:rsidRPr="00527EFB" w14:paraId="289ACC65" w14:textId="77777777" w:rsidTr="00543727">
        <w:trPr>
          <w:trHeight w:val="720"/>
        </w:trPr>
        <w:tc>
          <w:tcPr>
            <w:tcW w:w="2994" w:type="dxa"/>
            <w:shd w:val="clear" w:color="auto" w:fill="DEEAF6" w:themeFill="accent1" w:themeFillTint="33"/>
            <w:hideMark/>
          </w:tcPr>
          <w:p w14:paraId="48C57CD9" w14:textId="77777777"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Oblicity</w:t>
            </w:r>
          </w:p>
        </w:tc>
        <w:tc>
          <w:tcPr>
            <w:tcW w:w="7633" w:type="dxa"/>
            <w:shd w:val="clear" w:color="auto" w:fill="auto"/>
            <w:hideMark/>
          </w:tcPr>
          <w:p w14:paraId="5B53601B" w14:textId="360F977C" w:rsidR="00323322" w:rsidRPr="00527EFB" w:rsidRDefault="00323322" w:rsidP="00D375E5">
            <w:pPr>
              <w:spacing w:before="0"/>
              <w:rPr>
                <w:color w:val="000000"/>
                <w:sz w:val="20"/>
                <w:szCs w:val="20"/>
                <w:lang w:eastAsia="en-US"/>
              </w:rPr>
            </w:pPr>
            <w:r w:rsidRPr="00527EFB">
              <w:rPr>
                <w:color w:val="000000"/>
                <w:sz w:val="20"/>
                <w:szCs w:val="20"/>
                <w:lang w:eastAsia="en-US"/>
              </w:rPr>
              <w:t>Algatus on positiivne, aga tundmatu kartuses tuleks vältida ülereguleerimist.</w:t>
            </w:r>
            <w:r w:rsidRPr="00527EFB">
              <w:rPr>
                <w:color w:val="000000"/>
                <w:sz w:val="20"/>
                <w:szCs w:val="20"/>
                <w:lang w:eastAsia="en-US"/>
              </w:rPr>
              <w:br/>
              <w:t>Tokeni mõiste tuleks paremini lahti seletada - nt mis on bitcoin?</w:t>
            </w:r>
          </w:p>
        </w:tc>
      </w:tr>
      <w:tr w:rsidR="00323322" w:rsidRPr="00527EFB" w14:paraId="6442FA17" w14:textId="77777777" w:rsidTr="00543727">
        <w:trPr>
          <w:trHeight w:val="480"/>
        </w:trPr>
        <w:tc>
          <w:tcPr>
            <w:tcW w:w="2994" w:type="dxa"/>
            <w:shd w:val="clear" w:color="auto" w:fill="DEEAF6" w:themeFill="accent1" w:themeFillTint="33"/>
            <w:hideMark/>
          </w:tcPr>
          <w:p w14:paraId="559FF756" w14:textId="21E8145A"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Eesti Pangaliit</w:t>
            </w:r>
          </w:p>
        </w:tc>
        <w:tc>
          <w:tcPr>
            <w:tcW w:w="7633" w:type="dxa"/>
            <w:shd w:val="clear" w:color="auto" w:fill="auto"/>
            <w:hideMark/>
          </w:tcPr>
          <w:p w14:paraId="0F3331FD" w14:textId="3A116464" w:rsidR="00323322" w:rsidRPr="00527EFB" w:rsidRDefault="00323322" w:rsidP="00D375E5">
            <w:pPr>
              <w:spacing w:before="0"/>
              <w:rPr>
                <w:color w:val="000000"/>
                <w:sz w:val="20"/>
                <w:szCs w:val="20"/>
                <w:lang w:eastAsia="en-US"/>
              </w:rPr>
            </w:pPr>
            <w:r w:rsidRPr="00527EFB">
              <w:rPr>
                <w:color w:val="000000"/>
                <w:sz w:val="20"/>
                <w:szCs w:val="20"/>
                <w:lang w:eastAsia="en-US"/>
              </w:rPr>
              <w:t>Kui krüptovara vastab väärtpaberi või e-raha tunnustele, siis tuleks neid sellena käsitleda, mitte luua uut raamistikku. Vastasel juhul kerkivad esile uued varaklassid.</w:t>
            </w:r>
          </w:p>
          <w:p w14:paraId="74E0845E" w14:textId="77777777" w:rsidR="00323322" w:rsidRPr="00527EFB" w:rsidRDefault="00323322" w:rsidP="00D375E5">
            <w:pPr>
              <w:spacing w:before="0"/>
              <w:rPr>
                <w:color w:val="000000"/>
                <w:sz w:val="20"/>
                <w:szCs w:val="20"/>
                <w:lang w:eastAsia="en-US"/>
              </w:rPr>
            </w:pPr>
          </w:p>
        </w:tc>
      </w:tr>
      <w:tr w:rsidR="00323322" w:rsidRPr="00527EFB" w14:paraId="7C9D9749" w14:textId="77777777" w:rsidTr="00543727">
        <w:trPr>
          <w:trHeight w:val="720"/>
        </w:trPr>
        <w:tc>
          <w:tcPr>
            <w:tcW w:w="2994" w:type="dxa"/>
            <w:shd w:val="clear" w:color="auto" w:fill="DEEAF6" w:themeFill="accent1" w:themeFillTint="33"/>
            <w:hideMark/>
          </w:tcPr>
          <w:p w14:paraId="78812C94" w14:textId="3BF13E24"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Rahapesu Andmebüroo</w:t>
            </w:r>
          </w:p>
        </w:tc>
        <w:tc>
          <w:tcPr>
            <w:tcW w:w="7633" w:type="dxa"/>
            <w:shd w:val="clear" w:color="auto" w:fill="auto"/>
            <w:hideMark/>
          </w:tcPr>
          <w:p w14:paraId="5F619750" w14:textId="77777777" w:rsidR="00323322" w:rsidRPr="00527EFB" w:rsidRDefault="00323322" w:rsidP="00D375E5">
            <w:pPr>
              <w:spacing w:before="0"/>
              <w:rPr>
                <w:color w:val="000000"/>
                <w:sz w:val="20"/>
                <w:szCs w:val="20"/>
                <w:lang w:eastAsia="en-US"/>
              </w:rPr>
            </w:pPr>
            <w:r w:rsidRPr="00527EFB">
              <w:rPr>
                <w:color w:val="000000"/>
                <w:sz w:val="20"/>
                <w:szCs w:val="20"/>
                <w:lang w:eastAsia="en-US"/>
              </w:rPr>
              <w:t>Toetab krüptoühingute tegevuse efektiivsemat ja täpsemat reguleerimist. Aga nende käsitlus VTK-s on vähene ja vajab täiendavat analüüsi. Võiks olla üks suur pakett kogu krüptovarade sektori jaoks.</w:t>
            </w:r>
          </w:p>
          <w:p w14:paraId="0E981D02" w14:textId="77777777" w:rsidR="00323322" w:rsidRPr="00527EFB" w:rsidRDefault="00323322" w:rsidP="00D375E5">
            <w:pPr>
              <w:spacing w:before="0"/>
              <w:rPr>
                <w:color w:val="000000"/>
                <w:sz w:val="20"/>
                <w:szCs w:val="20"/>
                <w:lang w:eastAsia="en-US"/>
              </w:rPr>
            </w:pPr>
          </w:p>
        </w:tc>
      </w:tr>
      <w:tr w:rsidR="00323322" w:rsidRPr="00527EFB" w14:paraId="4A5E2F7A" w14:textId="77777777" w:rsidTr="00543727">
        <w:trPr>
          <w:trHeight w:val="480"/>
        </w:trPr>
        <w:tc>
          <w:tcPr>
            <w:tcW w:w="2994" w:type="dxa"/>
            <w:shd w:val="clear" w:color="auto" w:fill="DEEAF6" w:themeFill="accent1" w:themeFillTint="33"/>
            <w:hideMark/>
          </w:tcPr>
          <w:p w14:paraId="44C1C940" w14:textId="77777777"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Notarite Koda</w:t>
            </w:r>
          </w:p>
        </w:tc>
        <w:tc>
          <w:tcPr>
            <w:tcW w:w="7633" w:type="dxa"/>
            <w:shd w:val="clear" w:color="auto" w:fill="auto"/>
            <w:hideMark/>
          </w:tcPr>
          <w:p w14:paraId="30E9CF8F" w14:textId="6D1EF949" w:rsidR="00323322" w:rsidRPr="00527EFB" w:rsidRDefault="00323322" w:rsidP="00D375E5">
            <w:pPr>
              <w:spacing w:before="0"/>
              <w:rPr>
                <w:color w:val="000000"/>
                <w:sz w:val="20"/>
                <w:szCs w:val="20"/>
                <w:lang w:eastAsia="en-US"/>
              </w:rPr>
            </w:pPr>
            <w:r w:rsidRPr="00527EFB">
              <w:rPr>
                <w:color w:val="000000"/>
                <w:sz w:val="20"/>
                <w:szCs w:val="20"/>
                <w:lang w:eastAsia="en-US"/>
              </w:rPr>
              <w:t>Suur osa tagasisidest keskendub registripidamisele ja OÜ osa võõrandamise tehingute vorminõuete kaotamisele. Notarite Kojale jääb arusaamatuks, miks peaks osanike andmete registreerimise tehnoloogia vahetumine tooma kaasa tehingute vorminõude leevendumise.</w:t>
            </w:r>
          </w:p>
          <w:p w14:paraId="59526E4C" w14:textId="77777777" w:rsidR="00323322" w:rsidRPr="00527EFB" w:rsidRDefault="00323322" w:rsidP="00D375E5">
            <w:pPr>
              <w:spacing w:before="0"/>
              <w:rPr>
                <w:color w:val="000000"/>
                <w:sz w:val="20"/>
                <w:szCs w:val="20"/>
                <w:lang w:eastAsia="en-US"/>
              </w:rPr>
            </w:pPr>
          </w:p>
        </w:tc>
      </w:tr>
      <w:tr w:rsidR="00323322" w:rsidRPr="00527EFB" w14:paraId="7F327A19" w14:textId="77777777" w:rsidTr="00543727">
        <w:trPr>
          <w:trHeight w:val="720"/>
        </w:trPr>
        <w:tc>
          <w:tcPr>
            <w:tcW w:w="2994" w:type="dxa"/>
            <w:shd w:val="clear" w:color="auto" w:fill="DEEAF6" w:themeFill="accent1" w:themeFillTint="33"/>
          </w:tcPr>
          <w:p w14:paraId="1A503B4E" w14:textId="339DD653"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Blockchain4Europe</w:t>
            </w:r>
          </w:p>
        </w:tc>
        <w:tc>
          <w:tcPr>
            <w:tcW w:w="7633" w:type="dxa"/>
            <w:shd w:val="clear" w:color="auto" w:fill="auto"/>
            <w:hideMark/>
          </w:tcPr>
          <w:p w14:paraId="14CC6AAE" w14:textId="05D93A59" w:rsidR="00323322" w:rsidRPr="00527EFB" w:rsidRDefault="00323322" w:rsidP="00D375E5">
            <w:pPr>
              <w:spacing w:before="0"/>
              <w:rPr>
                <w:color w:val="000000"/>
                <w:sz w:val="20"/>
                <w:szCs w:val="20"/>
                <w:lang w:eastAsia="en-US"/>
              </w:rPr>
            </w:pPr>
            <w:r w:rsidRPr="00527EFB">
              <w:rPr>
                <w:color w:val="000000"/>
                <w:sz w:val="20"/>
                <w:szCs w:val="20"/>
                <w:lang w:eastAsia="en-US"/>
              </w:rPr>
              <w:t>Soovitavad tehnoloogia-neutraalset lähenemist ja muuta olemasolevat õigust, mitte luua uut seadust.</w:t>
            </w:r>
          </w:p>
          <w:p w14:paraId="12FFECF7" w14:textId="77777777" w:rsidR="00323322" w:rsidRPr="00527EFB" w:rsidRDefault="00323322" w:rsidP="00D375E5">
            <w:pPr>
              <w:spacing w:before="0"/>
              <w:rPr>
                <w:color w:val="000000"/>
                <w:sz w:val="20"/>
                <w:szCs w:val="20"/>
                <w:lang w:eastAsia="en-US"/>
              </w:rPr>
            </w:pPr>
          </w:p>
        </w:tc>
      </w:tr>
      <w:tr w:rsidR="00323322" w:rsidRPr="00527EFB" w14:paraId="5C4C7608" w14:textId="77777777" w:rsidTr="00543727">
        <w:trPr>
          <w:trHeight w:val="720"/>
        </w:trPr>
        <w:tc>
          <w:tcPr>
            <w:tcW w:w="2994" w:type="dxa"/>
            <w:shd w:val="clear" w:color="auto" w:fill="DEEAF6" w:themeFill="accent1" w:themeFillTint="33"/>
            <w:hideMark/>
          </w:tcPr>
          <w:p w14:paraId="4E82FE07" w14:textId="3BF9053D"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Majandus- ja Kommunikatsiooniministeerium</w:t>
            </w:r>
          </w:p>
        </w:tc>
        <w:tc>
          <w:tcPr>
            <w:tcW w:w="7633" w:type="dxa"/>
            <w:shd w:val="clear" w:color="auto" w:fill="auto"/>
            <w:hideMark/>
          </w:tcPr>
          <w:p w14:paraId="012564DD" w14:textId="77777777" w:rsidR="00323322" w:rsidRPr="00527EFB" w:rsidRDefault="00323322" w:rsidP="00D375E5">
            <w:pPr>
              <w:spacing w:before="0"/>
              <w:rPr>
                <w:color w:val="000000"/>
                <w:sz w:val="20"/>
                <w:szCs w:val="20"/>
                <w:lang w:eastAsia="en-US"/>
              </w:rPr>
            </w:pPr>
            <w:r w:rsidRPr="00527EFB">
              <w:rPr>
                <w:color w:val="000000"/>
                <w:sz w:val="20"/>
                <w:szCs w:val="20"/>
                <w:lang w:eastAsia="en-US"/>
              </w:rPr>
              <w:t>Üldiselt on algatus tervitatav. Vaja oleks laiemat selgitust (nt juhendi kujul), et millega on krüptovarade puhul tegu ja kes võivad sellel alal tegutseda, millised on piirangud, riskid ja ohud.</w:t>
            </w:r>
          </w:p>
          <w:p w14:paraId="12583095" w14:textId="77777777" w:rsidR="00323322" w:rsidRPr="00527EFB" w:rsidRDefault="00323322" w:rsidP="00D375E5">
            <w:pPr>
              <w:spacing w:before="0"/>
              <w:rPr>
                <w:color w:val="000000"/>
                <w:sz w:val="20"/>
                <w:szCs w:val="20"/>
                <w:lang w:eastAsia="en-US"/>
              </w:rPr>
            </w:pPr>
          </w:p>
        </w:tc>
      </w:tr>
      <w:tr w:rsidR="00323322" w:rsidRPr="00527EFB" w14:paraId="4D952CF9" w14:textId="77777777" w:rsidTr="00543727">
        <w:trPr>
          <w:trHeight w:val="300"/>
        </w:trPr>
        <w:tc>
          <w:tcPr>
            <w:tcW w:w="2994" w:type="dxa"/>
            <w:shd w:val="clear" w:color="auto" w:fill="DEEAF6" w:themeFill="accent1" w:themeFillTint="33"/>
            <w:hideMark/>
          </w:tcPr>
          <w:p w14:paraId="7C8FA690" w14:textId="77777777" w:rsidR="00323322" w:rsidRPr="00527EFB" w:rsidRDefault="00323322" w:rsidP="00D375E5">
            <w:pPr>
              <w:spacing w:before="0"/>
              <w:jc w:val="left"/>
              <w:rPr>
                <w:b/>
                <w:bCs/>
                <w:color w:val="000000"/>
                <w:sz w:val="20"/>
                <w:szCs w:val="20"/>
                <w:lang w:eastAsia="en-US"/>
              </w:rPr>
            </w:pPr>
            <w:r w:rsidRPr="00527EFB">
              <w:rPr>
                <w:b/>
                <w:bCs/>
                <w:color w:val="000000"/>
                <w:sz w:val="20"/>
                <w:szCs w:val="20"/>
                <w:lang w:eastAsia="en-US"/>
              </w:rPr>
              <w:t>FinanceEstonia</w:t>
            </w:r>
          </w:p>
        </w:tc>
        <w:tc>
          <w:tcPr>
            <w:tcW w:w="7633" w:type="dxa"/>
            <w:shd w:val="clear" w:color="auto" w:fill="FFFFFF" w:themeFill="background1"/>
            <w:hideMark/>
          </w:tcPr>
          <w:p w14:paraId="3DD51FBF" w14:textId="0BB5D155" w:rsidR="00323322" w:rsidRPr="00527EFB" w:rsidRDefault="00323322" w:rsidP="00D375E5">
            <w:pPr>
              <w:spacing w:before="0"/>
              <w:rPr>
                <w:color w:val="000000"/>
                <w:sz w:val="20"/>
                <w:szCs w:val="20"/>
                <w:lang w:eastAsia="en-US"/>
              </w:rPr>
            </w:pPr>
            <w:r w:rsidRPr="00527EFB">
              <w:rPr>
                <w:color w:val="000000"/>
                <w:sz w:val="20"/>
                <w:szCs w:val="20"/>
                <w:lang w:eastAsia="en-US"/>
              </w:rPr>
              <w:t>Mär</w:t>
            </w:r>
            <w:r>
              <w:rPr>
                <w:color w:val="000000"/>
                <w:sz w:val="20"/>
                <w:szCs w:val="20"/>
                <w:lang w:eastAsia="en-US"/>
              </w:rPr>
              <w:t>g</w:t>
            </w:r>
            <w:r w:rsidRPr="00527EFB">
              <w:rPr>
                <w:color w:val="000000"/>
                <w:sz w:val="20"/>
                <w:szCs w:val="20"/>
                <w:lang w:eastAsia="en-US"/>
              </w:rPr>
              <w:t>ivad, et probleem on olemas ja esmast tähelepanu vajavad:</w:t>
            </w:r>
          </w:p>
          <w:p w14:paraId="342FB808" w14:textId="555858CC" w:rsidR="00323322" w:rsidRPr="00527EFB" w:rsidRDefault="00323322" w:rsidP="00D375E5">
            <w:pPr>
              <w:spacing w:before="0"/>
              <w:rPr>
                <w:color w:val="000000"/>
                <w:sz w:val="20"/>
                <w:szCs w:val="20"/>
                <w:lang w:eastAsia="en-US"/>
              </w:rPr>
            </w:pPr>
            <w:r w:rsidRPr="00527EFB">
              <w:rPr>
                <w:color w:val="000000"/>
                <w:sz w:val="20"/>
                <w:szCs w:val="20"/>
                <w:lang w:eastAsia="en-US"/>
              </w:rPr>
              <w:t>1) Tarbijate/investorite kaitse asjakohase järelevalve läbi. Võtta eeskuju ühisrahastusest, kus tuleb EL regulatsioon, kus pigem hoiatatakse ja koolitatakse. Krüpto puhul sarnaselt delegeerida koolitamiskohustus kapitalikaasajatele;</w:t>
            </w:r>
          </w:p>
          <w:p w14:paraId="25B3D5FD" w14:textId="59BC8718" w:rsidR="00323322" w:rsidRPr="00527EFB" w:rsidRDefault="00323322" w:rsidP="00D375E5">
            <w:pPr>
              <w:spacing w:before="0"/>
              <w:rPr>
                <w:color w:val="000000"/>
                <w:sz w:val="20"/>
                <w:szCs w:val="20"/>
                <w:lang w:eastAsia="en-US"/>
              </w:rPr>
            </w:pPr>
            <w:r w:rsidRPr="00527EFB">
              <w:rPr>
                <w:color w:val="000000"/>
                <w:sz w:val="20"/>
                <w:szCs w:val="20"/>
                <w:lang w:eastAsia="en-US"/>
              </w:rPr>
              <w:t xml:space="preserve">2) </w:t>
            </w:r>
            <w:r>
              <w:rPr>
                <w:color w:val="000000"/>
                <w:sz w:val="20"/>
                <w:szCs w:val="20"/>
                <w:lang w:eastAsia="en-US"/>
              </w:rPr>
              <w:t xml:space="preserve">Tuleks reguleerida </w:t>
            </w:r>
            <w:r w:rsidRPr="00527EFB">
              <w:rPr>
                <w:color w:val="000000"/>
                <w:sz w:val="20"/>
                <w:szCs w:val="20"/>
                <w:lang w:eastAsia="en-US"/>
              </w:rPr>
              <w:t>STO'</w:t>
            </w:r>
            <w:r>
              <w:rPr>
                <w:color w:val="000000"/>
                <w:sz w:val="20"/>
                <w:szCs w:val="20"/>
                <w:lang w:eastAsia="en-US"/>
              </w:rPr>
              <w:t>si</w:t>
            </w:r>
            <w:r w:rsidRPr="00527EFB">
              <w:rPr>
                <w:color w:val="000000"/>
                <w:sz w:val="20"/>
                <w:szCs w:val="20"/>
                <w:lang w:eastAsia="en-US"/>
              </w:rPr>
              <w:t>d, mitte ICO'</w:t>
            </w:r>
            <w:r>
              <w:rPr>
                <w:color w:val="000000"/>
                <w:sz w:val="20"/>
                <w:szCs w:val="20"/>
                <w:lang w:eastAsia="en-US"/>
              </w:rPr>
              <w:t>si</w:t>
            </w:r>
            <w:r w:rsidRPr="00527EFB">
              <w:rPr>
                <w:color w:val="000000"/>
                <w:sz w:val="20"/>
                <w:szCs w:val="20"/>
                <w:lang w:eastAsia="en-US"/>
              </w:rPr>
              <w:t>d;</w:t>
            </w:r>
          </w:p>
          <w:p w14:paraId="7F24FE88" w14:textId="6AB7FC96" w:rsidR="00323322" w:rsidRPr="00527EFB" w:rsidRDefault="00323322" w:rsidP="00D375E5">
            <w:pPr>
              <w:spacing w:before="0"/>
              <w:rPr>
                <w:color w:val="000000"/>
                <w:sz w:val="20"/>
                <w:szCs w:val="20"/>
                <w:lang w:eastAsia="en-US"/>
              </w:rPr>
            </w:pPr>
            <w:r w:rsidRPr="00527EFB">
              <w:rPr>
                <w:color w:val="000000"/>
                <w:sz w:val="20"/>
                <w:szCs w:val="20"/>
                <w:lang w:eastAsia="en-US"/>
              </w:rPr>
              <w:t>3) Krüpto-fiat börside ja rahakotiteenuste pakkujate regulatsioon;</w:t>
            </w:r>
          </w:p>
          <w:p w14:paraId="6D56E570" w14:textId="77777777" w:rsidR="00323322" w:rsidRPr="00527EFB" w:rsidRDefault="00323322" w:rsidP="00D375E5">
            <w:pPr>
              <w:spacing w:before="0"/>
              <w:rPr>
                <w:color w:val="000000"/>
                <w:sz w:val="20"/>
                <w:szCs w:val="20"/>
                <w:lang w:eastAsia="en-US"/>
              </w:rPr>
            </w:pPr>
            <w:r w:rsidRPr="00527EFB">
              <w:rPr>
                <w:color w:val="000000"/>
                <w:sz w:val="20"/>
                <w:szCs w:val="20"/>
                <w:lang w:eastAsia="en-US"/>
              </w:rPr>
              <w:t>4) Ei pea tingimata seadusi looma, saab ka juhendite ja tõlgendustega.</w:t>
            </w:r>
          </w:p>
          <w:p w14:paraId="2DF5E66A" w14:textId="4945AD61" w:rsidR="00323322" w:rsidRPr="00527EFB" w:rsidRDefault="00323322" w:rsidP="00D375E5">
            <w:pPr>
              <w:spacing w:before="0"/>
              <w:rPr>
                <w:color w:val="000000"/>
                <w:sz w:val="20"/>
                <w:szCs w:val="20"/>
                <w:lang w:eastAsia="en-US"/>
              </w:rPr>
            </w:pPr>
          </w:p>
        </w:tc>
      </w:tr>
    </w:tbl>
    <w:p w14:paraId="5A5DD56C" w14:textId="77777777" w:rsidR="0025116F" w:rsidRPr="005D3D7B" w:rsidRDefault="0025116F" w:rsidP="00D375E5">
      <w:pPr>
        <w:pStyle w:val="vk"/>
        <w:jc w:val="both"/>
        <w:rPr>
          <w:sz w:val="22"/>
          <w:szCs w:val="22"/>
          <w:lang w:eastAsia="en-US"/>
        </w:rPr>
      </w:pPr>
    </w:p>
    <w:sectPr w:rsidR="0025116F" w:rsidRPr="005D3D7B" w:rsidSect="0025116F">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32E0" w14:textId="77777777" w:rsidR="00A14C25" w:rsidRDefault="00A14C25" w:rsidP="008C3E70">
      <w:pPr>
        <w:spacing w:before="0"/>
      </w:pPr>
      <w:r>
        <w:separator/>
      </w:r>
    </w:p>
  </w:endnote>
  <w:endnote w:type="continuationSeparator" w:id="0">
    <w:p w14:paraId="415D61A7" w14:textId="77777777" w:rsidR="00A14C25" w:rsidRDefault="00A14C25" w:rsidP="008C3E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BA"/>
    <w:family w:val="auto"/>
    <w:notTrueType/>
    <w:pitch w:val="default"/>
    <w:sig w:usb0="00000087" w:usb1="00000000" w:usb2="00000000" w:usb3="00000000" w:csb0="00000089"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ahnschrift">
    <w:panose1 w:val="020B0502040204020203"/>
    <w:charset w:val="BA"/>
    <w:family w:val="swiss"/>
    <w:pitch w:val="variable"/>
    <w:sig w:usb0="A00002C7" w:usb1="00000002"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97D" w14:textId="3BE02270" w:rsidR="00A14C25" w:rsidRDefault="00A14C25" w:rsidP="005A55CA">
    <w:pPr>
      <w:jc w:val="center"/>
    </w:pPr>
    <w:r w:rsidRPr="005A55CA">
      <w:rPr>
        <w:sz w:val="22"/>
        <w:szCs w:val="22"/>
      </w:rPr>
      <w:fldChar w:fldCharType="begin"/>
    </w:r>
    <w:r w:rsidRPr="005A55CA">
      <w:rPr>
        <w:sz w:val="22"/>
        <w:szCs w:val="22"/>
      </w:rPr>
      <w:instrText xml:space="preserve"> PAGE   \* MERGEFORMAT </w:instrText>
    </w:r>
    <w:r w:rsidRPr="005A55CA">
      <w:rPr>
        <w:sz w:val="22"/>
        <w:szCs w:val="22"/>
      </w:rPr>
      <w:fldChar w:fldCharType="separate"/>
    </w:r>
    <w:r>
      <w:rPr>
        <w:noProof/>
        <w:sz w:val="22"/>
        <w:szCs w:val="22"/>
      </w:rPr>
      <w:t>104</w:t>
    </w:r>
    <w:r w:rsidRPr="005A55CA">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8E41" w14:textId="77777777" w:rsidR="00A14C25" w:rsidRDefault="00A14C25" w:rsidP="008C3E70">
      <w:pPr>
        <w:spacing w:before="0"/>
      </w:pPr>
      <w:r>
        <w:separator/>
      </w:r>
    </w:p>
  </w:footnote>
  <w:footnote w:type="continuationSeparator" w:id="0">
    <w:p w14:paraId="681EC91E" w14:textId="77777777" w:rsidR="00A14C25" w:rsidRDefault="00A14C25" w:rsidP="008C3E70">
      <w:pPr>
        <w:spacing w:before="0"/>
      </w:pPr>
      <w:r>
        <w:continuationSeparator/>
      </w:r>
    </w:p>
  </w:footnote>
  <w:footnote w:id="1">
    <w:p w14:paraId="48B6A36A" w14:textId="77777777" w:rsidR="005508E5" w:rsidRPr="003638C4" w:rsidRDefault="005508E5" w:rsidP="005508E5">
      <w:pPr>
        <w:tabs>
          <w:tab w:val="left" w:pos="0"/>
        </w:tabs>
        <w:rPr>
          <w:sz w:val="18"/>
          <w:szCs w:val="18"/>
        </w:rPr>
      </w:pPr>
      <w:r w:rsidRPr="003638C4">
        <w:rPr>
          <w:rFonts w:eastAsiaTheme="minorEastAsia"/>
          <w:sz w:val="18"/>
          <w:szCs w:val="18"/>
        </w:rPr>
        <w:footnoteRef/>
      </w:r>
      <w:r w:rsidRPr="003638C4">
        <w:rPr>
          <w:sz w:val="18"/>
          <w:szCs w:val="18"/>
        </w:rPr>
        <w:t xml:space="preserve"> </w:t>
      </w:r>
      <w:r>
        <w:rPr>
          <w:sz w:val="18"/>
          <w:szCs w:val="18"/>
        </w:rPr>
        <w:t xml:space="preserve">Vt 2021. a. lõpus kooskõlastamisele esitatud eelnõu versiooni siit: </w:t>
      </w:r>
      <w:r w:rsidRPr="003638C4">
        <w:rPr>
          <w:sz w:val="18"/>
          <w:szCs w:val="18"/>
        </w:rPr>
        <w:t>https://eelnoud.valitsus.ee/main/mount/docList/aeedc8dd-3e51-4e70-8fab-e8c75cd71053</w:t>
      </w:r>
    </w:p>
  </w:footnote>
  <w:footnote w:id="2">
    <w:p w14:paraId="21A7F91E" w14:textId="3F25EBBF" w:rsidR="005508E5" w:rsidRPr="0005585D" w:rsidRDefault="005508E5" w:rsidP="005508E5">
      <w:pPr>
        <w:tabs>
          <w:tab w:val="left" w:pos="426"/>
          <w:tab w:val="left" w:pos="3969"/>
        </w:tabs>
        <w:rPr>
          <w:sz w:val="18"/>
          <w:szCs w:val="18"/>
        </w:rPr>
      </w:pPr>
      <w:r w:rsidRPr="00A3112A">
        <w:rPr>
          <w:rFonts w:eastAsiaTheme="minorEastAsia"/>
          <w:sz w:val="18"/>
          <w:szCs w:val="18"/>
          <w:vertAlign w:val="superscript"/>
        </w:rPr>
        <w:footnoteRef/>
      </w:r>
      <w:r w:rsidRPr="004F01BF" w:rsidDel="00493462">
        <w:rPr>
          <w:sz w:val="18"/>
          <w:szCs w:val="18"/>
        </w:rPr>
        <w:t xml:space="preserve"> </w:t>
      </w:r>
      <w:r w:rsidRPr="004F01BF" w:rsidDel="00F529B5">
        <w:rPr>
          <w:sz w:val="18"/>
          <w:szCs w:val="18"/>
        </w:rPr>
        <w:t xml:space="preserve"> </w:t>
      </w:r>
      <w:hyperlink r:id="rId1" w:history="1">
        <w:r w:rsidR="00A3112A" w:rsidRPr="00635BFF">
          <w:rPr>
            <w:rStyle w:val="Hyperlink"/>
            <w:sz w:val="18"/>
            <w:szCs w:val="18"/>
          </w:rPr>
          <w:t>h</w:t>
        </w:r>
        <w:r w:rsidR="00A3112A" w:rsidRPr="00635BFF">
          <w:rPr>
            <w:rStyle w:val="Hyperlink"/>
            <w:bCs/>
            <w:sz w:val="18"/>
            <w:szCs w:val="18"/>
          </w:rPr>
          <w:t>ttps://www.fin.ee/media/5681/download</w:t>
        </w:r>
        <w:r w:rsidR="00A3112A" w:rsidRPr="00635BFF" w:rsidDel="00F529B5">
          <w:rPr>
            <w:rStyle w:val="Hyperlink"/>
            <w:bCs/>
            <w:sz w:val="18"/>
            <w:szCs w:val="18"/>
          </w:rPr>
          <w:t>https://www.rahandusministeerium.ee/system/files_force/document_files/finantspoliitika_programm_2021-2024.pdf?download=1</w:t>
        </w:r>
      </w:hyperlink>
      <w:r w:rsidR="00A3112A">
        <w:rPr>
          <w:rStyle w:val="Heading8Char"/>
          <w:b w:val="0"/>
          <w:bCs/>
          <w:sz w:val="18"/>
          <w:szCs w:val="18"/>
        </w:rPr>
        <w:t xml:space="preserve"> </w:t>
      </w:r>
    </w:p>
  </w:footnote>
  <w:footnote w:id="3">
    <w:p w14:paraId="440CC50C" w14:textId="4BA509E5" w:rsidR="005508E5" w:rsidRPr="0005585D" w:rsidRDefault="005508E5" w:rsidP="005508E5">
      <w:pPr>
        <w:rPr>
          <w:sz w:val="18"/>
          <w:szCs w:val="18"/>
        </w:rPr>
      </w:pPr>
      <w:r w:rsidRPr="00A3112A">
        <w:rPr>
          <w:rFonts w:eastAsiaTheme="minorEastAsia"/>
          <w:sz w:val="18"/>
          <w:szCs w:val="18"/>
          <w:vertAlign w:val="superscript"/>
        </w:rPr>
        <w:footnoteRef/>
      </w:r>
      <w:r w:rsidRPr="007C571A">
        <w:rPr>
          <w:sz w:val="18"/>
          <w:szCs w:val="18"/>
        </w:rPr>
        <w:t xml:space="preserve"> </w:t>
      </w:r>
      <w:hyperlink r:id="rId2" w:history="1">
        <w:r w:rsidR="00A3112A" w:rsidRPr="00635BFF">
          <w:rPr>
            <w:rStyle w:val="Hyperlink"/>
            <w:sz w:val="18"/>
            <w:szCs w:val="18"/>
          </w:rPr>
          <w:t>https://www.valitsus.ee/valitsuse-eesmargid-ja-tegevused/valitsemise-alused/tegevusprogramm</w:t>
        </w:r>
      </w:hyperlink>
      <w:r w:rsidR="00A3112A">
        <w:rPr>
          <w:sz w:val="18"/>
          <w:szCs w:val="18"/>
        </w:rPr>
        <w:t xml:space="preserve"> </w:t>
      </w:r>
    </w:p>
  </w:footnote>
  <w:footnote w:id="4">
    <w:p w14:paraId="38F02C56" w14:textId="5BEBAE04" w:rsidR="005508E5" w:rsidRPr="00680B59" w:rsidRDefault="005508E5" w:rsidP="005508E5">
      <w:pPr>
        <w:rPr>
          <w:sz w:val="18"/>
          <w:szCs w:val="18"/>
        </w:rPr>
      </w:pPr>
      <w:r w:rsidRPr="00A3112A">
        <w:rPr>
          <w:rFonts w:eastAsiaTheme="minorEastAsia"/>
          <w:sz w:val="18"/>
          <w:szCs w:val="18"/>
          <w:vertAlign w:val="superscript"/>
        </w:rPr>
        <w:footnoteRef/>
      </w:r>
      <w:r w:rsidRPr="00680B59">
        <w:rPr>
          <w:sz w:val="18"/>
          <w:szCs w:val="18"/>
        </w:rPr>
        <w:t xml:space="preserve"> </w:t>
      </w:r>
      <w:hyperlink r:id="rId3" w:history="1">
        <w:r w:rsidR="00A3112A" w:rsidRPr="00635BFF">
          <w:rPr>
            <w:rStyle w:val="Hyperlink"/>
            <w:sz w:val="18"/>
            <w:szCs w:val="18"/>
          </w:rPr>
          <w:t>https://www.consilium.europa.eu/en/press/press-releases/2022/06/30/digital-finance-agreement-reached-on-european-crypto-assets-regulation-mica/</w:t>
        </w:r>
      </w:hyperlink>
      <w:r w:rsidR="00A3112A">
        <w:rPr>
          <w:sz w:val="18"/>
          <w:szCs w:val="18"/>
        </w:rPr>
        <w:t xml:space="preserve"> </w:t>
      </w:r>
    </w:p>
  </w:footnote>
  <w:footnote w:id="5">
    <w:p w14:paraId="70E1A3F3" w14:textId="62B4E450" w:rsidR="005508E5" w:rsidRPr="00A3112A" w:rsidRDefault="005508E5" w:rsidP="005508E5">
      <w:pPr>
        <w:tabs>
          <w:tab w:val="left" w:pos="426"/>
          <w:tab w:val="left" w:pos="3969"/>
        </w:tabs>
        <w:rPr>
          <w:b/>
          <w:bCs/>
          <w:sz w:val="18"/>
          <w:szCs w:val="18"/>
        </w:rPr>
      </w:pPr>
      <w:r w:rsidRPr="00A3112A">
        <w:rPr>
          <w:rFonts w:eastAsiaTheme="minorEastAsia"/>
          <w:sz w:val="18"/>
          <w:szCs w:val="18"/>
          <w:vertAlign w:val="superscript"/>
        </w:rPr>
        <w:footnoteRef/>
      </w:r>
      <w:r w:rsidRPr="00A3112A">
        <w:rPr>
          <w:sz w:val="18"/>
          <w:szCs w:val="18"/>
          <w:vertAlign w:val="superscript"/>
        </w:rPr>
        <w:t xml:space="preserve"> </w:t>
      </w:r>
      <w:hyperlink r:id="rId4" w:history="1">
        <w:r w:rsidRPr="00A3112A">
          <w:rPr>
            <w:rStyle w:val="Heading8Char"/>
            <w:b w:val="0"/>
            <w:bCs/>
            <w:sz w:val="18"/>
            <w:szCs w:val="18"/>
          </w:rPr>
          <w:t>https://www.eestipank.ee/publikatsioon/finantsstabiilsuse-ulevaade/2018/finantsstabiilsuse-ulevaade-12018</w:t>
        </w:r>
      </w:hyperlink>
      <w:r w:rsidRPr="00A3112A">
        <w:rPr>
          <w:rStyle w:val="Heading8Char"/>
          <w:b w:val="0"/>
          <w:bCs/>
          <w:color w:val="auto"/>
          <w:sz w:val="18"/>
          <w:szCs w:val="18"/>
        </w:rPr>
        <w:t>, vt lk 21</w:t>
      </w:r>
      <w:r w:rsidRPr="00A3112A">
        <w:rPr>
          <w:b/>
          <w:bCs/>
          <w:sz w:val="18"/>
          <w:szCs w:val="18"/>
        </w:rPr>
        <w:t xml:space="preserve"> </w:t>
      </w:r>
    </w:p>
  </w:footnote>
  <w:footnote w:id="6">
    <w:p w14:paraId="1B5B90C6" w14:textId="77777777" w:rsidR="005508E5" w:rsidRPr="00A3112A" w:rsidRDefault="005508E5" w:rsidP="005508E5">
      <w:pPr>
        <w:tabs>
          <w:tab w:val="left" w:pos="426"/>
          <w:tab w:val="left" w:pos="3969"/>
        </w:tabs>
        <w:rPr>
          <w:b/>
          <w:bCs/>
          <w:sz w:val="18"/>
          <w:szCs w:val="18"/>
        </w:rPr>
      </w:pPr>
      <w:r w:rsidRPr="00A3112A">
        <w:rPr>
          <w:rFonts w:eastAsiaTheme="minorEastAsia"/>
          <w:sz w:val="18"/>
          <w:szCs w:val="18"/>
          <w:vertAlign w:val="superscript"/>
        </w:rPr>
        <w:footnoteRef/>
      </w:r>
      <w:r w:rsidRPr="00A3112A">
        <w:rPr>
          <w:b/>
          <w:bCs/>
          <w:sz w:val="18"/>
          <w:szCs w:val="18"/>
        </w:rPr>
        <w:t xml:space="preserve"> </w:t>
      </w:r>
      <w:hyperlink r:id="rId5" w:history="1">
        <w:r w:rsidRPr="00A3112A">
          <w:rPr>
            <w:rStyle w:val="Heading8Char"/>
            <w:b w:val="0"/>
            <w:bCs/>
            <w:sz w:val="18"/>
            <w:szCs w:val="18"/>
          </w:rPr>
          <w:t>https://www.eestipank.ee/publikatsioon/finantsstabiilsuse-ulevaade/2020/finantsstabiilsuse-ulevaade-12020</w:t>
        </w:r>
      </w:hyperlink>
      <w:r w:rsidRPr="00A3112A">
        <w:rPr>
          <w:sz w:val="18"/>
          <w:szCs w:val="18"/>
        </w:rPr>
        <w:t>, vt lk 27</w:t>
      </w:r>
    </w:p>
  </w:footnote>
  <w:footnote w:id="7">
    <w:p w14:paraId="22CDBA32" w14:textId="77777777" w:rsidR="005508E5" w:rsidRPr="00A3112A" w:rsidRDefault="005508E5" w:rsidP="005508E5">
      <w:pPr>
        <w:rPr>
          <w:b/>
          <w:bCs/>
          <w:sz w:val="18"/>
          <w:szCs w:val="18"/>
        </w:rPr>
      </w:pPr>
      <w:r w:rsidRPr="00A3112A">
        <w:rPr>
          <w:rFonts w:eastAsiaTheme="minorEastAsia"/>
          <w:b/>
          <w:bCs/>
          <w:sz w:val="18"/>
          <w:szCs w:val="18"/>
          <w:vertAlign w:val="superscript"/>
        </w:rPr>
        <w:footnoteRef/>
      </w:r>
      <w:r w:rsidRPr="00A3112A">
        <w:rPr>
          <w:b/>
          <w:bCs/>
          <w:sz w:val="18"/>
          <w:szCs w:val="18"/>
        </w:rPr>
        <w:t xml:space="preserve"> </w:t>
      </w:r>
      <w:hyperlink r:id="rId6" w:history="1">
        <w:r w:rsidRPr="00A3112A">
          <w:rPr>
            <w:rStyle w:val="Heading8Char"/>
            <w:b w:val="0"/>
            <w:bCs/>
            <w:sz w:val="18"/>
            <w:szCs w:val="18"/>
          </w:rPr>
          <w:t>https://www.fi.ee/et/uudised/finantsinspektsioon-tegi-ettepaneku-uhisrahastuse-reguleerimiseks</w:t>
        </w:r>
      </w:hyperlink>
      <w:r w:rsidRPr="00A3112A">
        <w:rPr>
          <w:b/>
          <w:bCs/>
          <w:sz w:val="18"/>
          <w:szCs w:val="18"/>
        </w:rPr>
        <w:t xml:space="preserve"> </w:t>
      </w:r>
    </w:p>
  </w:footnote>
  <w:footnote w:id="8">
    <w:p w14:paraId="496CE7D4" w14:textId="77777777" w:rsidR="005508E5" w:rsidRPr="00BF5AF2" w:rsidRDefault="005508E5" w:rsidP="005508E5">
      <w:pPr>
        <w:tabs>
          <w:tab w:val="left" w:pos="284"/>
        </w:tabs>
        <w:rPr>
          <w:sz w:val="18"/>
          <w:szCs w:val="18"/>
        </w:rPr>
      </w:pPr>
      <w:r w:rsidRPr="00A3112A">
        <w:rPr>
          <w:rFonts w:eastAsiaTheme="minorEastAsia"/>
          <w:sz w:val="18"/>
          <w:szCs w:val="18"/>
          <w:vertAlign w:val="superscript"/>
        </w:rPr>
        <w:footnoteRef/>
      </w:r>
      <w:r w:rsidRPr="00A3112A">
        <w:rPr>
          <w:b/>
          <w:bCs/>
          <w:sz w:val="18"/>
          <w:szCs w:val="18"/>
        </w:rPr>
        <w:t xml:space="preserve"> </w:t>
      </w:r>
      <w:r w:rsidRPr="00A3112A">
        <w:rPr>
          <w:sz w:val="18"/>
          <w:szCs w:val="18"/>
        </w:rPr>
        <w:t>Krüptovarade reguleerimise väljatöötamiskavatsus</w:t>
      </w:r>
      <w:r w:rsidRPr="00A3112A">
        <w:rPr>
          <w:b/>
          <w:bCs/>
          <w:sz w:val="18"/>
          <w:szCs w:val="18"/>
        </w:rPr>
        <w:t xml:space="preserve">, </w:t>
      </w:r>
      <w:hyperlink r:id="rId7" w:history="1">
        <w:r w:rsidRPr="00A3112A">
          <w:rPr>
            <w:rStyle w:val="Heading8Char"/>
            <w:b w:val="0"/>
            <w:bCs/>
            <w:sz w:val="18"/>
            <w:szCs w:val="18"/>
          </w:rPr>
          <w:t>https://eelnoud.valitsus.ee/main/mount/docList/f2673bd9-766e-4fb0-aa8a-c11593bd1e0c</w:t>
        </w:r>
      </w:hyperlink>
      <w:r w:rsidRPr="00A3112A">
        <w:rPr>
          <w:b/>
          <w:bCs/>
          <w:sz w:val="18"/>
          <w:szCs w:val="18"/>
        </w:rPr>
        <w:t xml:space="preserve"> </w:t>
      </w:r>
      <w:r w:rsidRPr="00A3112A">
        <w:rPr>
          <w:rStyle w:val="Heading8Char"/>
          <w:b w:val="0"/>
          <w:bCs/>
          <w:color w:val="auto"/>
          <w:sz w:val="18"/>
          <w:szCs w:val="18"/>
        </w:rPr>
        <w:t xml:space="preserve">(dokumendi nr </w:t>
      </w:r>
      <w:r w:rsidRPr="00A3112A">
        <w:rPr>
          <w:sz w:val="18"/>
          <w:szCs w:val="18"/>
        </w:rPr>
        <w:t>19-1169/01); vt ka</w:t>
      </w:r>
      <w:r w:rsidRPr="00A3112A">
        <w:rPr>
          <w:b/>
          <w:bCs/>
          <w:sz w:val="18"/>
          <w:szCs w:val="18"/>
          <w:u w:val="single"/>
        </w:rPr>
        <w:t xml:space="preserve"> </w:t>
      </w:r>
      <w:r w:rsidRPr="00A3112A">
        <w:rPr>
          <w:rStyle w:val="Heading8Char"/>
          <w:b w:val="0"/>
          <w:bCs/>
          <w:sz w:val="18"/>
          <w:szCs w:val="18"/>
        </w:rPr>
        <w:t>https://www.rahandusministeerium.ee/et/uudised/rahandusministeerium-uurib-kruptovarade-reguleerimise-voimalusi</w:t>
      </w:r>
    </w:p>
  </w:footnote>
  <w:footnote w:id="9">
    <w:p w14:paraId="72069DC8" w14:textId="77777777" w:rsidR="005508E5" w:rsidRPr="000E1C84" w:rsidRDefault="005508E5" w:rsidP="005508E5">
      <w:pPr>
        <w:rPr>
          <w:sz w:val="18"/>
          <w:szCs w:val="18"/>
        </w:rPr>
      </w:pPr>
      <w:r w:rsidRPr="000E1C84">
        <w:rPr>
          <w:rFonts w:eastAsiaTheme="minorEastAsia"/>
          <w:sz w:val="18"/>
          <w:szCs w:val="18"/>
        </w:rPr>
        <w:footnoteRef/>
      </w:r>
      <w:r w:rsidRPr="000E1C84">
        <w:rPr>
          <w:sz w:val="18"/>
          <w:szCs w:val="18"/>
        </w:rPr>
        <w:t xml:space="preserve"> https://fi.ee/et/finantsinspektsioon/innovatsioonikeskus/virtuaalraha-ico</w:t>
      </w:r>
    </w:p>
  </w:footnote>
  <w:footnote w:id="10">
    <w:p w14:paraId="02E005D5" w14:textId="77777777" w:rsidR="005508E5" w:rsidRPr="00320558" w:rsidRDefault="005508E5" w:rsidP="005508E5">
      <w:pPr>
        <w:tabs>
          <w:tab w:val="left" w:pos="426"/>
          <w:tab w:val="left" w:pos="3969"/>
        </w:tabs>
        <w:spacing w:before="0"/>
        <w:rPr>
          <w:sz w:val="18"/>
          <w:szCs w:val="18"/>
        </w:rPr>
      </w:pPr>
      <w:r w:rsidRPr="00451C11">
        <w:rPr>
          <w:rFonts w:eastAsiaTheme="minorEastAsia"/>
          <w:sz w:val="18"/>
          <w:szCs w:val="18"/>
        </w:rPr>
        <w:footnoteRef/>
      </w:r>
      <w:r w:rsidRPr="00320558">
        <w:rPr>
          <w:sz w:val="18"/>
          <w:szCs w:val="18"/>
        </w:rPr>
        <w:t xml:space="preserve"> </w:t>
      </w:r>
      <w:hyperlink r:id="rId8" w:history="1">
        <w:r w:rsidRPr="00320558">
          <w:rPr>
            <w:rStyle w:val="Heading8Char"/>
            <w:sz w:val="18"/>
            <w:szCs w:val="18"/>
          </w:rPr>
          <w:t>https://eur-lex.europa.eu/legal-content/EN/TXT/?uri=celex%3A32014L0065</w:t>
        </w:r>
      </w:hyperlink>
      <w:r w:rsidRPr="00320558">
        <w:rPr>
          <w:sz w:val="18"/>
          <w:szCs w:val="18"/>
        </w:rPr>
        <w:t>, artikkel 4 p 1(44)</w:t>
      </w:r>
      <w:r>
        <w:rPr>
          <w:sz w:val="18"/>
          <w:szCs w:val="18"/>
        </w:rPr>
        <w:t>.</w:t>
      </w:r>
    </w:p>
  </w:footnote>
  <w:footnote w:id="11">
    <w:p w14:paraId="674C7FBD" w14:textId="77777777" w:rsidR="005508E5" w:rsidRPr="00020472" w:rsidRDefault="005508E5" w:rsidP="005508E5">
      <w:pPr>
        <w:rPr>
          <w:sz w:val="18"/>
          <w:szCs w:val="18"/>
        </w:rPr>
      </w:pPr>
      <w:r w:rsidRPr="00BC48C3">
        <w:rPr>
          <w:rFonts w:eastAsiaTheme="minorEastAsia"/>
          <w:sz w:val="20"/>
          <w:szCs w:val="20"/>
        </w:rPr>
        <w:footnoteRef/>
      </w:r>
      <w:r w:rsidRPr="00020472">
        <w:rPr>
          <w:sz w:val="18"/>
          <w:szCs w:val="18"/>
        </w:rPr>
        <w:t xml:space="preserve"> Krüptograafilisel kujul plokiahelas kajastatud õigusi nimetatakse inglisepäraselt eelkõige „tokeniteks". Kuivõrd selline termin on jõudnud rahvusvahelise kasutatavuse tõttu ka eesti sektoripõhisesse käibekeelde, siis ühiselt mõistetavuse huvides on viidatud käesolevas </w:t>
      </w:r>
      <w:r>
        <w:rPr>
          <w:sz w:val="18"/>
          <w:szCs w:val="18"/>
        </w:rPr>
        <w:t>seletuskirjas</w:t>
      </w:r>
      <w:r w:rsidRPr="00020472">
        <w:rPr>
          <w:sz w:val="18"/>
          <w:szCs w:val="18"/>
        </w:rPr>
        <w:t xml:space="preserve"> krüptovara kõrval ka tokenitele.</w:t>
      </w:r>
    </w:p>
  </w:footnote>
  <w:footnote w:id="12">
    <w:p w14:paraId="7CCD5AD0" w14:textId="77777777" w:rsidR="005508E5" w:rsidRPr="00320558" w:rsidRDefault="005508E5" w:rsidP="005508E5">
      <w:pPr>
        <w:tabs>
          <w:tab w:val="left" w:pos="426"/>
        </w:tabs>
        <w:rPr>
          <w:b/>
          <w:sz w:val="18"/>
          <w:szCs w:val="18"/>
        </w:rPr>
      </w:pPr>
      <w:r w:rsidRPr="00320558">
        <w:rPr>
          <w:rFonts w:eastAsiaTheme="minorEastAsia"/>
          <w:sz w:val="18"/>
          <w:szCs w:val="18"/>
        </w:rPr>
        <w:footnoteRef/>
      </w:r>
      <w:r w:rsidRPr="00320558">
        <w:rPr>
          <w:b/>
          <w:sz w:val="18"/>
          <w:szCs w:val="18"/>
        </w:rPr>
        <w:t xml:space="preserve"> </w:t>
      </w:r>
      <w:r w:rsidRPr="00320558">
        <w:rPr>
          <w:sz w:val="18"/>
          <w:szCs w:val="18"/>
        </w:rPr>
        <w:t>Allikas: Krüptovarade reguleerimise VTK, 2019.</w:t>
      </w:r>
    </w:p>
  </w:footnote>
  <w:footnote w:id="13">
    <w:p w14:paraId="6D21D6A5" w14:textId="77777777" w:rsidR="005508E5" w:rsidRPr="00D15A5B" w:rsidRDefault="005508E5" w:rsidP="005508E5">
      <w:pPr>
        <w:rPr>
          <w:sz w:val="18"/>
          <w:szCs w:val="18"/>
        </w:rPr>
      </w:pPr>
      <w:r w:rsidRPr="00451C11">
        <w:rPr>
          <w:rFonts w:eastAsiaTheme="minorEastAsia"/>
          <w:sz w:val="18"/>
          <w:szCs w:val="18"/>
        </w:rPr>
        <w:footnoteRef/>
      </w:r>
      <w:r w:rsidRPr="003C79BB">
        <w:rPr>
          <w:sz w:val="18"/>
          <w:szCs w:val="18"/>
        </w:rPr>
        <w:t xml:space="preserve"> EL õigus näeb ette täpsemad tingimused, mis juhul loetakse pakkumist avalikuks ja mis juhul mitte. </w:t>
      </w:r>
    </w:p>
  </w:footnote>
  <w:footnote w:id="14">
    <w:p w14:paraId="46346629" w14:textId="77777777" w:rsidR="005508E5" w:rsidRPr="003C79BB" w:rsidRDefault="005508E5" w:rsidP="005508E5">
      <w:pPr>
        <w:rPr>
          <w:sz w:val="18"/>
          <w:szCs w:val="18"/>
        </w:rPr>
      </w:pPr>
      <w:r w:rsidRPr="00451C11">
        <w:rPr>
          <w:rFonts w:eastAsiaTheme="minorEastAsia"/>
          <w:sz w:val="18"/>
          <w:szCs w:val="18"/>
        </w:rPr>
        <w:footnoteRef/>
      </w:r>
      <w:r w:rsidRPr="00451C11">
        <w:rPr>
          <w:b/>
          <w:sz w:val="18"/>
          <w:szCs w:val="18"/>
        </w:rPr>
        <w:t xml:space="preserve"> </w:t>
      </w:r>
      <w:hyperlink r:id="rId9" w:history="1">
        <w:r w:rsidRPr="003C79BB">
          <w:rPr>
            <w:rStyle w:val="Heading8Char"/>
            <w:sz w:val="18"/>
            <w:szCs w:val="18"/>
          </w:rPr>
          <w:t>https://eur-lex.europa.eu/legal-content/EN/TXT/?uri=CELEX%3A32017R1129</w:t>
        </w:r>
      </w:hyperlink>
      <w:r>
        <w:rPr>
          <w:sz w:val="18"/>
          <w:szCs w:val="18"/>
        </w:rPr>
        <w:t>.</w:t>
      </w:r>
    </w:p>
  </w:footnote>
  <w:footnote w:id="15">
    <w:p w14:paraId="63401439" w14:textId="77777777" w:rsidR="005508E5" w:rsidRPr="0038349B" w:rsidRDefault="005508E5" w:rsidP="005508E5">
      <w:r w:rsidRPr="00A3112A">
        <w:rPr>
          <w:rFonts w:eastAsiaTheme="minorEastAsia"/>
          <w:sz w:val="18"/>
          <w:szCs w:val="18"/>
          <w:vertAlign w:val="superscript"/>
        </w:rPr>
        <w:footnoteRef/>
      </w:r>
      <w:r w:rsidRPr="006521CB">
        <w:rPr>
          <w:b/>
          <w:sz w:val="18"/>
          <w:szCs w:val="18"/>
        </w:rPr>
        <w:t xml:space="preserve"> </w:t>
      </w:r>
      <w:r w:rsidRPr="006521CB">
        <w:rPr>
          <w:sz w:val="18"/>
          <w:szCs w:val="18"/>
        </w:rPr>
        <w:t xml:space="preserve">Allikas: OECD, </w:t>
      </w:r>
      <w:hyperlink r:id="rId10" w:history="1">
        <w:r w:rsidRPr="00A3112A">
          <w:rPr>
            <w:rStyle w:val="Heading8Char"/>
            <w:b w:val="0"/>
            <w:bCs/>
            <w:sz w:val="18"/>
            <w:szCs w:val="18"/>
          </w:rPr>
          <w:t>https://www.oecd.org/finance/ICOs-for-SME-Financing.pdf</w:t>
        </w:r>
      </w:hyperlink>
      <w:r w:rsidRPr="00A3112A">
        <w:rPr>
          <w:rStyle w:val="Heading8Char"/>
          <w:b w:val="0"/>
          <w:bCs/>
          <w:sz w:val="18"/>
          <w:szCs w:val="18"/>
        </w:rPr>
        <w:t>. Autorite kohendused.</w:t>
      </w:r>
    </w:p>
  </w:footnote>
  <w:footnote w:id="16">
    <w:p w14:paraId="2C54CD0A" w14:textId="77777777" w:rsidR="005508E5" w:rsidRPr="00B90948" w:rsidRDefault="005508E5" w:rsidP="005508E5">
      <w:pPr>
        <w:rPr>
          <w:sz w:val="18"/>
          <w:szCs w:val="18"/>
        </w:rPr>
      </w:pPr>
      <w:r w:rsidRPr="00A3112A">
        <w:rPr>
          <w:rFonts w:eastAsiaTheme="minorEastAsia"/>
          <w:sz w:val="18"/>
          <w:szCs w:val="18"/>
          <w:vertAlign w:val="superscript"/>
        </w:rPr>
        <w:footnoteRef/>
      </w:r>
      <w:r w:rsidRPr="00B90948">
        <w:rPr>
          <w:sz w:val="18"/>
          <w:szCs w:val="18"/>
        </w:rPr>
        <w:t xml:space="preserve"> Euroopa Parlamendi ja Nõukogu määrus (EL) nr 909/2014, 23. juuli 2014, mis käsitleb väärtpaberiarvelduse parandamist Euroopa Liidus ja väärtpaberite keskdepositooriume ning millega muudetakse direktiive 98/26/EÜ ja 2014/65/EL ning määrust nr 236/2012</w:t>
      </w:r>
      <w:r>
        <w:rPr>
          <w:sz w:val="18"/>
          <w:szCs w:val="18"/>
        </w:rPr>
        <w:t xml:space="preserve"> </w:t>
      </w:r>
      <w:r w:rsidRPr="00FE51C0">
        <w:rPr>
          <w:sz w:val="18"/>
          <w:szCs w:val="18"/>
        </w:rPr>
        <w:t>(ELT L 257, 28.8.2014, lk 1—72)</w:t>
      </w:r>
      <w:r w:rsidRPr="00B90948">
        <w:rPr>
          <w:sz w:val="18"/>
          <w:szCs w:val="18"/>
        </w:rPr>
        <w:t>; enimlevinud ingliskeelse lühendina kutsutakse nimetatud määrust „CSDR“-ks.</w:t>
      </w:r>
    </w:p>
  </w:footnote>
  <w:footnote w:id="17">
    <w:p w14:paraId="4C4AB58D" w14:textId="77777777" w:rsidR="005508E5" w:rsidRPr="006626EA" w:rsidRDefault="005508E5" w:rsidP="005508E5">
      <w:pPr>
        <w:rPr>
          <w:sz w:val="18"/>
          <w:szCs w:val="18"/>
        </w:rPr>
      </w:pPr>
      <w:r w:rsidRPr="00A3112A">
        <w:rPr>
          <w:rFonts w:eastAsiaTheme="minorEastAsia"/>
          <w:sz w:val="18"/>
          <w:szCs w:val="18"/>
          <w:vertAlign w:val="superscript"/>
        </w:rPr>
        <w:footnoteRef/>
      </w:r>
      <w:r w:rsidRPr="006626EA">
        <w:rPr>
          <w:sz w:val="18"/>
          <w:szCs w:val="18"/>
        </w:rPr>
        <w:t xml:space="preserve"> </w:t>
      </w:r>
      <w:r w:rsidRPr="000A7CD6">
        <w:rPr>
          <w:sz w:val="18"/>
          <w:szCs w:val="18"/>
        </w:rPr>
        <w:t xml:space="preserve">Allikas: OECD, </w:t>
      </w:r>
      <w:hyperlink r:id="rId11" w:history="1">
        <w:r w:rsidRPr="00A3112A">
          <w:rPr>
            <w:rStyle w:val="Heading8Char"/>
            <w:b w:val="0"/>
            <w:bCs/>
            <w:sz w:val="18"/>
            <w:szCs w:val="18"/>
          </w:rPr>
          <w:t>https://www.oecd.org/finance/ICOs-for-SME-Financing.pdf</w:t>
        </w:r>
      </w:hyperlink>
      <w:r w:rsidRPr="00A3112A">
        <w:rPr>
          <w:rStyle w:val="Heading8Char"/>
          <w:b w:val="0"/>
          <w:bCs/>
          <w:sz w:val="18"/>
          <w:szCs w:val="18"/>
        </w:rPr>
        <w:t>. Autorite kohendused.</w:t>
      </w:r>
    </w:p>
  </w:footnote>
  <w:footnote w:id="18">
    <w:p w14:paraId="6923AF8C" w14:textId="77777777" w:rsidR="005508E5" w:rsidRPr="00603F6D" w:rsidRDefault="005508E5" w:rsidP="005508E5">
      <w:pPr>
        <w:rPr>
          <w:sz w:val="18"/>
          <w:szCs w:val="18"/>
        </w:rPr>
      </w:pPr>
      <w:r w:rsidRPr="0034053D">
        <w:rPr>
          <w:rFonts w:eastAsiaTheme="minorEastAsia"/>
          <w:sz w:val="18"/>
          <w:szCs w:val="18"/>
          <w:vertAlign w:val="superscript"/>
        </w:rPr>
        <w:footnoteRef/>
      </w:r>
      <w:r w:rsidRPr="0034053D">
        <w:rPr>
          <w:sz w:val="18"/>
          <w:szCs w:val="18"/>
          <w:vertAlign w:val="superscript"/>
        </w:rPr>
        <w:t xml:space="preserve"> </w:t>
      </w:r>
      <w:r w:rsidRPr="00603F6D">
        <w:rPr>
          <w:sz w:val="18"/>
          <w:szCs w:val="18"/>
        </w:rPr>
        <w:t xml:space="preserve">Allikas: OECD, </w:t>
      </w:r>
      <w:hyperlink r:id="rId12" w:history="1">
        <w:r w:rsidRPr="00603F6D">
          <w:rPr>
            <w:rStyle w:val="Heading8Char"/>
            <w:sz w:val="18"/>
            <w:szCs w:val="18"/>
          </w:rPr>
          <w:t>https://www.oecd.org/finance/ICOs-for-SME-Financing.pdf</w:t>
        </w:r>
      </w:hyperlink>
      <w:r w:rsidRPr="00603F6D">
        <w:rPr>
          <w:rStyle w:val="Heading8Char"/>
          <w:sz w:val="18"/>
          <w:szCs w:val="18"/>
        </w:rPr>
        <w:t>. Autorite kohendused.</w:t>
      </w:r>
    </w:p>
  </w:footnote>
  <w:footnote w:id="19">
    <w:p w14:paraId="19127916" w14:textId="77777777" w:rsidR="005508E5" w:rsidRPr="00320558" w:rsidRDefault="005508E5" w:rsidP="005508E5">
      <w:pPr>
        <w:tabs>
          <w:tab w:val="left" w:pos="426"/>
          <w:tab w:val="left" w:pos="3969"/>
        </w:tabs>
        <w:rPr>
          <w:sz w:val="18"/>
          <w:szCs w:val="18"/>
        </w:rPr>
      </w:pPr>
      <w:r w:rsidRPr="0034053D">
        <w:rPr>
          <w:rFonts w:eastAsiaTheme="minorEastAsia"/>
          <w:sz w:val="18"/>
          <w:szCs w:val="18"/>
          <w:vertAlign w:val="superscript"/>
        </w:rPr>
        <w:footnoteRef/>
      </w:r>
      <w:r w:rsidRPr="006521CB">
        <w:rPr>
          <w:b/>
          <w:sz w:val="18"/>
          <w:szCs w:val="18"/>
        </w:rPr>
        <w:t xml:space="preserve"> </w:t>
      </w:r>
      <w:r w:rsidRPr="006521CB">
        <w:rPr>
          <w:sz w:val="18"/>
          <w:szCs w:val="18"/>
        </w:rPr>
        <w:t>Näiteks võlakirjade puhul on õiguskirjanduses välja toodud kolm peamist kriteeriumit: i) nominaalväärtus, ii) intressimäär ja iii) lunastamise tähtaeg.</w:t>
      </w:r>
      <w:r w:rsidRPr="00320558">
        <w:rPr>
          <w:sz w:val="18"/>
          <w:szCs w:val="18"/>
        </w:rPr>
        <w:t xml:space="preserve"> </w:t>
      </w:r>
    </w:p>
  </w:footnote>
  <w:footnote w:id="20">
    <w:p w14:paraId="74BBF1B1" w14:textId="77BE32A6" w:rsidR="005508E5" w:rsidRPr="004036DC" w:rsidRDefault="005508E5" w:rsidP="005508E5">
      <w:pPr>
        <w:tabs>
          <w:tab w:val="left" w:pos="426"/>
          <w:tab w:val="left" w:pos="3969"/>
        </w:tabs>
        <w:rPr>
          <w:sz w:val="18"/>
          <w:szCs w:val="18"/>
        </w:rPr>
      </w:pPr>
      <w:r w:rsidRPr="0034053D">
        <w:rPr>
          <w:rFonts w:eastAsiaTheme="minorEastAsia"/>
          <w:sz w:val="18"/>
          <w:szCs w:val="18"/>
          <w:vertAlign w:val="superscript"/>
        </w:rPr>
        <w:footnoteRef/>
      </w:r>
      <w:r w:rsidRPr="004036DC">
        <w:rPr>
          <w:sz w:val="18"/>
          <w:szCs w:val="18"/>
        </w:rPr>
        <w:t xml:space="preserve"> Committee of European Securities Regulators. Your questions on MiFID. Markets in Financial Instruments Directive 2004/39/EC and implementing measures. Questions and answers. 2008, lk 45-46. Kättesaadav: </w:t>
      </w:r>
      <w:hyperlink r:id="rId13" w:history="1">
        <w:r w:rsidR="0034053D" w:rsidRPr="00635BFF">
          <w:rPr>
            <w:rStyle w:val="Hyperlink"/>
            <w:sz w:val="18"/>
            <w:szCs w:val="18"/>
          </w:rPr>
          <w:t>https://ec.europa.eu/info/sites/info/files/business_economy_euro/banking_and_finance/documents/mifid-2004-0039-commission-questions-answers_en_0.pdf</w:t>
        </w:r>
      </w:hyperlink>
      <w:r w:rsidRPr="004036DC">
        <w:rPr>
          <w:sz w:val="18"/>
          <w:szCs w:val="18"/>
        </w:rPr>
        <w:t>.</w:t>
      </w:r>
    </w:p>
  </w:footnote>
  <w:footnote w:id="21">
    <w:p w14:paraId="6934160C" w14:textId="5114D4FF" w:rsidR="005508E5" w:rsidRPr="00F40FC4" w:rsidRDefault="005508E5" w:rsidP="00F40FC4">
      <w:pPr>
        <w:tabs>
          <w:tab w:val="left" w:pos="426"/>
          <w:tab w:val="left" w:pos="3969"/>
        </w:tabs>
        <w:spacing w:before="0"/>
        <w:rPr>
          <w:sz w:val="18"/>
          <w:szCs w:val="18"/>
        </w:rPr>
      </w:pPr>
      <w:r w:rsidRPr="00F40FC4">
        <w:rPr>
          <w:rFonts w:eastAsiaTheme="minorEastAsia"/>
          <w:sz w:val="18"/>
          <w:szCs w:val="18"/>
          <w:vertAlign w:val="superscript"/>
        </w:rPr>
        <w:footnoteRef/>
      </w:r>
      <w:r w:rsidRPr="00F40FC4">
        <w:rPr>
          <w:sz w:val="18"/>
          <w:szCs w:val="18"/>
          <w:vertAlign w:val="superscript"/>
        </w:rPr>
        <w:t xml:space="preserve"> </w:t>
      </w:r>
      <w:r w:rsidRPr="00F40FC4">
        <w:rPr>
          <w:sz w:val="18"/>
          <w:szCs w:val="18"/>
        </w:rPr>
        <w:t xml:space="preserve">Euroopa Komisjon, </w:t>
      </w:r>
      <w:r w:rsidRPr="00F40FC4">
        <w:rPr>
          <w:color w:val="000000"/>
          <w:sz w:val="18"/>
          <w:szCs w:val="18"/>
        </w:rPr>
        <w:t>Nõudeõiguse loovutamise või ülemineku kehtivusest kolmandate isikute suhtes ning loovutatud nõudeõiguse eelisseisundist teise isiku õiguste suhtes,</w:t>
      </w:r>
      <w:r w:rsidRPr="00F40FC4">
        <w:rPr>
          <w:sz w:val="18"/>
          <w:szCs w:val="18"/>
        </w:rPr>
        <w:t xml:space="preserve"> </w:t>
      </w:r>
      <w:hyperlink r:id="rId14" w:history="1">
        <w:r w:rsidRPr="00F40FC4">
          <w:rPr>
            <w:rStyle w:val="Heading8Char"/>
            <w:b w:val="0"/>
            <w:bCs/>
            <w:sz w:val="18"/>
            <w:szCs w:val="18"/>
          </w:rPr>
          <w:t>http://eur-lex.europa.eu/legal-content/ET/TXT/HTML/?uri=CELEX:52016DC0626&amp;from=EN</w:t>
        </w:r>
      </w:hyperlink>
      <w:r w:rsidRPr="00F40FC4">
        <w:rPr>
          <w:sz w:val="18"/>
          <w:szCs w:val="18"/>
        </w:rPr>
        <w:t xml:space="preserve">. </w:t>
      </w:r>
    </w:p>
  </w:footnote>
  <w:footnote w:id="22">
    <w:p w14:paraId="0E3EC937" w14:textId="77777777" w:rsidR="005508E5" w:rsidRPr="00F40FC4" w:rsidRDefault="005508E5" w:rsidP="00F40FC4">
      <w:pPr>
        <w:tabs>
          <w:tab w:val="left" w:pos="426"/>
          <w:tab w:val="left" w:pos="3969"/>
        </w:tabs>
        <w:spacing w:before="0"/>
        <w:rPr>
          <w:sz w:val="18"/>
          <w:szCs w:val="18"/>
        </w:rPr>
      </w:pPr>
      <w:r w:rsidRPr="00F40FC4">
        <w:rPr>
          <w:rFonts w:eastAsiaTheme="minorEastAsia"/>
          <w:sz w:val="18"/>
          <w:szCs w:val="18"/>
          <w:vertAlign w:val="superscript"/>
        </w:rPr>
        <w:footnoteRef/>
      </w:r>
      <w:r w:rsidRPr="00F40FC4">
        <w:rPr>
          <w:b/>
          <w:sz w:val="18"/>
          <w:szCs w:val="18"/>
        </w:rPr>
        <w:t xml:space="preserve"> </w:t>
      </w:r>
      <w:r w:rsidRPr="00F40FC4">
        <w:rPr>
          <w:sz w:val="18"/>
          <w:szCs w:val="18"/>
        </w:rPr>
        <w:t>Ibid.</w:t>
      </w:r>
    </w:p>
  </w:footnote>
  <w:footnote w:id="23">
    <w:p w14:paraId="19BA0A51" w14:textId="77777777" w:rsidR="005508E5" w:rsidRPr="00F40FC4" w:rsidRDefault="005508E5" w:rsidP="00F40FC4">
      <w:pPr>
        <w:tabs>
          <w:tab w:val="left" w:pos="426"/>
          <w:tab w:val="left" w:pos="3969"/>
        </w:tabs>
        <w:spacing w:before="0"/>
        <w:rPr>
          <w:sz w:val="18"/>
          <w:szCs w:val="18"/>
        </w:rPr>
      </w:pPr>
      <w:r w:rsidRPr="00F40FC4">
        <w:rPr>
          <w:rFonts w:eastAsiaTheme="minorEastAsia"/>
          <w:sz w:val="18"/>
          <w:szCs w:val="18"/>
          <w:vertAlign w:val="superscript"/>
        </w:rPr>
        <w:footnoteRef/>
      </w:r>
      <w:r w:rsidRPr="00F40FC4">
        <w:rPr>
          <w:b/>
          <w:sz w:val="18"/>
          <w:szCs w:val="18"/>
        </w:rPr>
        <w:t xml:space="preserve"> </w:t>
      </w:r>
      <w:r w:rsidRPr="00F40FC4">
        <w:rPr>
          <w:sz w:val="18"/>
          <w:szCs w:val="18"/>
        </w:rPr>
        <w:t xml:space="preserve">G.G. Castellano. Towards a General Framework for a Common Definition of ‘Securities’: Financial Markets Regulation in Multilingual Contexts. Uniform Law Review/Revue de Droit Uniforme Vol XVII, 2012. Lk 470. Kättesaadav: </w:t>
      </w:r>
      <w:hyperlink r:id="rId15" w:history="1">
        <w:r w:rsidRPr="00F40FC4">
          <w:rPr>
            <w:rStyle w:val="Heading8Char"/>
            <w:b w:val="0"/>
            <w:bCs/>
            <w:sz w:val="18"/>
            <w:szCs w:val="18"/>
          </w:rPr>
          <w:t>https://ssrn.com/abstract=2187812</w:t>
        </w:r>
      </w:hyperlink>
      <w:r w:rsidRPr="00F40FC4">
        <w:rPr>
          <w:sz w:val="18"/>
          <w:szCs w:val="18"/>
        </w:rPr>
        <w:t>.</w:t>
      </w:r>
    </w:p>
  </w:footnote>
  <w:footnote w:id="24">
    <w:p w14:paraId="112A75E8" w14:textId="77777777" w:rsidR="005508E5" w:rsidRPr="00320558" w:rsidRDefault="005508E5" w:rsidP="00F40FC4">
      <w:pPr>
        <w:tabs>
          <w:tab w:val="left" w:pos="426"/>
          <w:tab w:val="left" w:pos="3969"/>
        </w:tabs>
        <w:spacing w:before="0"/>
        <w:rPr>
          <w:strike/>
          <w:sz w:val="18"/>
          <w:szCs w:val="18"/>
        </w:rPr>
      </w:pPr>
      <w:r w:rsidRPr="00F40FC4">
        <w:rPr>
          <w:rFonts w:eastAsiaTheme="minorEastAsia"/>
          <w:sz w:val="18"/>
          <w:szCs w:val="18"/>
          <w:vertAlign w:val="superscript"/>
        </w:rPr>
        <w:footnoteRef/>
      </w:r>
      <w:r w:rsidRPr="00F40FC4">
        <w:rPr>
          <w:b/>
          <w:sz w:val="18"/>
          <w:szCs w:val="18"/>
        </w:rPr>
        <w:t xml:space="preserve"> </w:t>
      </w:r>
      <w:r w:rsidRPr="00F40FC4">
        <w:rPr>
          <w:sz w:val="18"/>
          <w:szCs w:val="18"/>
        </w:rPr>
        <w:t>Sellisteks kõrvalnõueteks võivad olla nt intressi-, viivise- ja leppetrahvi nõuded.</w:t>
      </w:r>
    </w:p>
  </w:footnote>
  <w:footnote w:id="25">
    <w:p w14:paraId="24FA0CC4" w14:textId="457D4E6B" w:rsidR="005508E5" w:rsidRPr="00320558" w:rsidRDefault="005508E5" w:rsidP="005508E5">
      <w:pPr>
        <w:tabs>
          <w:tab w:val="left" w:pos="426"/>
          <w:tab w:val="left" w:pos="3969"/>
        </w:tabs>
        <w:rPr>
          <w:sz w:val="18"/>
          <w:szCs w:val="18"/>
        </w:rPr>
      </w:pPr>
      <w:r w:rsidRPr="0034053D">
        <w:rPr>
          <w:rFonts w:eastAsiaTheme="minorEastAsia"/>
          <w:sz w:val="18"/>
          <w:szCs w:val="18"/>
          <w:vertAlign w:val="superscript"/>
        </w:rPr>
        <w:footnoteRef/>
      </w:r>
      <w:r w:rsidRPr="0034053D">
        <w:rPr>
          <w:sz w:val="18"/>
          <w:szCs w:val="18"/>
          <w:vertAlign w:val="superscript"/>
        </w:rPr>
        <w:t xml:space="preserve"> </w:t>
      </w:r>
      <w:r w:rsidRPr="00320558">
        <w:rPr>
          <w:sz w:val="18"/>
          <w:szCs w:val="18"/>
        </w:rPr>
        <w:t>Krediidiandjate ja –vahendajate seadus sätestab nõuded ühisrahastusplatvormi kaudu tarbija krediteerimisele, kuna laenuplatvormi vahendusel krediiti võtnud tarbijatele tuleb tagada võrdne kaitse KAVS kohaselt tegevusluba omavalt krediidiandjalt krediiti saanud tarbijaga. Seetõttu on KAVS § 2 lg 2</w:t>
      </w:r>
      <w:r w:rsidRPr="00320558">
        <w:rPr>
          <w:b/>
          <w:bCs/>
          <w:sz w:val="18"/>
          <w:szCs w:val="18"/>
        </w:rPr>
        <w:t xml:space="preserve"> </w:t>
      </w:r>
      <w:r w:rsidRPr="00320558">
        <w:rPr>
          <w:sz w:val="18"/>
          <w:szCs w:val="18"/>
        </w:rPr>
        <w:t xml:space="preserve">laiendatud krediidivahendaja mõistet ja sätestatud, et ka laenuplatvormidele kohalduvad krediidivahendaja nõuded. Allikas: Seletuskiri krediidiandjate ja –vahendajate seaduse eelnõu juurde, lk 12. Eelnõu seletuskiri on leitav Riigikogu veebileheküljelt: Krediidiandjate ja –vahendajate seadus 795 SE, </w:t>
      </w:r>
      <w:hyperlink r:id="rId16" w:history="1">
        <w:r w:rsidRPr="0034053D">
          <w:rPr>
            <w:rStyle w:val="Heading8Char"/>
            <w:b w:val="0"/>
            <w:bCs/>
            <w:sz w:val="18"/>
            <w:szCs w:val="18"/>
          </w:rPr>
          <w:t>https://www.riigikogu.ee/tegevus/eelnoud/eelnou/950bdd45-ccf9-468c-b66e-511edb1d6e3f/Krediidiandjate%20ja%20–vahendajate%20seadus</w:t>
        </w:r>
      </w:hyperlink>
      <w:r w:rsidRPr="0034053D">
        <w:rPr>
          <w:b/>
          <w:bCs/>
          <w:sz w:val="18"/>
          <w:szCs w:val="18"/>
        </w:rPr>
        <w:t>.</w:t>
      </w:r>
    </w:p>
  </w:footnote>
  <w:footnote w:id="26">
    <w:p w14:paraId="27C8799F" w14:textId="77777777" w:rsidR="005508E5" w:rsidRPr="00D45394" w:rsidRDefault="005508E5" w:rsidP="005508E5">
      <w:pPr>
        <w:tabs>
          <w:tab w:val="left" w:pos="426"/>
        </w:tabs>
        <w:rPr>
          <w:sz w:val="18"/>
          <w:szCs w:val="18"/>
        </w:rPr>
      </w:pPr>
      <w:r w:rsidRPr="0034053D">
        <w:rPr>
          <w:rFonts w:eastAsiaTheme="minorEastAsia"/>
          <w:sz w:val="18"/>
          <w:szCs w:val="18"/>
          <w:vertAlign w:val="superscript"/>
        </w:rPr>
        <w:footnoteRef/>
      </w:r>
      <w:r w:rsidRPr="0034053D">
        <w:rPr>
          <w:sz w:val="18"/>
          <w:szCs w:val="18"/>
          <w:vertAlign w:val="superscript"/>
        </w:rPr>
        <w:t xml:space="preserve"> </w:t>
      </w:r>
      <w:hyperlink r:id="rId17" w:history="1">
        <w:r w:rsidRPr="0034053D">
          <w:rPr>
            <w:rStyle w:val="Heading8Char"/>
            <w:b w:val="0"/>
            <w:bCs/>
            <w:sz w:val="18"/>
            <w:szCs w:val="18"/>
          </w:rPr>
          <w:t>https://eur-lex.europa.eu/legal-content/ET/TXT/HTML/?uri=CELEX:32020R1503&amp;from=EN</w:t>
        </w:r>
      </w:hyperlink>
      <w:r w:rsidRPr="0034053D">
        <w:rPr>
          <w:b/>
          <w:bCs/>
          <w:sz w:val="18"/>
          <w:szCs w:val="18"/>
        </w:rPr>
        <w:t>.</w:t>
      </w:r>
    </w:p>
  </w:footnote>
  <w:footnote w:id="27">
    <w:p w14:paraId="50EE8800" w14:textId="77777777" w:rsidR="005508E5" w:rsidRPr="00D45394" w:rsidRDefault="005508E5" w:rsidP="005508E5">
      <w:pPr>
        <w:tabs>
          <w:tab w:val="left" w:pos="426"/>
        </w:tabs>
        <w:rPr>
          <w:b/>
          <w:sz w:val="18"/>
          <w:szCs w:val="18"/>
        </w:rPr>
      </w:pPr>
      <w:r w:rsidRPr="0034053D">
        <w:rPr>
          <w:rFonts w:eastAsiaTheme="minorEastAsia"/>
          <w:sz w:val="18"/>
          <w:szCs w:val="18"/>
          <w:vertAlign w:val="superscript"/>
        </w:rPr>
        <w:footnoteRef/>
      </w:r>
      <w:r w:rsidRPr="00D45394">
        <w:rPr>
          <w:b/>
          <w:sz w:val="18"/>
          <w:szCs w:val="18"/>
        </w:rPr>
        <w:t xml:space="preserve"> </w:t>
      </w:r>
      <w:hyperlink r:id="rId18" w:history="1">
        <w:r w:rsidRPr="0034053D">
          <w:rPr>
            <w:rStyle w:val="Heading8Char"/>
            <w:b w:val="0"/>
            <w:bCs/>
            <w:sz w:val="18"/>
            <w:szCs w:val="18"/>
          </w:rPr>
          <w:t>https://eur-lex.europa.eu/legal-content/ET/TXT/HTML/?uri=CELEX:32020L1504&amp;qid=1606384145932&amp;from=EN</w:t>
        </w:r>
      </w:hyperlink>
      <w:r w:rsidRPr="00D45394">
        <w:rPr>
          <w:sz w:val="18"/>
          <w:szCs w:val="18"/>
        </w:rPr>
        <w:t>.</w:t>
      </w:r>
    </w:p>
  </w:footnote>
  <w:footnote w:id="28">
    <w:p w14:paraId="69E44D87" w14:textId="77777777" w:rsidR="005508E5" w:rsidRPr="006521CB" w:rsidRDefault="005508E5" w:rsidP="005508E5">
      <w:pPr>
        <w:rPr>
          <w:sz w:val="18"/>
          <w:szCs w:val="18"/>
        </w:rPr>
      </w:pPr>
      <w:r w:rsidRPr="0034053D">
        <w:rPr>
          <w:rFonts w:eastAsiaTheme="minorEastAsia"/>
          <w:sz w:val="18"/>
          <w:szCs w:val="18"/>
          <w:vertAlign w:val="superscript"/>
        </w:rPr>
        <w:footnoteRef/>
      </w:r>
      <w:r w:rsidRPr="00D45394">
        <w:rPr>
          <w:b/>
          <w:sz w:val="18"/>
          <w:szCs w:val="18"/>
        </w:rPr>
        <w:t xml:space="preserve"> </w:t>
      </w:r>
      <w:r w:rsidRPr="00D45394">
        <w:rPr>
          <w:sz w:val="18"/>
          <w:szCs w:val="18"/>
        </w:rPr>
        <w:t xml:space="preserve">Allikas: EBA raport krüptovarade kohta, 9.01.2019. a, joonisel autorite kohendused. Täpsema tokenite kategoriseerimise võib leida siit: </w:t>
      </w:r>
      <w:hyperlink r:id="rId19" w:history="1">
        <w:r w:rsidRPr="0034053D">
          <w:rPr>
            <w:rStyle w:val="Heading8Char"/>
            <w:b w:val="0"/>
            <w:bCs/>
            <w:sz w:val="18"/>
            <w:szCs w:val="18"/>
          </w:rPr>
          <w:t>http://www.untitled-inc.com/the-token-classification-framework-a-multi-dimensional-tool-for-understanding-and-classifying-crypto-tokens/</w:t>
        </w:r>
      </w:hyperlink>
    </w:p>
  </w:footnote>
  <w:footnote w:id="29">
    <w:p w14:paraId="767F1299" w14:textId="77777777" w:rsidR="005508E5" w:rsidRPr="002D2087" w:rsidRDefault="005508E5" w:rsidP="005508E5">
      <w:pPr>
        <w:rPr>
          <w:sz w:val="16"/>
          <w:szCs w:val="16"/>
        </w:rPr>
      </w:pPr>
      <w:r w:rsidRPr="00B426EA">
        <w:rPr>
          <w:rFonts w:eastAsiaTheme="minorEastAsia"/>
          <w:sz w:val="18"/>
          <w:szCs w:val="18"/>
          <w:vertAlign w:val="superscript"/>
        </w:rPr>
        <w:footnoteRef/>
      </w:r>
      <w:r w:rsidRPr="006521CB">
        <w:rPr>
          <w:sz w:val="18"/>
          <w:szCs w:val="18"/>
        </w:rPr>
        <w:t xml:space="preserve"> Rahapesu andmebüroo, majandustegevuse luba. Kättesaadav: https://www.politsei.ee/et/juhend/majandustegevuse-luba.</w:t>
      </w:r>
    </w:p>
  </w:footnote>
  <w:footnote w:id="30">
    <w:p w14:paraId="03F980A1" w14:textId="77777777" w:rsidR="005508E5" w:rsidRPr="00320558" w:rsidRDefault="005508E5" w:rsidP="005508E5">
      <w:pPr>
        <w:rPr>
          <w:sz w:val="18"/>
          <w:szCs w:val="18"/>
          <w:lang w:val="en-GB"/>
        </w:rPr>
      </w:pPr>
      <w:r w:rsidRPr="00B426EA">
        <w:rPr>
          <w:rFonts w:eastAsiaTheme="minorEastAsia"/>
          <w:sz w:val="18"/>
          <w:szCs w:val="18"/>
          <w:vertAlign w:val="superscript"/>
          <w:lang w:val="en-GB"/>
        </w:rPr>
        <w:footnoteRef/>
      </w:r>
      <w:r w:rsidRPr="00320558">
        <w:rPr>
          <w:sz w:val="18"/>
          <w:szCs w:val="18"/>
        </w:rPr>
        <w:t xml:space="preserve"> Ka Saksa õiguses on analüüsitud vajadust pöörata tähelepanu eelkõige investeerimise eesmärki sisaldavatele tokenitele. </w:t>
      </w:r>
      <w:r w:rsidRPr="00320558">
        <w:rPr>
          <w:sz w:val="18"/>
          <w:szCs w:val="18"/>
          <w:lang w:val="en-GB"/>
        </w:rPr>
        <w:t>Blockchain Technology – Thoughts on Regulation. BaFin 01.08.2018</w:t>
      </w:r>
      <w:r>
        <w:rPr>
          <w:sz w:val="18"/>
          <w:szCs w:val="18"/>
          <w:lang w:val="en-GB"/>
        </w:rPr>
        <w:t>.</w:t>
      </w:r>
    </w:p>
    <w:p w14:paraId="15C85C82" w14:textId="77777777" w:rsidR="005508E5" w:rsidRPr="00A3112A" w:rsidRDefault="00C95F0D" w:rsidP="005508E5">
      <w:pPr>
        <w:rPr>
          <w:b/>
          <w:bCs/>
          <w:sz w:val="18"/>
          <w:szCs w:val="18"/>
          <w:lang w:val="en-GB"/>
        </w:rPr>
      </w:pPr>
      <w:hyperlink r:id="rId20" w:history="1">
        <w:r w:rsidR="005508E5" w:rsidRPr="00A3112A">
          <w:rPr>
            <w:rStyle w:val="Heading8Char"/>
            <w:b w:val="0"/>
            <w:bCs/>
            <w:sz w:val="18"/>
            <w:szCs w:val="18"/>
            <w:lang w:val="en-GB"/>
          </w:rPr>
          <w:t>https://www.bafin.de/SharedDocs/Veroeffentlichungen/EN/BaFinPerspektiven/2018/bp_18-1_Beitrag_Fusswinkel_en.html</w:t>
        </w:r>
      </w:hyperlink>
      <w:r w:rsidR="005508E5" w:rsidRPr="00A3112A">
        <w:rPr>
          <w:b/>
          <w:bCs/>
          <w:sz w:val="18"/>
          <w:szCs w:val="18"/>
          <w:lang w:val="en-GB"/>
        </w:rPr>
        <w:t xml:space="preserve"> </w:t>
      </w:r>
    </w:p>
    <w:p w14:paraId="4291ADA9" w14:textId="77777777" w:rsidR="005508E5" w:rsidRPr="00320558" w:rsidRDefault="005508E5" w:rsidP="005508E5">
      <w:pPr>
        <w:rPr>
          <w:sz w:val="18"/>
          <w:szCs w:val="18"/>
          <w:lang w:val="en-GB"/>
        </w:rPr>
      </w:pPr>
      <w:r w:rsidRPr="00320558">
        <w:rPr>
          <w:sz w:val="18"/>
          <w:szCs w:val="18"/>
          <w:lang w:val="en-GB"/>
        </w:rPr>
        <w:t>“Tehnilises võtmes, tokeni üleantavus nõuab, et tokenit saab üle anda teistele kasutajatele. Vastavalt sellele peab token olema üleantav “vastavalt oma tüübile”, st selle fundamentaalne õiguslik struktuur või tehnilised omadused peavad jääma muutumatuks, kui token antakse kolmandale osapoolele. Piirangud üleantavuse kordadele ja üleantavusele ise on aspektid, mis võivad välistada tokeni üleandmisele väärtpaberi kohta sätestatu kohaldamise. Üldine standardiseerimine on vajalik tokeni vabalt võõrandatavusest [“</w:t>
      </w:r>
      <w:r w:rsidRPr="00320558">
        <w:rPr>
          <w:i/>
          <w:sz w:val="18"/>
          <w:szCs w:val="18"/>
          <w:lang w:val="en-GB"/>
        </w:rPr>
        <w:t>negotiability</w:t>
      </w:r>
      <w:r w:rsidRPr="00320558">
        <w:rPr>
          <w:sz w:val="18"/>
          <w:szCs w:val="18"/>
          <w:lang w:val="en-GB"/>
        </w:rPr>
        <w:t xml:space="preserve">”] lähtuvalt. Kui tokenid väljendavad konkreetseid õigusi, mis on igal juhul erinevad, siis need tokenid võivad olla üleantavad, aga vabalt võõrandatavuse kriteerium ei ole täidetud. Peab olema võimalik kindlaks määrata tehingus kasutatud tokenite tüüpi ja kogust, st nad peavad olema asendatavad. Lisaks, vabalt võõrandatavus peab kehtima finantsturgudel. Vabalt võõrandatavuse võimalus on piisav; tegelik võõrandamine ei ole vajalik. Sellest tulenevalt peaks reeglina tsentraalseid või mitte-tsentraalseid krüptovarade kauplemise platvorme käsitada finantsturgudena. </w:t>
      </w:r>
    </w:p>
    <w:p w14:paraId="69BFFC57" w14:textId="77777777" w:rsidR="005508E5" w:rsidRPr="00320558" w:rsidRDefault="005508E5" w:rsidP="005508E5">
      <w:pPr>
        <w:rPr>
          <w:sz w:val="18"/>
          <w:szCs w:val="18"/>
        </w:rPr>
      </w:pPr>
      <w:r w:rsidRPr="00320558">
        <w:rPr>
          <w:sz w:val="18"/>
          <w:szCs w:val="18"/>
          <w:lang w:val="en-GB"/>
        </w:rPr>
        <w:t xml:space="preserve">Token peab endas kätkema aktsia-sarnaseid liikmelisuse õigusi või muid lepinguliseid omandiõigusi, mis on piisavalt võrreldavad võõrandavate väärtpaberitega WpHG § 2 lg 1 tähenduses, eriti seoses võlakirjade või võlaõiguslike instrumentidega. Igal konkreetsel juhul tuleb hinnata, eriti seoses tokenite hübriidse loomusega, et kas käsitletav instrument on finantsinstrument või vara, mis on samastatav üldises majanduslikus käibes oleva instrumendiga. </w:t>
      </w:r>
      <w:r w:rsidRPr="00320558">
        <w:rPr>
          <w:sz w:val="18"/>
          <w:szCs w:val="18"/>
        </w:rPr>
        <w:t xml:space="preserve">Oluline side tegeliku majandusliku varaga on eriti küsitav, kui tokeni eest ei ole võimalik osta kaupu või teenuseid, kuivõrd neid ei ole veel olemas. Sellistel juhtudel sõltub tokeni väljaandja pingutustest see, kas </w:t>
      </w:r>
      <w:r w:rsidRPr="00320558">
        <w:rPr>
          <w:i/>
          <w:sz w:val="18"/>
          <w:szCs w:val="18"/>
        </w:rPr>
        <w:t>white paper</w:t>
      </w:r>
      <w:r w:rsidRPr="00320558">
        <w:rPr>
          <w:sz w:val="18"/>
          <w:szCs w:val="18"/>
        </w:rPr>
        <w:t>’is ja mujal dokumentides lubatud funktsionaalsus tegelikult ka realiseerub. Seetõttu token teenib pigem raha kaasamise eesmärki, mis võib olla argument teatud tokeni käsitlemiseks finantsinstrumendina, kui token ka hõlmab väärtpaberile sarnaseid funktsioone. Jällegi sõltub selline hinnang iga konkreetse tokeni kohta läbiviidud analüüsi tulemusest.“</w:t>
      </w:r>
    </w:p>
  </w:footnote>
  <w:footnote w:id="31">
    <w:p w14:paraId="05408E8B" w14:textId="77777777" w:rsidR="005508E5" w:rsidRPr="00320558" w:rsidRDefault="005508E5" w:rsidP="005508E5">
      <w:pPr>
        <w:tabs>
          <w:tab w:val="left" w:pos="426"/>
        </w:tabs>
        <w:rPr>
          <w:b/>
          <w:sz w:val="18"/>
          <w:szCs w:val="18"/>
        </w:rPr>
      </w:pPr>
      <w:r w:rsidRPr="00B426EA">
        <w:rPr>
          <w:rFonts w:eastAsiaTheme="minorEastAsia"/>
          <w:sz w:val="18"/>
          <w:szCs w:val="18"/>
          <w:vertAlign w:val="superscript"/>
        </w:rPr>
        <w:footnoteRef/>
      </w:r>
      <w:r w:rsidRPr="00B426EA">
        <w:rPr>
          <w:b/>
          <w:sz w:val="18"/>
          <w:szCs w:val="18"/>
          <w:vertAlign w:val="superscript"/>
        </w:rPr>
        <w:t xml:space="preserve"> </w:t>
      </w:r>
      <w:r w:rsidRPr="00320558">
        <w:rPr>
          <w:sz w:val="18"/>
          <w:szCs w:val="18"/>
        </w:rPr>
        <w:t>Allikas: Krüptovarade reguleerimise VTK, 2019.</w:t>
      </w:r>
    </w:p>
  </w:footnote>
  <w:footnote w:id="32">
    <w:p w14:paraId="18A9246B" w14:textId="77777777" w:rsidR="005508E5" w:rsidRPr="00FC403F" w:rsidRDefault="005508E5" w:rsidP="005508E5">
      <w:pPr>
        <w:rPr>
          <w:rFonts w:asciiTheme="minorHAnsi" w:hAnsiTheme="minorHAnsi" w:cstheme="minorBidi"/>
          <w:sz w:val="18"/>
          <w:szCs w:val="18"/>
        </w:rPr>
      </w:pPr>
      <w:r w:rsidRPr="00B426EA">
        <w:rPr>
          <w:rFonts w:eastAsiaTheme="minorEastAsia"/>
          <w:sz w:val="18"/>
          <w:szCs w:val="18"/>
          <w:vertAlign w:val="superscript"/>
        </w:rPr>
        <w:footnoteRef/>
      </w:r>
      <w:r w:rsidRPr="008B402B">
        <w:rPr>
          <w:b/>
          <w:sz w:val="18"/>
          <w:szCs w:val="18"/>
        </w:rPr>
        <w:t xml:space="preserve"> </w:t>
      </w:r>
      <w:r w:rsidRPr="00FC403F">
        <w:rPr>
          <w:sz w:val="18"/>
          <w:szCs w:val="18"/>
        </w:rPr>
        <w:t xml:space="preserve">Kättesaadav: </w:t>
      </w:r>
      <w:hyperlink r:id="rId21" w:history="1">
        <w:r w:rsidRPr="00B426EA">
          <w:rPr>
            <w:rStyle w:val="Heading8Char"/>
            <w:b w:val="0"/>
            <w:bCs/>
            <w:sz w:val="18"/>
            <w:szCs w:val="18"/>
          </w:rPr>
          <w:t>https://ec.europa.eu/info/publications/200924-digital-finance-proposals_et</w:t>
        </w:r>
      </w:hyperlink>
      <w:r w:rsidRPr="00B426EA">
        <w:rPr>
          <w:b/>
          <w:bCs/>
          <w:sz w:val="18"/>
          <w:szCs w:val="18"/>
        </w:rPr>
        <w:t>.</w:t>
      </w:r>
    </w:p>
  </w:footnote>
  <w:footnote w:id="33">
    <w:p w14:paraId="2BE6E002" w14:textId="77777777" w:rsidR="005508E5" w:rsidRPr="00320558" w:rsidRDefault="005508E5" w:rsidP="005508E5">
      <w:pPr>
        <w:rPr>
          <w:sz w:val="18"/>
          <w:szCs w:val="18"/>
        </w:rPr>
      </w:pPr>
      <w:r w:rsidRPr="00B426EA">
        <w:rPr>
          <w:rFonts w:eastAsiaTheme="minorEastAsia"/>
          <w:sz w:val="18"/>
          <w:szCs w:val="18"/>
          <w:vertAlign w:val="superscript"/>
        </w:rPr>
        <w:footnoteRef/>
      </w:r>
      <w:r w:rsidRPr="00320558">
        <w:rPr>
          <w:sz w:val="18"/>
          <w:szCs w:val="18"/>
        </w:rPr>
        <w:t xml:space="preserve"> Allikas: </w:t>
      </w:r>
      <w:r w:rsidRPr="00A003DF">
        <w:rPr>
          <w:sz w:val="18"/>
          <w:szCs w:val="18"/>
        </w:rPr>
        <w:t>https://www.eestipank.ee/finantsstabiilsus/ulevaade-finantssektori-struktuurist</w:t>
      </w:r>
    </w:p>
  </w:footnote>
  <w:footnote w:id="34">
    <w:p w14:paraId="532C7CF9" w14:textId="77777777" w:rsidR="005508E5" w:rsidRPr="000E1C84" w:rsidRDefault="005508E5" w:rsidP="005508E5">
      <w:pPr>
        <w:rPr>
          <w:sz w:val="18"/>
          <w:szCs w:val="18"/>
        </w:rPr>
      </w:pPr>
      <w:r w:rsidRPr="00B426EA">
        <w:rPr>
          <w:rFonts w:eastAsiaTheme="minorEastAsia"/>
          <w:sz w:val="18"/>
          <w:szCs w:val="18"/>
          <w:vertAlign w:val="superscript"/>
        </w:rPr>
        <w:footnoteRef/>
      </w:r>
      <w:r w:rsidRPr="000E1C84">
        <w:rPr>
          <w:sz w:val="18"/>
          <w:szCs w:val="18"/>
        </w:rPr>
        <w:t xml:space="preserve"> https://www.eestipank.ee/publikatsioonid/majanduse-rahastamise-ulevaade/2022/majanduse-rahastamise-ulevaade-veebruar-2022</w:t>
      </w:r>
    </w:p>
  </w:footnote>
  <w:footnote w:id="35">
    <w:p w14:paraId="6CC34AE6" w14:textId="77777777" w:rsidR="005508E5" w:rsidRPr="000E1C84" w:rsidRDefault="005508E5" w:rsidP="005508E5">
      <w:pPr>
        <w:rPr>
          <w:sz w:val="18"/>
          <w:szCs w:val="18"/>
        </w:rPr>
      </w:pPr>
      <w:r w:rsidRPr="00B426EA">
        <w:rPr>
          <w:rFonts w:eastAsiaTheme="minorEastAsia"/>
          <w:sz w:val="18"/>
          <w:szCs w:val="18"/>
          <w:vertAlign w:val="superscript"/>
        </w:rPr>
        <w:footnoteRef/>
      </w:r>
      <w:r w:rsidRPr="000E1C84">
        <w:rPr>
          <w:sz w:val="18"/>
          <w:szCs w:val="18"/>
        </w:rPr>
        <w:t xml:space="preserve"> Vt nt 2016. a. läbi viidud uuringut: https://europa.eu/capacity4dev/file/29543/download?token=sKyaFPQY</w:t>
      </w:r>
    </w:p>
  </w:footnote>
  <w:footnote w:id="36">
    <w:p w14:paraId="1B1D4FB8" w14:textId="77777777" w:rsidR="005508E5" w:rsidRPr="00320558" w:rsidRDefault="005508E5" w:rsidP="005508E5">
      <w:pPr>
        <w:tabs>
          <w:tab w:val="left" w:pos="426"/>
          <w:tab w:val="left" w:pos="3969"/>
        </w:tabs>
        <w:rPr>
          <w:sz w:val="18"/>
          <w:szCs w:val="18"/>
        </w:rPr>
      </w:pPr>
      <w:r w:rsidRPr="00B426EA">
        <w:rPr>
          <w:rFonts w:eastAsiaTheme="minorEastAsia"/>
          <w:sz w:val="18"/>
          <w:szCs w:val="18"/>
          <w:vertAlign w:val="superscript"/>
        </w:rPr>
        <w:footnoteRef/>
      </w:r>
      <w:r w:rsidRPr="00320558">
        <w:rPr>
          <w:sz w:val="18"/>
          <w:szCs w:val="18"/>
        </w:rPr>
        <w:t xml:space="preserve"> Allikas: </w:t>
      </w:r>
      <w:hyperlink r:id="rId22" w:history="1">
        <w:r w:rsidRPr="00B426EA">
          <w:rPr>
            <w:rStyle w:val="Heading8Char"/>
            <w:b w:val="0"/>
            <w:bCs/>
            <w:sz w:val="18"/>
            <w:szCs w:val="18"/>
          </w:rPr>
          <w:t>https://bruegel.org/wp-content/uploads/2019/03/PC-06_2019_-1.pdf</w:t>
        </w:r>
      </w:hyperlink>
      <w:r w:rsidRPr="00B426EA">
        <w:rPr>
          <w:b/>
          <w:bCs/>
          <w:sz w:val="18"/>
          <w:szCs w:val="18"/>
        </w:rPr>
        <w:t>, lk 3.</w:t>
      </w:r>
    </w:p>
  </w:footnote>
  <w:footnote w:id="37">
    <w:p w14:paraId="4E880A8D" w14:textId="77777777" w:rsidR="005508E5" w:rsidRPr="006626EA" w:rsidRDefault="005508E5" w:rsidP="005508E5">
      <w:pPr>
        <w:rPr>
          <w:sz w:val="18"/>
          <w:szCs w:val="18"/>
        </w:rPr>
      </w:pPr>
      <w:r w:rsidRPr="00B426EA">
        <w:rPr>
          <w:rFonts w:eastAsiaTheme="minorEastAsia"/>
          <w:sz w:val="18"/>
          <w:szCs w:val="18"/>
          <w:vertAlign w:val="superscript"/>
        </w:rPr>
        <w:footnoteRef/>
      </w:r>
      <w:r w:rsidRPr="006626EA">
        <w:rPr>
          <w:sz w:val="18"/>
          <w:szCs w:val="18"/>
        </w:rPr>
        <w:t xml:space="preserve"> Veebilehe coinmarketcap.com andmetel</w:t>
      </w:r>
      <w:r>
        <w:rPr>
          <w:sz w:val="18"/>
          <w:szCs w:val="18"/>
        </w:rPr>
        <w:t xml:space="preserve"> (seisuga 5. juuli 2022)</w:t>
      </w:r>
      <w:r w:rsidRPr="006626EA">
        <w:rPr>
          <w:sz w:val="18"/>
          <w:szCs w:val="18"/>
        </w:rPr>
        <w:t>.</w:t>
      </w:r>
    </w:p>
  </w:footnote>
  <w:footnote w:id="38">
    <w:p w14:paraId="5409B2B7" w14:textId="77777777" w:rsidR="005508E5" w:rsidRPr="000E1C84" w:rsidRDefault="005508E5" w:rsidP="005508E5">
      <w:pPr>
        <w:rPr>
          <w:sz w:val="18"/>
          <w:szCs w:val="18"/>
        </w:rPr>
      </w:pPr>
      <w:r w:rsidRPr="00B426EA">
        <w:rPr>
          <w:rFonts w:eastAsiaTheme="minorEastAsia"/>
          <w:sz w:val="18"/>
          <w:szCs w:val="18"/>
          <w:vertAlign w:val="superscript"/>
        </w:rPr>
        <w:footnoteRef/>
      </w:r>
      <w:r w:rsidRPr="000E1C84">
        <w:rPr>
          <w:sz w:val="18"/>
          <w:szCs w:val="18"/>
        </w:rPr>
        <w:t xml:space="preserve"> Allikas: https://www.ecb.europa.eu/pub/financial-stability/fsr/special/html/ecb.fsrart202205_02~1cc6b111b4.en.html</w:t>
      </w:r>
    </w:p>
  </w:footnote>
  <w:footnote w:id="39">
    <w:p w14:paraId="1319FB1D" w14:textId="77777777" w:rsidR="005508E5" w:rsidRPr="006521CB" w:rsidRDefault="005508E5" w:rsidP="005508E5">
      <w:pPr>
        <w:rPr>
          <w:sz w:val="18"/>
          <w:szCs w:val="18"/>
        </w:rPr>
      </w:pPr>
      <w:r w:rsidRPr="00B426EA">
        <w:rPr>
          <w:rFonts w:eastAsiaTheme="minorEastAsia"/>
          <w:sz w:val="18"/>
          <w:szCs w:val="18"/>
          <w:vertAlign w:val="superscript"/>
        </w:rPr>
        <w:footnoteRef/>
      </w:r>
      <w:r w:rsidRPr="008B402B">
        <w:rPr>
          <w:b/>
          <w:sz w:val="18"/>
          <w:szCs w:val="18"/>
        </w:rPr>
        <w:t xml:space="preserve"> </w:t>
      </w:r>
      <w:r w:rsidRPr="006521CB">
        <w:rPr>
          <w:sz w:val="18"/>
          <w:szCs w:val="18"/>
        </w:rPr>
        <w:t>https://www.pwc.com/ee/et/publications/pub/Strategy&amp;_ICO_STO_Study_Version_Spring_2020.pdf</w:t>
      </w:r>
    </w:p>
  </w:footnote>
  <w:footnote w:id="40">
    <w:p w14:paraId="66C338D6" w14:textId="77777777" w:rsidR="005508E5" w:rsidRPr="00B846BD" w:rsidRDefault="005508E5" w:rsidP="005508E5">
      <w:pPr>
        <w:tabs>
          <w:tab w:val="left" w:pos="426"/>
        </w:tabs>
        <w:rPr>
          <w:b/>
          <w:sz w:val="18"/>
          <w:szCs w:val="18"/>
        </w:rPr>
      </w:pPr>
      <w:r w:rsidRPr="00B426EA">
        <w:rPr>
          <w:rFonts w:eastAsiaTheme="minorEastAsia"/>
          <w:sz w:val="18"/>
          <w:szCs w:val="18"/>
          <w:vertAlign w:val="superscript"/>
        </w:rPr>
        <w:footnoteRef/>
      </w:r>
      <w:r w:rsidRPr="00B846BD">
        <w:rPr>
          <w:b/>
          <w:sz w:val="18"/>
          <w:szCs w:val="18"/>
        </w:rPr>
        <w:t xml:space="preserve"> </w:t>
      </w:r>
      <w:r w:rsidRPr="00B846BD">
        <w:rPr>
          <w:sz w:val="18"/>
          <w:szCs w:val="18"/>
        </w:rPr>
        <w:t>Allikas: Krüptovarade reguleerimise VTK, 2019.</w:t>
      </w:r>
    </w:p>
  </w:footnote>
  <w:footnote w:id="41">
    <w:p w14:paraId="6A685783" w14:textId="77777777" w:rsidR="005508E5" w:rsidRPr="00045E97" w:rsidRDefault="005508E5" w:rsidP="005508E5">
      <w:pPr>
        <w:tabs>
          <w:tab w:val="left" w:pos="426"/>
          <w:tab w:val="left" w:pos="3969"/>
        </w:tabs>
        <w:rPr>
          <w:sz w:val="18"/>
          <w:szCs w:val="18"/>
        </w:rPr>
      </w:pPr>
      <w:r w:rsidRPr="00B426EA">
        <w:rPr>
          <w:rFonts w:eastAsiaTheme="minorEastAsia"/>
          <w:sz w:val="18"/>
          <w:szCs w:val="18"/>
          <w:vertAlign w:val="superscript"/>
        </w:rPr>
        <w:footnoteRef/>
      </w:r>
      <w:r w:rsidRPr="00045E97">
        <w:rPr>
          <w:b/>
          <w:sz w:val="18"/>
          <w:szCs w:val="18"/>
        </w:rPr>
        <w:t xml:space="preserve"> </w:t>
      </w:r>
      <w:r w:rsidRPr="00045E97">
        <w:rPr>
          <w:sz w:val="18"/>
          <w:szCs w:val="18"/>
        </w:rPr>
        <w:t xml:space="preserve">Virtuaalvääringu teenuse pakkujate uuring, kättesaadav: </w:t>
      </w:r>
      <w:r w:rsidRPr="000E1C84">
        <w:rPr>
          <w:sz w:val="18"/>
          <w:szCs w:val="18"/>
        </w:rPr>
        <w:t>https://fiu.ee/media/170/download</w:t>
      </w:r>
    </w:p>
  </w:footnote>
  <w:footnote w:id="42">
    <w:p w14:paraId="3FF21A67" w14:textId="77777777" w:rsidR="005508E5" w:rsidRPr="00320558" w:rsidRDefault="005508E5" w:rsidP="005508E5">
      <w:pPr>
        <w:tabs>
          <w:tab w:val="left" w:pos="426"/>
          <w:tab w:val="left" w:pos="3969"/>
        </w:tabs>
        <w:rPr>
          <w:sz w:val="18"/>
          <w:szCs w:val="18"/>
        </w:rPr>
      </w:pPr>
      <w:r w:rsidRPr="00B426EA">
        <w:rPr>
          <w:rFonts w:eastAsiaTheme="minorEastAsia"/>
          <w:sz w:val="18"/>
          <w:szCs w:val="18"/>
          <w:vertAlign w:val="superscript"/>
        </w:rPr>
        <w:footnoteRef/>
      </w:r>
      <w:r w:rsidRPr="00320558">
        <w:rPr>
          <w:b/>
          <w:sz w:val="18"/>
          <w:szCs w:val="18"/>
        </w:rPr>
        <w:t xml:space="preserve"> </w:t>
      </w:r>
      <w:r w:rsidRPr="00320558">
        <w:rPr>
          <w:sz w:val="18"/>
          <w:szCs w:val="18"/>
        </w:rPr>
        <w:t xml:space="preserve">Allikas: </w:t>
      </w:r>
      <w:hyperlink r:id="rId23" w:history="1">
        <w:r w:rsidRPr="00B426EA">
          <w:rPr>
            <w:rStyle w:val="Heading8Char"/>
            <w:b w:val="0"/>
            <w:bCs/>
            <w:sz w:val="18"/>
            <w:szCs w:val="18"/>
          </w:rPr>
          <w:t>https://www.politsei.ee/files/Rahapesu/virtuaalvaeaeringu-teenuse-pakkujate-uuring.pdf?9fd7e5611b</w:t>
        </w:r>
      </w:hyperlink>
      <w:r w:rsidRPr="00B426EA">
        <w:rPr>
          <w:b/>
          <w:bCs/>
          <w:sz w:val="18"/>
          <w:szCs w:val="18"/>
        </w:rPr>
        <w:t>.</w:t>
      </w:r>
    </w:p>
  </w:footnote>
  <w:footnote w:id="43">
    <w:p w14:paraId="79516DBC" w14:textId="0696B5F9" w:rsidR="00E137DF" w:rsidRPr="00E137DF" w:rsidRDefault="00E137DF">
      <w:pPr>
        <w:pStyle w:val="FootnoteText"/>
        <w:rPr>
          <w:sz w:val="18"/>
          <w:szCs w:val="18"/>
        </w:rPr>
      </w:pPr>
      <w:r w:rsidRPr="00E137DF">
        <w:rPr>
          <w:rStyle w:val="FootnoteReference"/>
          <w:sz w:val="18"/>
          <w:szCs w:val="18"/>
        </w:rPr>
        <w:footnoteRef/>
      </w:r>
      <w:r w:rsidRPr="00E137DF">
        <w:rPr>
          <w:sz w:val="18"/>
          <w:szCs w:val="18"/>
        </w:rPr>
        <w:t xml:space="preserve"> </w:t>
      </w:r>
      <w:hyperlink r:id="rId24" w:anchor="d1e850-1-1" w:history="1">
        <w:r w:rsidRPr="00635BFF">
          <w:rPr>
            <w:rStyle w:val="Hyperlink"/>
            <w:sz w:val="18"/>
            <w:szCs w:val="18"/>
          </w:rPr>
          <w:t>https://eur-lex.europa.eu/legal-content/Et/TXT/?uri=CELEX%3A32020R1503#d1e850-1-1</w:t>
        </w:r>
      </w:hyperlink>
      <w:r>
        <w:rPr>
          <w:sz w:val="18"/>
          <w:szCs w:val="18"/>
        </w:rPr>
        <w:t xml:space="preserve"> </w:t>
      </w:r>
    </w:p>
  </w:footnote>
  <w:footnote w:id="44">
    <w:p w14:paraId="72615D6E" w14:textId="77777777" w:rsidR="00673173" w:rsidRPr="00320558" w:rsidRDefault="00673173" w:rsidP="00673173">
      <w:pPr>
        <w:tabs>
          <w:tab w:val="left" w:pos="426"/>
          <w:tab w:val="left" w:pos="3969"/>
        </w:tabs>
        <w:rPr>
          <w:sz w:val="18"/>
          <w:szCs w:val="18"/>
        </w:rPr>
      </w:pPr>
      <w:r w:rsidRPr="007B11E1">
        <w:rPr>
          <w:sz w:val="18"/>
          <w:szCs w:val="18"/>
          <w:vertAlign w:val="superscript"/>
        </w:rPr>
        <w:footnoteRef/>
      </w:r>
      <w:r w:rsidRPr="00320558">
        <w:rPr>
          <w:sz w:val="18"/>
          <w:szCs w:val="18"/>
        </w:rPr>
        <w:t xml:space="preserve"> Samale seisukohale on jõudnud Šveits oma 2018. aasta riiklikus rahapesu riskihinnangus. Vt lähemalt: </w:t>
      </w:r>
      <w:hyperlink r:id="rId25" w:history="1">
        <w:r w:rsidRPr="007B11E1">
          <w:rPr>
            <w:rStyle w:val="Heading8Char"/>
            <w:rFonts w:eastAsiaTheme="majorEastAsia"/>
            <w:b w:val="0"/>
            <w:bCs/>
            <w:sz w:val="18"/>
            <w:szCs w:val="18"/>
          </w:rPr>
          <w:t>https://www.newsd.admin.ch/newsd/message/attachments/56166.pdf</w:t>
        </w:r>
      </w:hyperlink>
      <w:r w:rsidRPr="00320558">
        <w:rPr>
          <w:sz w:val="18"/>
          <w:szCs w:val="18"/>
        </w:rPr>
        <w:t>, lk 14-15.</w:t>
      </w:r>
    </w:p>
  </w:footnote>
  <w:footnote w:id="45">
    <w:p w14:paraId="1C4A4491" w14:textId="77777777" w:rsidR="00673173" w:rsidRPr="00320558" w:rsidRDefault="00673173" w:rsidP="00673173">
      <w:pPr>
        <w:tabs>
          <w:tab w:val="left" w:pos="426"/>
          <w:tab w:val="left" w:pos="3969"/>
        </w:tabs>
        <w:rPr>
          <w:sz w:val="18"/>
          <w:szCs w:val="18"/>
        </w:rPr>
      </w:pPr>
      <w:r w:rsidRPr="007B11E1">
        <w:rPr>
          <w:sz w:val="18"/>
          <w:szCs w:val="18"/>
          <w:vertAlign w:val="superscript"/>
        </w:rPr>
        <w:footnoteRef/>
      </w:r>
      <w:r w:rsidRPr="00320558">
        <w:rPr>
          <w:sz w:val="18"/>
          <w:szCs w:val="18"/>
        </w:rPr>
        <w:t xml:space="preserve"> „Virtuaalvääringu teenuse pakkujate uuring“, Rahapesu andmebüroo, 22.09.2020. Kättesaadav internetis: </w:t>
      </w:r>
      <w:hyperlink r:id="rId26" w:history="1">
        <w:r w:rsidRPr="007B11E1">
          <w:rPr>
            <w:rStyle w:val="Heading8Char"/>
            <w:rFonts w:eastAsiaTheme="majorEastAsia"/>
            <w:b w:val="0"/>
            <w:bCs/>
            <w:sz w:val="18"/>
            <w:szCs w:val="18"/>
          </w:rPr>
          <w:t>https://www.politsei.ee/files/Rahapesu/virtuaalvaeaeringu-teenuse-pakkujate-uuring.pdf?9fd7e5611b</w:t>
        </w:r>
      </w:hyperlink>
    </w:p>
  </w:footnote>
  <w:footnote w:id="46">
    <w:p w14:paraId="11ADE756" w14:textId="77777777" w:rsidR="00E137DF" w:rsidRPr="00E137DF" w:rsidRDefault="00E137DF" w:rsidP="00E137DF">
      <w:pPr>
        <w:pStyle w:val="FootnoteText"/>
        <w:rPr>
          <w:sz w:val="18"/>
          <w:szCs w:val="18"/>
        </w:rPr>
      </w:pPr>
      <w:r w:rsidRPr="00E137DF">
        <w:rPr>
          <w:rStyle w:val="FootnoteReference"/>
          <w:sz w:val="18"/>
          <w:szCs w:val="18"/>
        </w:rPr>
        <w:footnoteRef/>
      </w:r>
      <w:r w:rsidRPr="00E137DF">
        <w:rPr>
          <w:sz w:val="18"/>
          <w:szCs w:val="18"/>
        </w:rPr>
        <w:t xml:space="preserve"> </w:t>
      </w:r>
      <w:hyperlink r:id="rId27" w:anchor="d1e850-1-1" w:history="1">
        <w:r w:rsidRPr="00E137DF">
          <w:rPr>
            <w:rStyle w:val="Hyperlink"/>
            <w:sz w:val="18"/>
            <w:szCs w:val="18"/>
          </w:rPr>
          <w:t>https://eur-lex.europa.eu/legal-content/Et/TXT/?uri=CELEX%3A32020R1503#d1e850-1-1</w:t>
        </w:r>
      </w:hyperlink>
      <w:r w:rsidRPr="00E137DF">
        <w:rPr>
          <w:sz w:val="18"/>
          <w:szCs w:val="18"/>
        </w:rPr>
        <w:t xml:space="preserve"> </w:t>
      </w:r>
    </w:p>
  </w:footnote>
  <w:footnote w:id="47">
    <w:p w14:paraId="5E5CFB0C" w14:textId="2751899D" w:rsidR="00E137DF" w:rsidRDefault="00E137DF">
      <w:pPr>
        <w:pStyle w:val="FootnoteText"/>
      </w:pPr>
      <w:r w:rsidRPr="00E137DF">
        <w:rPr>
          <w:rStyle w:val="FootnoteReference"/>
          <w:sz w:val="18"/>
          <w:szCs w:val="18"/>
        </w:rPr>
        <w:footnoteRef/>
      </w:r>
      <w:r w:rsidRPr="00E137DF">
        <w:rPr>
          <w:sz w:val="18"/>
          <w:szCs w:val="18"/>
        </w:rPr>
        <w:t xml:space="preserve"> </w:t>
      </w:r>
      <w:proofErr w:type="spellStart"/>
      <w:r w:rsidRPr="00E137DF">
        <w:rPr>
          <w:sz w:val="18"/>
          <w:szCs w:val="18"/>
        </w:rPr>
        <w:t>Ibid</w:t>
      </w:r>
      <w:proofErr w:type="spellEnd"/>
      <w:r w:rsidRPr="00E137DF">
        <w:rPr>
          <w:sz w:val="18"/>
          <w:szCs w:val="18"/>
        </w:rPr>
        <w:t>.</w:t>
      </w:r>
    </w:p>
  </w:footnote>
  <w:footnote w:id="48">
    <w:p w14:paraId="247303B3" w14:textId="35DF98DD" w:rsidR="00E137DF" w:rsidRPr="00E137DF" w:rsidRDefault="00E137DF">
      <w:pPr>
        <w:pStyle w:val="FootnoteText"/>
        <w:rPr>
          <w:sz w:val="18"/>
          <w:szCs w:val="18"/>
        </w:rPr>
      </w:pPr>
      <w:r w:rsidRPr="00E137DF">
        <w:rPr>
          <w:rStyle w:val="FootnoteReference"/>
          <w:sz w:val="18"/>
          <w:szCs w:val="18"/>
        </w:rPr>
        <w:footnoteRef/>
      </w:r>
      <w:r w:rsidRPr="00E137DF">
        <w:rPr>
          <w:sz w:val="18"/>
          <w:szCs w:val="18"/>
        </w:rPr>
        <w:t xml:space="preserve"> </w:t>
      </w:r>
      <w:proofErr w:type="spellStart"/>
      <w:r w:rsidRPr="00E137DF">
        <w:rPr>
          <w:sz w:val="18"/>
          <w:szCs w:val="18"/>
        </w:rPr>
        <w:t>Ibid</w:t>
      </w:r>
      <w:proofErr w:type="spellEnd"/>
      <w:r w:rsidRPr="00E137DF">
        <w:rPr>
          <w:sz w:val="18"/>
          <w:szCs w:val="18"/>
        </w:rPr>
        <w:t>.</w:t>
      </w:r>
    </w:p>
  </w:footnote>
  <w:footnote w:id="49">
    <w:p w14:paraId="30045509" w14:textId="77777777" w:rsidR="009E5A2E" w:rsidRPr="00E137DF" w:rsidRDefault="009E5A2E" w:rsidP="009E5A2E">
      <w:pPr>
        <w:pStyle w:val="FootnoteText"/>
        <w:rPr>
          <w:sz w:val="18"/>
          <w:szCs w:val="18"/>
        </w:rPr>
      </w:pPr>
      <w:r w:rsidRPr="00E137DF">
        <w:rPr>
          <w:rStyle w:val="FootnoteReference"/>
          <w:sz w:val="18"/>
          <w:szCs w:val="18"/>
        </w:rPr>
        <w:footnoteRef/>
      </w:r>
      <w:r w:rsidRPr="00E137DF">
        <w:rPr>
          <w:sz w:val="18"/>
          <w:szCs w:val="18"/>
        </w:rPr>
        <w:t xml:space="preserve"> </w:t>
      </w:r>
      <w:hyperlink r:id="rId28" w:anchor="d1e850-1-1" w:history="1">
        <w:r w:rsidRPr="00635BFF">
          <w:rPr>
            <w:rStyle w:val="Hyperlink"/>
            <w:sz w:val="18"/>
            <w:szCs w:val="18"/>
          </w:rPr>
          <w:t>https://eur-lex.europa.eu/legal-content/Et/TXT/?uri=CELEX%3A32020R1503#d1e850-1-1</w:t>
        </w:r>
      </w:hyperlink>
      <w:r>
        <w:rPr>
          <w:sz w:val="18"/>
          <w:szCs w:val="18"/>
        </w:rPr>
        <w:t xml:space="preserve"> </w:t>
      </w:r>
    </w:p>
  </w:footnote>
  <w:footnote w:id="50">
    <w:p w14:paraId="4BA2F89C" w14:textId="763A4B8B" w:rsidR="00356262" w:rsidRDefault="00356262" w:rsidP="008F12CE">
      <w:pPr>
        <w:jc w:val="left"/>
      </w:pPr>
      <w:r w:rsidRPr="008F12CE">
        <w:rPr>
          <w:rFonts w:eastAsiaTheme="minorEastAsia"/>
          <w:vertAlign w:val="superscript"/>
        </w:rPr>
        <w:footnoteRef/>
      </w:r>
      <w:r>
        <w:t xml:space="preserve"> </w:t>
      </w:r>
      <w:hyperlink r:id="rId29" w:history="1">
        <w:r w:rsidR="008F12CE" w:rsidRPr="00635BFF">
          <w:rPr>
            <w:rStyle w:val="Hyperlink"/>
            <w:sz w:val="18"/>
            <w:szCs w:val="18"/>
          </w:rPr>
          <w:t>https://fi.ee/sites/default/files/2022-06/Sobivusmenetluste%20l%C3%A4biviimise%20juhend_MUUDETUD_KINNITATUD.pdf</w:t>
        </w:r>
      </w:hyperlink>
      <w:r w:rsidR="008F12CE">
        <w:rPr>
          <w:sz w:val="18"/>
          <w:szCs w:val="18"/>
        </w:rPr>
        <w:t xml:space="preserve"> </w:t>
      </w:r>
    </w:p>
  </w:footnote>
  <w:footnote w:id="51">
    <w:p w14:paraId="3ECCFC7E" w14:textId="77777777" w:rsidR="00AB065E" w:rsidRPr="00320558" w:rsidRDefault="00AB065E" w:rsidP="00491B07">
      <w:pPr>
        <w:tabs>
          <w:tab w:val="left" w:pos="426"/>
          <w:tab w:val="left" w:pos="3969"/>
        </w:tabs>
        <w:jc w:val="left"/>
        <w:rPr>
          <w:sz w:val="18"/>
          <w:szCs w:val="18"/>
        </w:rPr>
      </w:pPr>
      <w:r w:rsidRPr="00491B07">
        <w:rPr>
          <w:sz w:val="18"/>
          <w:szCs w:val="18"/>
          <w:vertAlign w:val="superscript"/>
        </w:rPr>
        <w:footnoteRef/>
      </w:r>
      <w:r w:rsidRPr="00320558">
        <w:rPr>
          <w:sz w:val="18"/>
          <w:szCs w:val="18"/>
        </w:rPr>
        <w:t xml:space="preserve"> Kättesaadav: </w:t>
      </w:r>
      <w:hyperlink r:id="rId30" w:history="1">
        <w:r w:rsidRPr="00491B07">
          <w:rPr>
            <w:rStyle w:val="Heading8Char"/>
            <w:b w:val="0"/>
            <w:bCs/>
            <w:sz w:val="18"/>
            <w:szCs w:val="18"/>
          </w:rPr>
          <w:t>https://fi.ee/sites/default/files/2018-08/pp_nr_06.1_20170202_Nouded_finantsjarelevalve_subjekti_talitluspidevuse_protsessi_korraldamisele.pdf</w:t>
        </w:r>
      </w:hyperlink>
    </w:p>
  </w:footnote>
  <w:footnote w:id="52">
    <w:p w14:paraId="5096DCA8" w14:textId="609CD177" w:rsidR="009E5A2E" w:rsidRPr="009E5A2E" w:rsidRDefault="009E5A2E">
      <w:pPr>
        <w:pStyle w:val="FootnoteText"/>
        <w:rPr>
          <w:sz w:val="18"/>
          <w:szCs w:val="18"/>
        </w:rPr>
      </w:pPr>
      <w:r w:rsidRPr="009E5A2E">
        <w:rPr>
          <w:rStyle w:val="FootnoteReference"/>
          <w:sz w:val="18"/>
          <w:szCs w:val="18"/>
        </w:rPr>
        <w:footnoteRef/>
      </w:r>
      <w:r w:rsidRPr="009E5A2E">
        <w:rPr>
          <w:sz w:val="18"/>
          <w:szCs w:val="18"/>
        </w:rPr>
        <w:t xml:space="preserve"> </w:t>
      </w:r>
      <w:hyperlink r:id="rId31" w:anchor="tocId32" w:history="1">
        <w:r w:rsidRPr="00635BFF">
          <w:rPr>
            <w:rStyle w:val="Hyperlink"/>
            <w:sz w:val="18"/>
            <w:szCs w:val="18"/>
          </w:rPr>
          <w:t>https://eur-lex.europa.eu/legal-content/Et/TXT/?uri=CELEX%3A02013R0575-20220410#tocId32</w:t>
        </w:r>
      </w:hyperlink>
      <w:r>
        <w:rPr>
          <w:sz w:val="18"/>
          <w:szCs w:val="18"/>
        </w:rPr>
        <w:t xml:space="preserve"> </w:t>
      </w:r>
    </w:p>
  </w:footnote>
  <w:footnote w:id="53">
    <w:p w14:paraId="53087492" w14:textId="77777777" w:rsidR="003057ED" w:rsidRPr="00320558" w:rsidRDefault="003057ED" w:rsidP="00CF2ECF">
      <w:pPr>
        <w:tabs>
          <w:tab w:val="left" w:pos="426"/>
          <w:tab w:val="left" w:pos="3969"/>
        </w:tabs>
        <w:spacing w:before="0"/>
        <w:rPr>
          <w:sz w:val="18"/>
          <w:szCs w:val="18"/>
        </w:rPr>
      </w:pPr>
      <w:r w:rsidRPr="00CF2ECF">
        <w:rPr>
          <w:sz w:val="18"/>
          <w:szCs w:val="18"/>
          <w:vertAlign w:val="superscript"/>
        </w:rPr>
        <w:footnoteRef/>
      </w:r>
      <w:r w:rsidRPr="00320558">
        <w:rPr>
          <w:b/>
          <w:sz w:val="18"/>
          <w:szCs w:val="18"/>
        </w:rPr>
        <w:t xml:space="preserve"> </w:t>
      </w:r>
      <w:r w:rsidRPr="00320558">
        <w:rPr>
          <w:sz w:val="18"/>
          <w:szCs w:val="18"/>
        </w:rPr>
        <w:t>Saare, K., Volens, U., Vutt, A., Vutt, M., Ühinguõigus I, Juura 2015, lk 445.</w:t>
      </w:r>
    </w:p>
  </w:footnote>
  <w:footnote w:id="54">
    <w:p w14:paraId="066CF43D" w14:textId="77777777" w:rsidR="003057ED" w:rsidRPr="00320558" w:rsidRDefault="003057ED" w:rsidP="00CF2ECF">
      <w:pPr>
        <w:tabs>
          <w:tab w:val="left" w:pos="426"/>
          <w:tab w:val="left" w:pos="3969"/>
        </w:tabs>
        <w:spacing w:before="0"/>
        <w:rPr>
          <w:sz w:val="18"/>
          <w:szCs w:val="18"/>
        </w:rPr>
      </w:pPr>
      <w:r w:rsidRPr="00CF2ECF">
        <w:rPr>
          <w:sz w:val="18"/>
          <w:szCs w:val="18"/>
          <w:vertAlign w:val="superscript"/>
        </w:rPr>
        <w:footnoteRef/>
      </w:r>
      <w:r w:rsidRPr="00320558">
        <w:rPr>
          <w:b/>
          <w:sz w:val="18"/>
          <w:szCs w:val="18"/>
        </w:rPr>
        <w:t xml:space="preserve"> </w:t>
      </w:r>
      <w:r w:rsidRPr="00320558">
        <w:rPr>
          <w:sz w:val="18"/>
          <w:szCs w:val="18"/>
        </w:rPr>
        <w:t>Saare, K., Volens, U., Vutt, A., Vutt, M., Ühinguõigus I, Juura 2015, lk 446.</w:t>
      </w:r>
    </w:p>
  </w:footnote>
  <w:footnote w:id="55">
    <w:p w14:paraId="44CBC771" w14:textId="1EAD51B0" w:rsidR="009E5A2E" w:rsidRPr="009E5A2E" w:rsidRDefault="009E5A2E">
      <w:pPr>
        <w:pStyle w:val="FootnoteText"/>
        <w:rPr>
          <w:sz w:val="18"/>
          <w:szCs w:val="18"/>
        </w:rPr>
      </w:pPr>
      <w:r w:rsidRPr="009E5A2E">
        <w:rPr>
          <w:rStyle w:val="FootnoteReference"/>
          <w:sz w:val="18"/>
          <w:szCs w:val="18"/>
        </w:rPr>
        <w:footnoteRef/>
      </w:r>
      <w:r w:rsidRPr="009E5A2E">
        <w:rPr>
          <w:sz w:val="18"/>
          <w:szCs w:val="18"/>
        </w:rPr>
        <w:t xml:space="preserve"> </w:t>
      </w:r>
      <w:hyperlink r:id="rId32" w:anchor="d1e3451-1-1" w:history="1">
        <w:r w:rsidRPr="00635BFF">
          <w:rPr>
            <w:rStyle w:val="Hyperlink"/>
            <w:sz w:val="18"/>
            <w:szCs w:val="18"/>
          </w:rPr>
          <w:t>https://eur-lex.europa.eu/legal-content/Et/TXT/?uri=CELEX%3A32020R1503#d1e3451-1-1</w:t>
        </w:r>
      </w:hyperlink>
      <w:r>
        <w:rPr>
          <w:sz w:val="18"/>
          <w:szCs w:val="18"/>
        </w:rPr>
        <w:t xml:space="preserve"> </w:t>
      </w:r>
    </w:p>
  </w:footnote>
  <w:footnote w:id="56">
    <w:p w14:paraId="1CE26A8E" w14:textId="77777777" w:rsidR="003057ED" w:rsidRPr="00320558" w:rsidRDefault="003057ED" w:rsidP="003057ED">
      <w:pPr>
        <w:tabs>
          <w:tab w:val="left" w:pos="426"/>
        </w:tabs>
        <w:rPr>
          <w:sz w:val="18"/>
          <w:szCs w:val="18"/>
        </w:rPr>
      </w:pPr>
      <w:r w:rsidRPr="00C95F0D">
        <w:rPr>
          <w:sz w:val="18"/>
          <w:szCs w:val="18"/>
          <w:vertAlign w:val="superscript"/>
        </w:rPr>
        <w:footnoteRef/>
      </w:r>
      <w:r w:rsidRPr="00320558">
        <w:rPr>
          <w:sz w:val="18"/>
          <w:szCs w:val="18"/>
        </w:rPr>
        <w:t xml:space="preserve"> </w:t>
      </w:r>
      <w:r w:rsidRPr="00320558">
        <w:rPr>
          <w:sz w:val="18"/>
          <w:szCs w:val="18"/>
        </w:rPr>
        <w:t xml:space="preserve">Kättesaadav: </w:t>
      </w:r>
      <w:hyperlink r:id="rId33" w:anchor="ntr23-L_2020347ET.01000101-E0025" w:history="1">
        <w:r w:rsidRPr="00C95F0D">
          <w:rPr>
            <w:rStyle w:val="Heading8Char"/>
            <w:b w:val="0"/>
            <w:bCs/>
            <w:sz w:val="18"/>
            <w:szCs w:val="18"/>
          </w:rPr>
          <w:t>https://eur-lex.europa.eu/legal-content/ET/TXT/HTML/?uri=CELEX:32020R1503&amp;from=EN#ntr23-L_2020347ET.01000101-E0025</w:t>
        </w:r>
      </w:hyperlink>
      <w:r w:rsidRPr="00C95F0D">
        <w:rPr>
          <w:b/>
          <w:bCs/>
          <w:sz w:val="18"/>
          <w:szCs w:val="18"/>
        </w:rPr>
        <w:t>.</w:t>
      </w:r>
    </w:p>
  </w:footnote>
  <w:footnote w:id="57">
    <w:p w14:paraId="2D227EF3" w14:textId="3F658F0A" w:rsidR="005508E5" w:rsidRPr="000171FE" w:rsidRDefault="005508E5" w:rsidP="005508E5">
      <w:pPr>
        <w:tabs>
          <w:tab w:val="left" w:pos="426"/>
          <w:tab w:val="left" w:pos="3969"/>
        </w:tabs>
        <w:rPr>
          <w:sz w:val="18"/>
          <w:szCs w:val="18"/>
        </w:rPr>
      </w:pPr>
      <w:r w:rsidRPr="00067D5A">
        <w:rPr>
          <w:sz w:val="18"/>
          <w:szCs w:val="18"/>
          <w:vertAlign w:val="superscript"/>
        </w:rPr>
        <w:footnoteRef/>
      </w:r>
      <w:r w:rsidRPr="000171FE">
        <w:rPr>
          <w:sz w:val="18"/>
          <w:szCs w:val="18"/>
        </w:rPr>
        <w:t xml:space="preserve"> </w:t>
      </w:r>
      <w:r>
        <w:rPr>
          <w:sz w:val="18"/>
          <w:szCs w:val="18"/>
        </w:rPr>
        <w:t>Teatud i</w:t>
      </w:r>
      <w:r w:rsidRPr="000171FE">
        <w:rPr>
          <w:sz w:val="18"/>
          <w:szCs w:val="18"/>
        </w:rPr>
        <w:t>nfot võib</w:t>
      </w:r>
      <w:r>
        <w:rPr>
          <w:sz w:val="18"/>
          <w:szCs w:val="18"/>
        </w:rPr>
        <w:t xml:space="preserve"> siiski</w:t>
      </w:r>
      <w:r w:rsidRPr="000171FE">
        <w:rPr>
          <w:sz w:val="18"/>
          <w:szCs w:val="18"/>
        </w:rPr>
        <w:t xml:space="preserve"> leida </w:t>
      </w:r>
      <w:r>
        <w:rPr>
          <w:sz w:val="18"/>
          <w:szCs w:val="18"/>
        </w:rPr>
        <w:t>nt</w:t>
      </w:r>
      <w:r w:rsidRPr="000171FE">
        <w:rPr>
          <w:sz w:val="18"/>
          <w:szCs w:val="18"/>
        </w:rPr>
        <w:t xml:space="preserve"> siit: </w:t>
      </w:r>
      <w:hyperlink r:id="rId34" w:history="1">
        <w:r w:rsidRPr="00067D5A">
          <w:rPr>
            <w:rStyle w:val="Heading8Char"/>
            <w:rFonts w:eastAsiaTheme="majorEastAsia"/>
            <w:b w:val="0"/>
            <w:bCs/>
            <w:sz w:val="18"/>
            <w:szCs w:val="18"/>
          </w:rPr>
          <w:t>https://rahafoorum.ee/p2p/</w:t>
        </w:r>
      </w:hyperlink>
      <w:r w:rsidRPr="00067D5A">
        <w:rPr>
          <w:b/>
          <w:bCs/>
          <w:sz w:val="18"/>
          <w:szCs w:val="18"/>
        </w:rPr>
        <w:t>.</w:t>
      </w:r>
      <w:r w:rsidRPr="000171FE">
        <w:rPr>
          <w:sz w:val="18"/>
          <w:szCs w:val="18"/>
        </w:rPr>
        <w:t xml:space="preserve"> </w:t>
      </w:r>
    </w:p>
  </w:footnote>
  <w:footnote w:id="58">
    <w:p w14:paraId="1F6D0B8B" w14:textId="77777777" w:rsidR="005508E5" w:rsidRPr="00320558" w:rsidRDefault="005508E5" w:rsidP="00067D5A">
      <w:pPr>
        <w:tabs>
          <w:tab w:val="left" w:pos="426"/>
          <w:tab w:val="left" w:pos="3969"/>
        </w:tabs>
        <w:spacing w:before="0"/>
        <w:rPr>
          <w:sz w:val="18"/>
          <w:szCs w:val="18"/>
        </w:rPr>
      </w:pPr>
      <w:r w:rsidRPr="00067D5A">
        <w:rPr>
          <w:sz w:val="18"/>
          <w:szCs w:val="18"/>
          <w:vertAlign w:val="superscript"/>
        </w:rPr>
        <w:footnoteRef/>
      </w:r>
      <w:r w:rsidRPr="00320558">
        <w:rPr>
          <w:b/>
          <w:sz w:val="18"/>
          <w:szCs w:val="18"/>
        </w:rPr>
        <w:t xml:space="preserve"> </w:t>
      </w:r>
      <w:hyperlink r:id="rId35" w:history="1">
        <w:r w:rsidRPr="00067D5A">
          <w:rPr>
            <w:rStyle w:val="Heading8Char"/>
            <w:rFonts w:eastAsiaTheme="majorEastAsia"/>
            <w:b w:val="0"/>
            <w:bCs/>
            <w:sz w:val="18"/>
            <w:szCs w:val="18"/>
          </w:rPr>
          <w:t>https://www.politsei.ee/files/Rahapesu/virtuaalvaeaeringu-teenuse-pakkujate-uuring.pdf?9fd7e5611b</w:t>
        </w:r>
      </w:hyperlink>
      <w:r w:rsidRPr="00320558">
        <w:rPr>
          <w:sz w:val="18"/>
          <w:szCs w:val="18"/>
        </w:rPr>
        <w:t>, lk 19.</w:t>
      </w:r>
    </w:p>
  </w:footnote>
  <w:footnote w:id="59">
    <w:p w14:paraId="3560901D" w14:textId="77777777" w:rsidR="005508E5" w:rsidRPr="000171FE" w:rsidRDefault="005508E5" w:rsidP="00067D5A">
      <w:pPr>
        <w:spacing w:before="0"/>
        <w:rPr>
          <w:sz w:val="18"/>
          <w:szCs w:val="18"/>
        </w:rPr>
      </w:pPr>
      <w:r w:rsidRPr="00067D5A">
        <w:rPr>
          <w:sz w:val="18"/>
          <w:szCs w:val="18"/>
          <w:vertAlign w:val="superscript"/>
        </w:rPr>
        <w:footnoteRef/>
      </w:r>
      <w:r w:rsidRPr="000171FE">
        <w:rPr>
          <w:sz w:val="18"/>
          <w:szCs w:val="18"/>
        </w:rPr>
        <w:t xml:space="preserve"> https://taltech.ee/en/news/fintech-report-estonia-2021</w:t>
      </w:r>
    </w:p>
  </w:footnote>
  <w:footnote w:id="60">
    <w:p w14:paraId="5485805A" w14:textId="77777777" w:rsidR="005508E5" w:rsidRPr="002A063D" w:rsidRDefault="005508E5" w:rsidP="00067D5A">
      <w:pPr>
        <w:spacing w:before="0"/>
        <w:rPr>
          <w:sz w:val="20"/>
          <w:szCs w:val="20"/>
        </w:rPr>
      </w:pPr>
      <w:r w:rsidRPr="00067D5A">
        <w:rPr>
          <w:sz w:val="18"/>
          <w:szCs w:val="18"/>
          <w:vertAlign w:val="superscript"/>
        </w:rPr>
        <w:footnoteRef/>
      </w:r>
      <w:r w:rsidRPr="000171FE">
        <w:rPr>
          <w:sz w:val="18"/>
          <w:szCs w:val="18"/>
        </w:rPr>
        <w:t xml:space="preserve"> Allikas: TalTech uuring Eesti FinTech sektori kohta (2021. a. 16. juuni), lk 14</w:t>
      </w:r>
    </w:p>
  </w:footnote>
  <w:footnote w:id="61">
    <w:p w14:paraId="2099D20A" w14:textId="77777777" w:rsidR="005508E5" w:rsidRPr="000D013B" w:rsidRDefault="005508E5" w:rsidP="005508E5">
      <w:pPr>
        <w:ind w:hanging="11"/>
        <w:rPr>
          <w:sz w:val="18"/>
          <w:szCs w:val="18"/>
        </w:rPr>
      </w:pPr>
      <w:r w:rsidRPr="00067D5A">
        <w:rPr>
          <w:sz w:val="18"/>
          <w:szCs w:val="18"/>
          <w:vertAlign w:val="superscript"/>
        </w:rPr>
        <w:footnoteRef/>
      </w:r>
      <w:r w:rsidRPr="00067D5A">
        <w:rPr>
          <w:sz w:val="18"/>
          <w:szCs w:val="18"/>
          <w:vertAlign w:val="superscript"/>
        </w:rPr>
        <w:t xml:space="preserve"> </w:t>
      </w:r>
      <w:r w:rsidRPr="000D013B">
        <w:rPr>
          <w:sz w:val="18"/>
          <w:szCs w:val="18"/>
        </w:rPr>
        <w:t>Allikas: Finantsinspektsiooni 2021. a. aastaraamat: https://www.fi.ee/et/publikatsioonid/finantsinspektsiooni-aastaraamat-2021#h1-0</w:t>
      </w:r>
    </w:p>
  </w:footnote>
  <w:footnote w:id="62">
    <w:p w14:paraId="481B9F33" w14:textId="77777777" w:rsidR="005508E5" w:rsidRPr="00320558" w:rsidRDefault="005508E5" w:rsidP="005508E5">
      <w:pPr>
        <w:tabs>
          <w:tab w:val="left" w:pos="426"/>
        </w:tabs>
        <w:rPr>
          <w:b/>
          <w:sz w:val="18"/>
          <w:szCs w:val="18"/>
        </w:rPr>
      </w:pPr>
      <w:r w:rsidRPr="00067D5A">
        <w:rPr>
          <w:sz w:val="18"/>
          <w:szCs w:val="18"/>
          <w:vertAlign w:val="superscript"/>
        </w:rPr>
        <w:footnoteRef/>
      </w:r>
      <w:r w:rsidRPr="00320558">
        <w:rPr>
          <w:b/>
          <w:sz w:val="18"/>
          <w:szCs w:val="18"/>
        </w:rPr>
        <w:t xml:space="preserve"> </w:t>
      </w:r>
      <w:r w:rsidRPr="00320558">
        <w:rPr>
          <w:sz w:val="18"/>
          <w:szCs w:val="18"/>
        </w:rPr>
        <w:t>Investeeri, LHV ajakiri nr 4/2018, lk 12.</w:t>
      </w:r>
    </w:p>
  </w:footnote>
  <w:footnote w:id="63">
    <w:p w14:paraId="66B75200" w14:textId="77777777" w:rsidR="005508E5" w:rsidRPr="00320558" w:rsidRDefault="005508E5" w:rsidP="005508E5">
      <w:pPr>
        <w:tabs>
          <w:tab w:val="left" w:pos="426"/>
        </w:tabs>
        <w:rPr>
          <w:b/>
          <w:sz w:val="18"/>
          <w:szCs w:val="18"/>
        </w:rPr>
      </w:pPr>
      <w:r w:rsidRPr="00067D5A">
        <w:rPr>
          <w:sz w:val="18"/>
          <w:szCs w:val="18"/>
          <w:vertAlign w:val="superscript"/>
        </w:rPr>
        <w:footnoteRef/>
      </w:r>
      <w:r w:rsidRPr="00320558">
        <w:rPr>
          <w:b/>
          <w:sz w:val="18"/>
          <w:szCs w:val="18"/>
        </w:rPr>
        <w:t xml:space="preserve"> </w:t>
      </w:r>
      <w:r w:rsidRPr="00320558">
        <w:rPr>
          <w:sz w:val="18"/>
          <w:szCs w:val="18"/>
        </w:rPr>
        <w:t xml:space="preserve">Postimees, </w:t>
      </w:r>
      <w:hyperlink r:id="rId36" w:history="1">
        <w:r w:rsidRPr="00067D5A">
          <w:rPr>
            <w:rStyle w:val="Heading8Char"/>
            <w:rFonts w:eastAsiaTheme="majorEastAsia"/>
            <w:b w:val="0"/>
            <w:bCs/>
            <w:sz w:val="18"/>
            <w:szCs w:val="18"/>
          </w:rPr>
          <w:t>https://leht.postimees.ee/7123356/uhisrahastajad-pistavad-rinda-oma-ajaloo-esimese-kriisiaastaga</w:t>
        </w:r>
      </w:hyperlink>
      <w:r w:rsidRPr="00320558">
        <w:rPr>
          <w:sz w:val="18"/>
          <w:szCs w:val="18"/>
        </w:rPr>
        <w:t>.</w:t>
      </w:r>
    </w:p>
  </w:footnote>
  <w:footnote w:id="64">
    <w:p w14:paraId="21D1A81D" w14:textId="77777777" w:rsidR="005508E5" w:rsidRPr="00320558" w:rsidRDefault="005508E5" w:rsidP="005508E5">
      <w:pPr>
        <w:tabs>
          <w:tab w:val="left" w:pos="426"/>
          <w:tab w:val="left" w:pos="3969"/>
        </w:tabs>
        <w:rPr>
          <w:sz w:val="18"/>
          <w:szCs w:val="18"/>
        </w:rPr>
      </w:pPr>
      <w:r w:rsidRPr="00320558">
        <w:rPr>
          <w:sz w:val="18"/>
          <w:szCs w:val="18"/>
        </w:rPr>
        <w:footnoteRef/>
      </w:r>
      <w:r w:rsidRPr="00320558">
        <w:rPr>
          <w:sz w:val="18"/>
          <w:szCs w:val="18"/>
        </w:rPr>
        <w:t xml:space="preserve"> </w:t>
      </w:r>
      <w:hyperlink r:id="rId37" w:history="1">
        <w:r w:rsidRPr="00067D5A">
          <w:rPr>
            <w:rStyle w:val="Heading8Char"/>
            <w:rFonts w:eastAsiaTheme="majorEastAsia"/>
            <w:b w:val="0"/>
            <w:bCs/>
            <w:sz w:val="18"/>
            <w:szCs w:val="18"/>
          </w:rPr>
          <w:t>https://www.politsei.ee/files/Rahapesu/virtuaalvaeaeringu-teenuse-pakkujate-uuring.pdf?9fd7e5611b</w:t>
        </w:r>
      </w:hyperlink>
      <w:r w:rsidRPr="00320558">
        <w:rPr>
          <w:sz w:val="18"/>
          <w:szCs w:val="18"/>
        </w:rPr>
        <w:t>, lk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46DF8E"/>
    <w:lvl w:ilvl="0">
      <w:start w:val="1"/>
      <w:numFmt w:val="decimal"/>
      <w:pStyle w:val="Pealkiri3"/>
      <w:lvlText w:val="%1."/>
      <w:lvlJc w:val="left"/>
      <w:pPr>
        <w:tabs>
          <w:tab w:val="num" w:pos="360"/>
        </w:tabs>
        <w:ind w:left="360" w:hanging="360"/>
      </w:pPr>
      <w:rPr>
        <w:rFonts w:cs="Times New Roman"/>
      </w:rPr>
    </w:lvl>
  </w:abstractNum>
  <w:abstractNum w:abstractNumId="1" w15:restartNumberingAfterBreak="0">
    <w:nsid w:val="00863117"/>
    <w:multiLevelType w:val="hybridMultilevel"/>
    <w:tmpl w:val="145675B6"/>
    <w:lvl w:ilvl="0" w:tplc="FFFFFFFF">
      <w:start w:val="1"/>
      <w:numFmt w:val="decimal"/>
      <w:lvlText w:val="%1)"/>
      <w:lvlJc w:val="left"/>
      <w:pPr>
        <w:ind w:left="720" w:hanging="360"/>
      </w:pPr>
    </w:lvl>
    <w:lvl w:ilvl="1" w:tplc="042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83D89"/>
    <w:multiLevelType w:val="hybridMultilevel"/>
    <w:tmpl w:val="ECBC708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828C6"/>
    <w:multiLevelType w:val="hybridMultilevel"/>
    <w:tmpl w:val="BBAAE36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F76DA6"/>
    <w:multiLevelType w:val="hybridMultilevel"/>
    <w:tmpl w:val="2C8C6C02"/>
    <w:lvl w:ilvl="0" w:tplc="EEA6ECAA">
      <w:start w:val="1"/>
      <w:numFmt w:val="upperRoman"/>
      <w:pStyle w:val="Heading1"/>
      <w:lvlText w:val="%1."/>
      <w:lvlJc w:val="left"/>
      <w:pPr>
        <w:tabs>
          <w:tab w:val="num" w:pos="7241"/>
        </w:tabs>
        <w:ind w:left="7241" w:hanging="720"/>
      </w:pPr>
      <w:rPr>
        <w:rFonts w:cs="Times New Roman" w:hint="default"/>
      </w:rPr>
    </w:lvl>
    <w:lvl w:ilvl="1" w:tplc="20CECF32">
      <w:start w:val="1"/>
      <w:numFmt w:val="bullet"/>
      <w:lvlText w:val=""/>
      <w:lvlJc w:val="left"/>
      <w:pPr>
        <w:tabs>
          <w:tab w:val="num" w:pos="1080"/>
        </w:tabs>
        <w:ind w:left="1077" w:hanging="357"/>
      </w:pPr>
      <w:rPr>
        <w:rFonts w:ascii="Symbol" w:hAnsi="Symbol"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0D15AC7"/>
    <w:multiLevelType w:val="hybridMultilevel"/>
    <w:tmpl w:val="787478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2AD218D"/>
    <w:multiLevelType w:val="hybridMultilevel"/>
    <w:tmpl w:val="872E65E6"/>
    <w:lvl w:ilvl="0" w:tplc="E2E4082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844A5"/>
    <w:multiLevelType w:val="hybridMultilevel"/>
    <w:tmpl w:val="5B3C9C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C7625E"/>
    <w:multiLevelType w:val="hybridMultilevel"/>
    <w:tmpl w:val="DC4289E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33846"/>
    <w:multiLevelType w:val="hybridMultilevel"/>
    <w:tmpl w:val="395C02C6"/>
    <w:lvl w:ilvl="0" w:tplc="042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534D9"/>
    <w:multiLevelType w:val="hybridMultilevel"/>
    <w:tmpl w:val="2F30B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66B4D0E"/>
    <w:multiLevelType w:val="hybridMultilevel"/>
    <w:tmpl w:val="86781F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93722"/>
    <w:multiLevelType w:val="hybridMultilevel"/>
    <w:tmpl w:val="A7ECB42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A5244D"/>
    <w:multiLevelType w:val="hybridMultilevel"/>
    <w:tmpl w:val="8D989D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967ED2"/>
    <w:multiLevelType w:val="hybridMultilevel"/>
    <w:tmpl w:val="B22E3098"/>
    <w:lvl w:ilvl="0" w:tplc="04250001">
      <w:start w:val="1"/>
      <w:numFmt w:val="bullet"/>
      <w:lvlText w:val=""/>
      <w:lvlJc w:val="left"/>
      <w:pPr>
        <w:tabs>
          <w:tab w:val="num" w:pos="357"/>
        </w:tabs>
        <w:ind w:left="357" w:hanging="357"/>
      </w:pPr>
      <w:rPr>
        <w:rFonts w:ascii="Symbol" w:hAnsi="Symbol" w:hint="default"/>
      </w:rPr>
    </w:lvl>
    <w:lvl w:ilvl="1" w:tplc="04250001">
      <w:start w:val="1"/>
      <w:numFmt w:val="bullet"/>
      <w:lvlText w:val=""/>
      <w:lvlJc w:val="left"/>
      <w:pPr>
        <w:tabs>
          <w:tab w:val="num" w:pos="1437"/>
        </w:tabs>
        <w:ind w:left="1437" w:hanging="357"/>
      </w:pPr>
      <w:rPr>
        <w:rFonts w:ascii="Symbol" w:hAnsi="Symbol" w:hint="default"/>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AF5C0C"/>
    <w:multiLevelType w:val="hybridMultilevel"/>
    <w:tmpl w:val="01961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92D5A7D"/>
    <w:multiLevelType w:val="hybridMultilevel"/>
    <w:tmpl w:val="B2AE6EC8"/>
    <w:lvl w:ilvl="0" w:tplc="7D06D1C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CF356D"/>
    <w:multiLevelType w:val="hybridMultilevel"/>
    <w:tmpl w:val="93C43B6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3F576F5"/>
    <w:multiLevelType w:val="hybridMultilevel"/>
    <w:tmpl w:val="D3CCD9E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7997"/>
    <w:multiLevelType w:val="hybridMultilevel"/>
    <w:tmpl w:val="B85AFFC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057D2"/>
    <w:multiLevelType w:val="hybridMultilevel"/>
    <w:tmpl w:val="AA0AD8D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B9D3B09"/>
    <w:multiLevelType w:val="hybridMultilevel"/>
    <w:tmpl w:val="13341BEA"/>
    <w:lvl w:ilvl="0" w:tplc="48C650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F1B8D"/>
    <w:multiLevelType w:val="hybridMultilevel"/>
    <w:tmpl w:val="52AAC9CC"/>
    <w:lvl w:ilvl="0" w:tplc="0425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FDA4C22"/>
    <w:multiLevelType w:val="hybridMultilevel"/>
    <w:tmpl w:val="02F0FA2A"/>
    <w:lvl w:ilvl="0" w:tplc="EEE67782">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8953C6"/>
    <w:multiLevelType w:val="hybridMultilevel"/>
    <w:tmpl w:val="3A346E5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4C45DFB"/>
    <w:multiLevelType w:val="hybridMultilevel"/>
    <w:tmpl w:val="70CA57EE"/>
    <w:lvl w:ilvl="0" w:tplc="66E83732">
      <w:start w:val="1"/>
      <w:numFmt w:val="upperRoman"/>
      <w:pStyle w:val="StyleHeading1Garamond14ptBoldBlackSmallcapsAfter"/>
      <w:lvlText w:val="%1."/>
      <w:lvlJc w:val="left"/>
      <w:pPr>
        <w:tabs>
          <w:tab w:val="num" w:pos="363"/>
        </w:tabs>
        <w:ind w:left="363" w:hanging="363"/>
      </w:pPr>
      <w:rPr>
        <w:rFonts w:cs="Times New Roman" w:hint="default"/>
      </w:rPr>
    </w:lvl>
    <w:lvl w:ilvl="1" w:tplc="04250003">
      <w:start w:val="1"/>
      <w:numFmt w:val="decimal"/>
      <w:lvlText w:val="%2."/>
      <w:lvlJc w:val="left"/>
      <w:pPr>
        <w:tabs>
          <w:tab w:val="num" w:pos="357"/>
        </w:tabs>
        <w:ind w:left="357" w:hanging="357"/>
      </w:pPr>
      <w:rPr>
        <w:rFonts w:cs="Times New Roman" w:hint="default"/>
        <w:b/>
        <w:i w:val="0"/>
        <w:sz w:val="24"/>
      </w:rPr>
    </w:lvl>
    <w:lvl w:ilvl="2" w:tplc="C4520D2A">
      <w:start w:val="1"/>
      <w:numFmt w:val="lowerLetter"/>
      <w:lvlText w:val="%3)"/>
      <w:lvlJc w:val="left"/>
      <w:pPr>
        <w:tabs>
          <w:tab w:val="num" w:pos="1983"/>
        </w:tabs>
        <w:ind w:left="1983" w:hanging="360"/>
      </w:pPr>
      <w:rPr>
        <w:rFonts w:cs="Times New Roman" w:hint="default"/>
        <w:b w:val="0"/>
      </w:rPr>
    </w:lvl>
    <w:lvl w:ilvl="3" w:tplc="04250001" w:tentative="1">
      <w:start w:val="1"/>
      <w:numFmt w:val="decimal"/>
      <w:lvlText w:val="%4."/>
      <w:lvlJc w:val="left"/>
      <w:pPr>
        <w:tabs>
          <w:tab w:val="num" w:pos="2523"/>
        </w:tabs>
        <w:ind w:left="2523" w:hanging="360"/>
      </w:pPr>
      <w:rPr>
        <w:rFonts w:cs="Times New Roman"/>
      </w:rPr>
    </w:lvl>
    <w:lvl w:ilvl="4" w:tplc="04250003" w:tentative="1">
      <w:start w:val="1"/>
      <w:numFmt w:val="lowerLetter"/>
      <w:lvlText w:val="%5."/>
      <w:lvlJc w:val="left"/>
      <w:pPr>
        <w:tabs>
          <w:tab w:val="num" w:pos="3243"/>
        </w:tabs>
        <w:ind w:left="3243" w:hanging="360"/>
      </w:pPr>
      <w:rPr>
        <w:rFonts w:cs="Times New Roman"/>
      </w:rPr>
    </w:lvl>
    <w:lvl w:ilvl="5" w:tplc="04250005" w:tentative="1">
      <w:start w:val="1"/>
      <w:numFmt w:val="lowerRoman"/>
      <w:lvlText w:val="%6."/>
      <w:lvlJc w:val="right"/>
      <w:pPr>
        <w:tabs>
          <w:tab w:val="num" w:pos="3963"/>
        </w:tabs>
        <w:ind w:left="3963" w:hanging="180"/>
      </w:pPr>
      <w:rPr>
        <w:rFonts w:cs="Times New Roman"/>
      </w:rPr>
    </w:lvl>
    <w:lvl w:ilvl="6" w:tplc="04250001" w:tentative="1">
      <w:start w:val="1"/>
      <w:numFmt w:val="decimal"/>
      <w:lvlText w:val="%7."/>
      <w:lvlJc w:val="left"/>
      <w:pPr>
        <w:tabs>
          <w:tab w:val="num" w:pos="4683"/>
        </w:tabs>
        <w:ind w:left="4683" w:hanging="360"/>
      </w:pPr>
      <w:rPr>
        <w:rFonts w:cs="Times New Roman"/>
      </w:rPr>
    </w:lvl>
    <w:lvl w:ilvl="7" w:tplc="04250003" w:tentative="1">
      <w:start w:val="1"/>
      <w:numFmt w:val="lowerLetter"/>
      <w:lvlText w:val="%8."/>
      <w:lvlJc w:val="left"/>
      <w:pPr>
        <w:tabs>
          <w:tab w:val="num" w:pos="5403"/>
        </w:tabs>
        <w:ind w:left="5403" w:hanging="360"/>
      </w:pPr>
      <w:rPr>
        <w:rFonts w:cs="Times New Roman"/>
      </w:rPr>
    </w:lvl>
    <w:lvl w:ilvl="8" w:tplc="04250005" w:tentative="1">
      <w:start w:val="1"/>
      <w:numFmt w:val="lowerRoman"/>
      <w:lvlText w:val="%9."/>
      <w:lvlJc w:val="right"/>
      <w:pPr>
        <w:tabs>
          <w:tab w:val="num" w:pos="6123"/>
        </w:tabs>
        <w:ind w:left="6123" w:hanging="180"/>
      </w:pPr>
      <w:rPr>
        <w:rFonts w:cs="Times New Roman"/>
      </w:rPr>
    </w:lvl>
  </w:abstractNum>
  <w:abstractNum w:abstractNumId="26" w15:restartNumberingAfterBreak="0">
    <w:nsid w:val="44EF4B66"/>
    <w:multiLevelType w:val="multilevel"/>
    <w:tmpl w:val="BE983CE4"/>
    <w:lvl w:ilvl="0">
      <w:start w:val="1"/>
      <w:numFmt w:val="decimal"/>
      <w:lvlRestart w:val="0"/>
      <w:pStyle w:val="ListNumber1"/>
      <w:lvlText w:val="(%1)"/>
      <w:lvlJc w:val="left"/>
      <w:pPr>
        <w:tabs>
          <w:tab w:val="num" w:pos="1560"/>
        </w:tabs>
        <w:ind w:left="1560" w:hanging="709"/>
      </w:pPr>
      <w:rPr>
        <w:rFonts w:cs="System"/>
      </w:rPr>
    </w:lvl>
    <w:lvl w:ilvl="1">
      <w:start w:val="1"/>
      <w:numFmt w:val="lowerLetter"/>
      <w:pStyle w:val="ListNumber1Level2"/>
      <w:lvlText w:val="(%2)"/>
      <w:lvlJc w:val="left"/>
      <w:pPr>
        <w:tabs>
          <w:tab w:val="num" w:pos="2268"/>
        </w:tabs>
        <w:ind w:left="2268" w:hanging="708"/>
      </w:pPr>
      <w:rPr>
        <w:rFonts w:cs="System"/>
      </w:rPr>
    </w:lvl>
    <w:lvl w:ilvl="2">
      <w:start w:val="1"/>
      <w:numFmt w:val="bullet"/>
      <w:pStyle w:val="ListNumber1Level3"/>
      <w:lvlText w:val="–"/>
      <w:lvlJc w:val="left"/>
      <w:pPr>
        <w:tabs>
          <w:tab w:val="num" w:pos="2977"/>
        </w:tabs>
        <w:ind w:left="2977" w:hanging="709"/>
      </w:pPr>
      <w:rPr>
        <w:rFonts w:ascii="System" w:hAnsi="System"/>
      </w:rPr>
    </w:lvl>
    <w:lvl w:ilvl="3">
      <w:start w:val="1"/>
      <w:numFmt w:val="bullet"/>
      <w:pStyle w:val="ListNumber1"/>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System"/>
      </w:rPr>
    </w:lvl>
    <w:lvl w:ilvl="5">
      <w:start w:val="1"/>
      <w:numFmt w:val="lowerRoman"/>
      <w:lvlText w:val="(%6)"/>
      <w:lvlJc w:val="left"/>
      <w:pPr>
        <w:tabs>
          <w:tab w:val="num" w:pos="2160"/>
        </w:tabs>
        <w:ind w:left="2160" w:hanging="360"/>
      </w:pPr>
      <w:rPr>
        <w:rFonts w:cs="System"/>
      </w:rPr>
    </w:lvl>
    <w:lvl w:ilvl="6">
      <w:start w:val="1"/>
      <w:numFmt w:val="decimal"/>
      <w:lvlText w:val="%7."/>
      <w:lvlJc w:val="left"/>
      <w:pPr>
        <w:tabs>
          <w:tab w:val="num" w:pos="2520"/>
        </w:tabs>
        <w:ind w:left="2520" w:hanging="360"/>
      </w:pPr>
      <w:rPr>
        <w:rFonts w:cs="System"/>
      </w:rPr>
    </w:lvl>
    <w:lvl w:ilvl="7">
      <w:start w:val="1"/>
      <w:numFmt w:val="lowerLetter"/>
      <w:lvlText w:val="%8."/>
      <w:lvlJc w:val="left"/>
      <w:pPr>
        <w:tabs>
          <w:tab w:val="num" w:pos="2880"/>
        </w:tabs>
        <w:ind w:left="2880" w:hanging="360"/>
      </w:pPr>
      <w:rPr>
        <w:rFonts w:cs="System"/>
      </w:rPr>
    </w:lvl>
    <w:lvl w:ilvl="8">
      <w:start w:val="1"/>
      <w:numFmt w:val="lowerRoman"/>
      <w:lvlText w:val="%9."/>
      <w:lvlJc w:val="left"/>
      <w:pPr>
        <w:tabs>
          <w:tab w:val="num" w:pos="3240"/>
        </w:tabs>
        <w:ind w:left="3240" w:hanging="360"/>
      </w:pPr>
      <w:rPr>
        <w:rFonts w:cs="System"/>
      </w:rPr>
    </w:lvl>
  </w:abstractNum>
  <w:abstractNum w:abstractNumId="27" w15:restartNumberingAfterBreak="0">
    <w:nsid w:val="48A360B1"/>
    <w:multiLevelType w:val="hybridMultilevel"/>
    <w:tmpl w:val="75EE8686"/>
    <w:lvl w:ilvl="0" w:tplc="04250005">
      <w:start w:val="1"/>
      <w:numFmt w:val="bullet"/>
      <w:lvlText w:val=""/>
      <w:lvlJc w:val="left"/>
      <w:pPr>
        <w:ind w:left="360" w:hanging="360"/>
      </w:pPr>
      <w:rPr>
        <w:rFonts w:ascii="Wingdings" w:hAnsi="Wingdings"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C1331C8"/>
    <w:multiLevelType w:val="hybridMultilevel"/>
    <w:tmpl w:val="FA5E9802"/>
    <w:lvl w:ilvl="0" w:tplc="04250001">
      <w:start w:val="1"/>
      <w:numFmt w:val="bullet"/>
      <w:lvlText w:val=""/>
      <w:lvlJc w:val="left"/>
      <w:pPr>
        <w:ind w:left="720" w:hanging="360"/>
      </w:pPr>
      <w:rPr>
        <w:rFonts w:ascii="Symbol" w:hAnsi="Symbol" w:hint="default"/>
      </w:rPr>
    </w:lvl>
    <w:lvl w:ilvl="1" w:tplc="48C650C4">
      <w:start w:val="1"/>
      <w:numFmt w:val="bullet"/>
      <w:lvlText w:val=""/>
      <w:lvlJc w:val="left"/>
      <w:pPr>
        <w:ind w:left="1440" w:hanging="360"/>
      </w:pPr>
      <w:rPr>
        <w:rFonts w:ascii="Wingdings" w:hAnsi="Wingdings"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60A08AB"/>
    <w:multiLevelType w:val="hybridMultilevel"/>
    <w:tmpl w:val="55B21B4C"/>
    <w:lvl w:ilvl="0" w:tplc="0409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547DF5"/>
    <w:multiLevelType w:val="multilevel"/>
    <w:tmpl w:val="620AAC64"/>
    <w:lvl w:ilvl="0">
      <w:start w:val="1"/>
      <w:numFmt w:val="decimal"/>
      <w:lvlText w:val="%1."/>
      <w:lvlJc w:val="left"/>
      <w:pPr>
        <w:ind w:left="420" w:hanging="420"/>
      </w:pPr>
      <w:rPr>
        <w:rFonts w:ascii="Times New Roman" w:eastAsia="Times New Roman" w:hAnsi="Times New Roman" w:cs="Times New Roman" w:hint="default"/>
      </w:rPr>
    </w:lvl>
    <w:lvl w:ilvl="1">
      <w:start w:val="1"/>
      <w:numFmt w:val="decimal"/>
      <w:lvlText w:val="%1.%2."/>
      <w:lvlJc w:val="left"/>
      <w:pPr>
        <w:ind w:left="765" w:hanging="720"/>
      </w:pPr>
      <w:rPr>
        <w:rFonts w:cs="Times New Roman" w:hint="default"/>
      </w:rPr>
    </w:lvl>
    <w:lvl w:ilvl="2">
      <w:start w:val="1"/>
      <w:numFmt w:val="decimal"/>
      <w:lvlText w:val="%1.%2.%3."/>
      <w:lvlJc w:val="left"/>
      <w:pPr>
        <w:ind w:left="810" w:hanging="720"/>
      </w:pPr>
      <w:rPr>
        <w:rFonts w:cs="Times New Roman" w:hint="default"/>
        <w:b/>
      </w:rPr>
    </w:lvl>
    <w:lvl w:ilvl="3">
      <w:start w:val="1"/>
      <w:numFmt w:val="decimal"/>
      <w:lvlText w:val="%1.%2.%3.%4."/>
      <w:lvlJc w:val="left"/>
      <w:pPr>
        <w:ind w:left="1215" w:hanging="1080"/>
      </w:pPr>
      <w:rPr>
        <w:rFonts w:cs="Times New Roman" w:hint="default"/>
      </w:rPr>
    </w:lvl>
    <w:lvl w:ilvl="4">
      <w:start w:val="1"/>
      <w:numFmt w:val="decimal"/>
      <w:lvlText w:val="%1.%2.%3.%4.%5."/>
      <w:lvlJc w:val="left"/>
      <w:pPr>
        <w:ind w:left="1620" w:hanging="144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2070" w:hanging="180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31" w15:restartNumberingAfterBreak="0">
    <w:nsid w:val="57C61DB3"/>
    <w:multiLevelType w:val="hybridMultilevel"/>
    <w:tmpl w:val="2B5CCC22"/>
    <w:lvl w:ilvl="0" w:tplc="04250005">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80F133F"/>
    <w:multiLevelType w:val="hybridMultilevel"/>
    <w:tmpl w:val="44F280A6"/>
    <w:lvl w:ilvl="0" w:tplc="04250001">
      <w:start w:val="1"/>
      <w:numFmt w:val="bullet"/>
      <w:lvlText w:val=""/>
      <w:lvlJc w:val="left"/>
      <w:pPr>
        <w:ind w:left="720" w:hanging="360"/>
      </w:pPr>
      <w:rPr>
        <w:rFonts w:ascii="Symbol" w:hAnsi="Symbol" w:hint="default"/>
      </w:rPr>
    </w:lvl>
    <w:lvl w:ilvl="1" w:tplc="7AB4BB72">
      <w:start w:val="2"/>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185618"/>
    <w:multiLevelType w:val="multilevel"/>
    <w:tmpl w:val="55A2A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3B609E"/>
    <w:multiLevelType w:val="hybridMultilevel"/>
    <w:tmpl w:val="1CB0CD7A"/>
    <w:lvl w:ilvl="0" w:tplc="0425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1E3648"/>
    <w:multiLevelType w:val="hybridMultilevel"/>
    <w:tmpl w:val="363AB826"/>
    <w:lvl w:ilvl="0" w:tplc="0409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04872BB"/>
    <w:multiLevelType w:val="hybridMultilevel"/>
    <w:tmpl w:val="927E569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61216EE9"/>
    <w:multiLevelType w:val="hybridMultilevel"/>
    <w:tmpl w:val="7C6A93E4"/>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95580"/>
    <w:multiLevelType w:val="singleLevel"/>
    <w:tmpl w:val="75CC7CBA"/>
    <w:name w:val="Bullet 0"/>
    <w:lvl w:ilvl="0">
      <w:start w:val="1"/>
      <w:numFmt w:val="decimal"/>
      <w:lvlRestart w:val="0"/>
      <w:pStyle w:val="Considrant"/>
      <w:lvlText w:val="(%1)"/>
      <w:lvlJc w:val="left"/>
      <w:pPr>
        <w:tabs>
          <w:tab w:val="num" w:pos="709"/>
        </w:tabs>
        <w:ind w:left="709" w:hanging="709"/>
      </w:pPr>
      <w:rPr>
        <w:rFonts w:cs="Times New Roman"/>
      </w:rPr>
    </w:lvl>
  </w:abstractNum>
  <w:abstractNum w:abstractNumId="39" w15:restartNumberingAfterBreak="0">
    <w:nsid w:val="6B0456EF"/>
    <w:multiLevelType w:val="multilevel"/>
    <w:tmpl w:val="26C25088"/>
    <w:lvl w:ilvl="0">
      <w:start w:val="9"/>
      <w:numFmt w:val="decimal"/>
      <w:lvlText w:val="%1."/>
      <w:lvlJc w:val="left"/>
      <w:pPr>
        <w:ind w:left="420" w:hanging="420"/>
      </w:pPr>
      <w:rPr>
        <w:rFonts w:ascii="Times New Roman" w:eastAsia="Times New Roman" w:hAnsi="Times New Roman" w:cs="Times New Roman" w:hint="default"/>
      </w:rPr>
    </w:lvl>
    <w:lvl w:ilvl="1">
      <w:start w:val="1"/>
      <w:numFmt w:val="decimal"/>
      <w:lvlText w:val="%1.%2."/>
      <w:lvlJc w:val="left"/>
      <w:pPr>
        <w:ind w:left="765" w:hanging="720"/>
      </w:pPr>
      <w:rPr>
        <w:rFonts w:cs="Times New Roman" w:hint="default"/>
      </w:rPr>
    </w:lvl>
    <w:lvl w:ilvl="2">
      <w:start w:val="1"/>
      <w:numFmt w:val="decimal"/>
      <w:lvlText w:val="%1.%2.%3."/>
      <w:lvlJc w:val="left"/>
      <w:pPr>
        <w:ind w:left="810" w:hanging="720"/>
      </w:pPr>
      <w:rPr>
        <w:rFonts w:cs="Times New Roman" w:hint="default"/>
        <w:b/>
      </w:rPr>
    </w:lvl>
    <w:lvl w:ilvl="3">
      <w:start w:val="1"/>
      <w:numFmt w:val="decimal"/>
      <w:lvlText w:val="%1.%2.%3.%4."/>
      <w:lvlJc w:val="left"/>
      <w:pPr>
        <w:ind w:left="1215" w:hanging="1080"/>
      </w:pPr>
      <w:rPr>
        <w:rFonts w:cs="Times New Roman" w:hint="default"/>
      </w:rPr>
    </w:lvl>
    <w:lvl w:ilvl="4">
      <w:start w:val="1"/>
      <w:numFmt w:val="decimal"/>
      <w:lvlText w:val="%1.%2.%3.%4.%5."/>
      <w:lvlJc w:val="left"/>
      <w:pPr>
        <w:ind w:left="1620" w:hanging="144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2070" w:hanging="180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40" w15:restartNumberingAfterBreak="0">
    <w:nsid w:val="6F49069B"/>
    <w:multiLevelType w:val="hybridMultilevel"/>
    <w:tmpl w:val="28824CA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1B5064B"/>
    <w:multiLevelType w:val="multilevel"/>
    <w:tmpl w:val="8176255C"/>
    <w:lvl w:ilvl="0">
      <w:start w:val="1"/>
      <w:numFmt w:val="decimal"/>
      <w:lvlText w:val="%1."/>
      <w:lvlJc w:val="left"/>
      <w:pPr>
        <w:tabs>
          <w:tab w:val="num" w:pos="450"/>
        </w:tabs>
        <w:ind w:left="450" w:hanging="450"/>
      </w:pPr>
      <w:rPr>
        <w:rFonts w:cs="Times New Roman" w:hint="default"/>
        <w:b/>
        <w:sz w:val="26"/>
        <w:szCs w:val="26"/>
      </w:rPr>
    </w:lvl>
    <w:lvl w:ilvl="1">
      <w:start w:val="1"/>
      <w:numFmt w:val="none"/>
      <w:pStyle w:val="Style2"/>
      <w:lvlText w:val="4.1."/>
      <w:lvlJc w:val="left"/>
      <w:pPr>
        <w:tabs>
          <w:tab w:val="num" w:pos="720"/>
        </w:tabs>
        <w:ind w:left="720" w:hanging="720"/>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94D40BA"/>
    <w:multiLevelType w:val="multilevel"/>
    <w:tmpl w:val="D5E44116"/>
    <w:name w:val="Tiret 1222"/>
    <w:lvl w:ilvl="0">
      <w:start w:val="101"/>
      <w:numFmt w:val="decimal"/>
      <w:lvlRestart w:val="0"/>
      <w:pStyle w:val="NumPar1"/>
      <w:lvlText w:val="%1."/>
      <w:lvlJc w:val="left"/>
      <w:pPr>
        <w:tabs>
          <w:tab w:val="num" w:pos="850"/>
        </w:tabs>
        <w:ind w:left="850" w:hanging="850"/>
      </w:pPr>
      <w:rPr>
        <w:rFonts w:cs="Times New Roman" w:hint="default"/>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1"/>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9767BA1"/>
    <w:multiLevelType w:val="hybridMultilevel"/>
    <w:tmpl w:val="D11494DC"/>
    <w:lvl w:ilvl="0" w:tplc="5F78FDA2">
      <w:start w:val="1"/>
      <w:numFmt w:val="upperRoman"/>
      <w:pStyle w:val="Heading6"/>
      <w:lvlText w:val="%1."/>
      <w:lvlJc w:val="left"/>
      <w:pPr>
        <w:tabs>
          <w:tab w:val="num" w:pos="720"/>
        </w:tabs>
        <w:ind w:left="720" w:hanging="720"/>
      </w:pPr>
      <w:rPr>
        <w:rFonts w:cs="Times New Roman" w:hint="default"/>
      </w:rPr>
    </w:lvl>
    <w:lvl w:ilvl="1" w:tplc="04250001">
      <w:start w:val="1"/>
      <w:numFmt w:val="bullet"/>
      <w:lvlText w:val=""/>
      <w:lvlJc w:val="left"/>
      <w:pPr>
        <w:tabs>
          <w:tab w:val="num" w:pos="1080"/>
        </w:tabs>
        <w:ind w:left="1080" w:hanging="360"/>
      </w:pPr>
      <w:rPr>
        <w:rFonts w:ascii="Symbol" w:hAnsi="Symbol" w:hint="default"/>
      </w:rPr>
    </w:lvl>
    <w:lvl w:ilvl="2" w:tplc="D5F48B50">
      <w:start w:val="1"/>
      <w:numFmt w:val="bullet"/>
      <w:pStyle w:val="Point1number"/>
      <w:lvlText w:val=""/>
      <w:lvlJc w:val="left"/>
      <w:pPr>
        <w:tabs>
          <w:tab w:val="num" w:pos="284"/>
        </w:tabs>
        <w:ind w:left="264" w:hanging="340"/>
      </w:pPr>
      <w:rPr>
        <w:rFonts w:ascii="Symbol" w:hAnsi="Symbol" w:hint="default"/>
        <w:color w:val="auto"/>
      </w:rPr>
    </w:lvl>
    <w:lvl w:ilvl="3" w:tplc="681A3398">
      <w:start w:val="1"/>
      <w:numFmt w:val="bullet"/>
      <w:lvlText w:val=""/>
      <w:lvlJc w:val="left"/>
      <w:pPr>
        <w:tabs>
          <w:tab w:val="num" w:pos="284"/>
        </w:tabs>
        <w:ind w:left="264" w:hanging="340"/>
      </w:pPr>
      <w:rPr>
        <w:rFonts w:ascii="Symbol" w:hAnsi="Symbol" w:hint="default"/>
        <w:color w:val="auto"/>
      </w:rPr>
    </w:lvl>
    <w:lvl w:ilvl="4" w:tplc="7AB4BB72">
      <w:start w:val="2"/>
      <w:numFmt w:val="bullet"/>
      <w:lvlText w:val="-"/>
      <w:lvlJc w:val="left"/>
      <w:pPr>
        <w:tabs>
          <w:tab w:val="num" w:pos="3465"/>
        </w:tabs>
        <w:ind w:left="3465" w:hanging="585"/>
      </w:pPr>
      <w:rPr>
        <w:rFonts w:ascii="Times New Roman" w:eastAsia="Times New Roman" w:hAnsi="Times New Roman" w:hint="default"/>
      </w:rPr>
    </w:lvl>
    <w:lvl w:ilvl="5" w:tplc="B5680A1E">
      <w:start w:val="1"/>
      <w:numFmt w:val="decimal"/>
      <w:lvlText w:val="%6."/>
      <w:lvlJc w:val="left"/>
      <w:pPr>
        <w:tabs>
          <w:tab w:val="num" w:pos="4140"/>
        </w:tabs>
        <w:ind w:left="4140" w:hanging="360"/>
      </w:pPr>
      <w:rPr>
        <w:rFonts w:cs="Times New Roman" w:hint="default"/>
      </w:rPr>
    </w:lvl>
    <w:lvl w:ilvl="6" w:tplc="5FC6A2E8">
      <w:start w:val="14"/>
      <w:numFmt w:val="decimal"/>
      <w:lvlText w:val="%7)"/>
      <w:lvlJc w:val="left"/>
      <w:pPr>
        <w:tabs>
          <w:tab w:val="num" w:pos="4680"/>
        </w:tabs>
        <w:ind w:left="4680" w:hanging="360"/>
      </w:pPr>
      <w:rPr>
        <w:rFonts w:cs="Times New Roman" w:hint="default"/>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C3A16D1"/>
    <w:multiLevelType w:val="hybridMultilevel"/>
    <w:tmpl w:val="8F02CD44"/>
    <w:lvl w:ilvl="0" w:tplc="409855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06351"/>
    <w:multiLevelType w:val="multilevel"/>
    <w:tmpl w:val="EAA2F5DA"/>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765" w:hanging="720"/>
      </w:pPr>
      <w:rPr>
        <w:rFonts w:cs="Times New Roman" w:hint="default"/>
      </w:rPr>
    </w:lvl>
    <w:lvl w:ilvl="2">
      <w:start w:val="1"/>
      <w:numFmt w:val="decimal"/>
      <w:lvlText w:val="%1.%2.%3."/>
      <w:lvlJc w:val="left"/>
      <w:pPr>
        <w:ind w:left="810" w:hanging="720"/>
      </w:pPr>
      <w:rPr>
        <w:rFonts w:cs="Times New Roman" w:hint="default"/>
        <w:b/>
      </w:rPr>
    </w:lvl>
    <w:lvl w:ilvl="3">
      <w:start w:val="1"/>
      <w:numFmt w:val="decimal"/>
      <w:lvlText w:val="%1.%2.%3.%4."/>
      <w:lvlJc w:val="left"/>
      <w:pPr>
        <w:ind w:left="1215" w:hanging="1080"/>
      </w:pPr>
      <w:rPr>
        <w:rFonts w:cs="Times New Roman" w:hint="default"/>
      </w:rPr>
    </w:lvl>
    <w:lvl w:ilvl="4">
      <w:start w:val="1"/>
      <w:numFmt w:val="decimal"/>
      <w:lvlText w:val="%1.%2.%3.%4.%5."/>
      <w:lvlJc w:val="left"/>
      <w:pPr>
        <w:ind w:left="1620" w:hanging="144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2070" w:hanging="180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46" w15:restartNumberingAfterBreak="0">
    <w:nsid w:val="7E1E13BF"/>
    <w:multiLevelType w:val="hybridMultilevel"/>
    <w:tmpl w:val="A0961D66"/>
    <w:lvl w:ilvl="0" w:tplc="04250017">
      <w:start w:val="1"/>
      <w:numFmt w:val="lowerLetter"/>
      <w:lvlText w:val="%1)"/>
      <w:lvlJc w:val="left"/>
      <w:pPr>
        <w:ind w:left="720" w:hanging="360"/>
      </w:pPr>
    </w:lvl>
    <w:lvl w:ilvl="1" w:tplc="4A1A19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3"/>
  </w:num>
  <w:num w:numId="3">
    <w:abstractNumId w:val="4"/>
  </w:num>
  <w:num w:numId="4">
    <w:abstractNumId w:val="25"/>
  </w:num>
  <w:num w:numId="5">
    <w:abstractNumId w:val="41"/>
  </w:num>
  <w:num w:numId="6">
    <w:abstractNumId w:val="26"/>
  </w:num>
  <w:num w:numId="7">
    <w:abstractNumId w:val="38"/>
  </w:num>
  <w:num w:numId="8">
    <w:abstractNumId w:val="42"/>
  </w:num>
  <w:num w:numId="9">
    <w:abstractNumId w:val="30"/>
  </w:num>
  <w:num w:numId="10">
    <w:abstractNumId w:val="11"/>
  </w:num>
  <w:num w:numId="11">
    <w:abstractNumId w:val="32"/>
  </w:num>
  <w:num w:numId="12">
    <w:abstractNumId w:val="34"/>
  </w:num>
  <w:num w:numId="13">
    <w:abstractNumId w:val="17"/>
  </w:num>
  <w:num w:numId="14">
    <w:abstractNumId w:val="14"/>
  </w:num>
  <w:num w:numId="15">
    <w:abstractNumId w:val="21"/>
  </w:num>
  <w:num w:numId="16">
    <w:abstractNumId w:val="46"/>
  </w:num>
  <w:num w:numId="17">
    <w:abstractNumId w:val="9"/>
  </w:num>
  <w:num w:numId="18">
    <w:abstractNumId w:val="31"/>
  </w:num>
  <w:num w:numId="19">
    <w:abstractNumId w:val="7"/>
  </w:num>
  <w:num w:numId="20">
    <w:abstractNumId w:val="10"/>
  </w:num>
  <w:num w:numId="21">
    <w:abstractNumId w:val="15"/>
  </w:num>
  <w:num w:numId="22">
    <w:abstractNumId w:val="13"/>
  </w:num>
  <w:num w:numId="23">
    <w:abstractNumId w:val="40"/>
  </w:num>
  <w:num w:numId="24">
    <w:abstractNumId w:val="36"/>
  </w:num>
  <w:num w:numId="25">
    <w:abstractNumId w:val="5"/>
  </w:num>
  <w:num w:numId="26">
    <w:abstractNumId w:val="16"/>
  </w:num>
  <w:num w:numId="27">
    <w:abstractNumId w:val="20"/>
  </w:num>
  <w:num w:numId="28">
    <w:abstractNumId w:val="28"/>
  </w:num>
  <w:num w:numId="29">
    <w:abstractNumId w:val="23"/>
  </w:num>
  <w:num w:numId="30">
    <w:abstractNumId w:val="3"/>
  </w:num>
  <w:num w:numId="31">
    <w:abstractNumId w:val="24"/>
  </w:num>
  <w:num w:numId="32">
    <w:abstractNumId w:val="35"/>
  </w:num>
  <w:num w:numId="33">
    <w:abstractNumId w:val="29"/>
  </w:num>
  <w:num w:numId="34">
    <w:abstractNumId w:val="6"/>
  </w:num>
  <w:num w:numId="35">
    <w:abstractNumId w:val="45"/>
  </w:num>
  <w:num w:numId="36">
    <w:abstractNumId w:val="12"/>
  </w:num>
  <w:num w:numId="37">
    <w:abstractNumId w:val="19"/>
  </w:num>
  <w:num w:numId="38">
    <w:abstractNumId w:val="1"/>
  </w:num>
  <w:num w:numId="39">
    <w:abstractNumId w:val="18"/>
  </w:num>
  <w:num w:numId="40">
    <w:abstractNumId w:val="2"/>
  </w:num>
  <w:num w:numId="41">
    <w:abstractNumId w:val="8"/>
  </w:num>
  <w:num w:numId="42">
    <w:abstractNumId w:val="22"/>
  </w:num>
  <w:num w:numId="43">
    <w:abstractNumId w:val="33"/>
  </w:num>
  <w:num w:numId="44">
    <w:abstractNumId w:val="27"/>
  </w:num>
  <w:num w:numId="45">
    <w:abstractNumId w:val="44"/>
  </w:num>
  <w:num w:numId="46">
    <w:abstractNumId w:val="37"/>
  </w:num>
  <w:num w:numId="47">
    <w:abstractNumId w:val="4"/>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70"/>
    <w:rsid w:val="000011AD"/>
    <w:rsid w:val="00002830"/>
    <w:rsid w:val="00002CB8"/>
    <w:rsid w:val="00002EB5"/>
    <w:rsid w:val="000034E0"/>
    <w:rsid w:val="00003696"/>
    <w:rsid w:val="00003F92"/>
    <w:rsid w:val="00004F11"/>
    <w:rsid w:val="00005863"/>
    <w:rsid w:val="00006734"/>
    <w:rsid w:val="00007905"/>
    <w:rsid w:val="00011928"/>
    <w:rsid w:val="000121CF"/>
    <w:rsid w:val="0001476D"/>
    <w:rsid w:val="00014817"/>
    <w:rsid w:val="00014B0E"/>
    <w:rsid w:val="000154D5"/>
    <w:rsid w:val="00015CEA"/>
    <w:rsid w:val="00015FF9"/>
    <w:rsid w:val="0001735E"/>
    <w:rsid w:val="00017383"/>
    <w:rsid w:val="00017EE9"/>
    <w:rsid w:val="00020315"/>
    <w:rsid w:val="00020472"/>
    <w:rsid w:val="00020539"/>
    <w:rsid w:val="00020700"/>
    <w:rsid w:val="0002370C"/>
    <w:rsid w:val="000269EC"/>
    <w:rsid w:val="00026C6A"/>
    <w:rsid w:val="00027E52"/>
    <w:rsid w:val="000307F6"/>
    <w:rsid w:val="00030A94"/>
    <w:rsid w:val="000316B8"/>
    <w:rsid w:val="00032DDF"/>
    <w:rsid w:val="00033256"/>
    <w:rsid w:val="00034473"/>
    <w:rsid w:val="00034EA6"/>
    <w:rsid w:val="00036164"/>
    <w:rsid w:val="00036F83"/>
    <w:rsid w:val="00040414"/>
    <w:rsid w:val="00041248"/>
    <w:rsid w:val="00041369"/>
    <w:rsid w:val="00041448"/>
    <w:rsid w:val="000417BB"/>
    <w:rsid w:val="0004189A"/>
    <w:rsid w:val="00041F28"/>
    <w:rsid w:val="000428A4"/>
    <w:rsid w:val="00044192"/>
    <w:rsid w:val="00045009"/>
    <w:rsid w:val="00045ACB"/>
    <w:rsid w:val="0004724F"/>
    <w:rsid w:val="00050090"/>
    <w:rsid w:val="0005039F"/>
    <w:rsid w:val="000506DF"/>
    <w:rsid w:val="0005150A"/>
    <w:rsid w:val="000525A6"/>
    <w:rsid w:val="0005371D"/>
    <w:rsid w:val="000548A6"/>
    <w:rsid w:val="0005585D"/>
    <w:rsid w:val="00055B72"/>
    <w:rsid w:val="00055ECC"/>
    <w:rsid w:val="00056BBC"/>
    <w:rsid w:val="000571C9"/>
    <w:rsid w:val="00057281"/>
    <w:rsid w:val="000573C2"/>
    <w:rsid w:val="00057E07"/>
    <w:rsid w:val="000601BC"/>
    <w:rsid w:val="000616A3"/>
    <w:rsid w:val="00062228"/>
    <w:rsid w:val="00062EC8"/>
    <w:rsid w:val="0006416B"/>
    <w:rsid w:val="00064FE1"/>
    <w:rsid w:val="000668D9"/>
    <w:rsid w:val="0006703B"/>
    <w:rsid w:val="00067D5A"/>
    <w:rsid w:val="00070874"/>
    <w:rsid w:val="00070A33"/>
    <w:rsid w:val="00072317"/>
    <w:rsid w:val="000726D4"/>
    <w:rsid w:val="000728A6"/>
    <w:rsid w:val="00073352"/>
    <w:rsid w:val="0007580B"/>
    <w:rsid w:val="000765A7"/>
    <w:rsid w:val="0007724F"/>
    <w:rsid w:val="000775FE"/>
    <w:rsid w:val="00077BFA"/>
    <w:rsid w:val="00081B33"/>
    <w:rsid w:val="00082657"/>
    <w:rsid w:val="00083C8E"/>
    <w:rsid w:val="00084C5D"/>
    <w:rsid w:val="0008625C"/>
    <w:rsid w:val="00086CAC"/>
    <w:rsid w:val="000900D7"/>
    <w:rsid w:val="00090EFC"/>
    <w:rsid w:val="000918EA"/>
    <w:rsid w:val="000934ED"/>
    <w:rsid w:val="00095C62"/>
    <w:rsid w:val="000966B6"/>
    <w:rsid w:val="00097EDE"/>
    <w:rsid w:val="000A2CD8"/>
    <w:rsid w:val="000A3755"/>
    <w:rsid w:val="000A6682"/>
    <w:rsid w:val="000A6A1D"/>
    <w:rsid w:val="000A6FA8"/>
    <w:rsid w:val="000A7CD6"/>
    <w:rsid w:val="000B0A80"/>
    <w:rsid w:val="000B23E6"/>
    <w:rsid w:val="000B380D"/>
    <w:rsid w:val="000C0582"/>
    <w:rsid w:val="000C0818"/>
    <w:rsid w:val="000C1206"/>
    <w:rsid w:val="000C2D08"/>
    <w:rsid w:val="000C2E80"/>
    <w:rsid w:val="000C31C4"/>
    <w:rsid w:val="000C408C"/>
    <w:rsid w:val="000C4DF7"/>
    <w:rsid w:val="000C4E99"/>
    <w:rsid w:val="000C501B"/>
    <w:rsid w:val="000C72B7"/>
    <w:rsid w:val="000C7E18"/>
    <w:rsid w:val="000D0965"/>
    <w:rsid w:val="000D19B4"/>
    <w:rsid w:val="000D28FD"/>
    <w:rsid w:val="000D29B7"/>
    <w:rsid w:val="000D2FB8"/>
    <w:rsid w:val="000D5325"/>
    <w:rsid w:val="000D541D"/>
    <w:rsid w:val="000D713F"/>
    <w:rsid w:val="000E00C0"/>
    <w:rsid w:val="000E1194"/>
    <w:rsid w:val="000E2603"/>
    <w:rsid w:val="000E2F37"/>
    <w:rsid w:val="000E4039"/>
    <w:rsid w:val="000E4B74"/>
    <w:rsid w:val="000E514C"/>
    <w:rsid w:val="000E531E"/>
    <w:rsid w:val="000E54EB"/>
    <w:rsid w:val="000E5DED"/>
    <w:rsid w:val="000E6389"/>
    <w:rsid w:val="000E6414"/>
    <w:rsid w:val="000E6433"/>
    <w:rsid w:val="000E732F"/>
    <w:rsid w:val="000E770B"/>
    <w:rsid w:val="000F344E"/>
    <w:rsid w:val="000F3882"/>
    <w:rsid w:val="000F3B8D"/>
    <w:rsid w:val="000F3E69"/>
    <w:rsid w:val="000F3F80"/>
    <w:rsid w:val="000F58E6"/>
    <w:rsid w:val="000F5F66"/>
    <w:rsid w:val="00101DB2"/>
    <w:rsid w:val="0010213F"/>
    <w:rsid w:val="00102635"/>
    <w:rsid w:val="001046CF"/>
    <w:rsid w:val="00104C31"/>
    <w:rsid w:val="001064E5"/>
    <w:rsid w:val="001100B2"/>
    <w:rsid w:val="00110222"/>
    <w:rsid w:val="00110A76"/>
    <w:rsid w:val="00111678"/>
    <w:rsid w:val="00112BA5"/>
    <w:rsid w:val="0011603B"/>
    <w:rsid w:val="00116264"/>
    <w:rsid w:val="00116352"/>
    <w:rsid w:val="001163EB"/>
    <w:rsid w:val="00116A4B"/>
    <w:rsid w:val="00116EFB"/>
    <w:rsid w:val="001201CD"/>
    <w:rsid w:val="001229BA"/>
    <w:rsid w:val="00123B96"/>
    <w:rsid w:val="0013024F"/>
    <w:rsid w:val="00131394"/>
    <w:rsid w:val="00131E6B"/>
    <w:rsid w:val="00134F13"/>
    <w:rsid w:val="001350AB"/>
    <w:rsid w:val="00135399"/>
    <w:rsid w:val="001353F9"/>
    <w:rsid w:val="00135FA7"/>
    <w:rsid w:val="00136CB6"/>
    <w:rsid w:val="00136E89"/>
    <w:rsid w:val="00137BF0"/>
    <w:rsid w:val="00137E34"/>
    <w:rsid w:val="00141A3A"/>
    <w:rsid w:val="00142DFD"/>
    <w:rsid w:val="00142F3D"/>
    <w:rsid w:val="00142F56"/>
    <w:rsid w:val="00144EBF"/>
    <w:rsid w:val="00146263"/>
    <w:rsid w:val="00146B2C"/>
    <w:rsid w:val="001472D4"/>
    <w:rsid w:val="00147489"/>
    <w:rsid w:val="00147BCB"/>
    <w:rsid w:val="0015000C"/>
    <w:rsid w:val="001505E1"/>
    <w:rsid w:val="00150E1F"/>
    <w:rsid w:val="00151B39"/>
    <w:rsid w:val="00151E9B"/>
    <w:rsid w:val="00152D34"/>
    <w:rsid w:val="00153B61"/>
    <w:rsid w:val="00153D52"/>
    <w:rsid w:val="00153E60"/>
    <w:rsid w:val="001542C8"/>
    <w:rsid w:val="00154BC6"/>
    <w:rsid w:val="00155243"/>
    <w:rsid w:val="00155C29"/>
    <w:rsid w:val="00155ECF"/>
    <w:rsid w:val="0015768F"/>
    <w:rsid w:val="00160D55"/>
    <w:rsid w:val="00162855"/>
    <w:rsid w:val="00162B4F"/>
    <w:rsid w:val="00163846"/>
    <w:rsid w:val="00163DE9"/>
    <w:rsid w:val="0016425E"/>
    <w:rsid w:val="0016484C"/>
    <w:rsid w:val="001676F7"/>
    <w:rsid w:val="00173C91"/>
    <w:rsid w:val="00173DE9"/>
    <w:rsid w:val="00174D76"/>
    <w:rsid w:val="0017529F"/>
    <w:rsid w:val="001768F1"/>
    <w:rsid w:val="00177835"/>
    <w:rsid w:val="00182264"/>
    <w:rsid w:val="00183031"/>
    <w:rsid w:val="001833CE"/>
    <w:rsid w:val="00183DE8"/>
    <w:rsid w:val="001843A4"/>
    <w:rsid w:val="001846F5"/>
    <w:rsid w:val="00184A14"/>
    <w:rsid w:val="001861E3"/>
    <w:rsid w:val="00186392"/>
    <w:rsid w:val="00186549"/>
    <w:rsid w:val="00186E88"/>
    <w:rsid w:val="001922FF"/>
    <w:rsid w:val="00193AB7"/>
    <w:rsid w:val="00194671"/>
    <w:rsid w:val="001959A5"/>
    <w:rsid w:val="001A1008"/>
    <w:rsid w:val="001A2206"/>
    <w:rsid w:val="001A36A1"/>
    <w:rsid w:val="001A38AF"/>
    <w:rsid w:val="001A57EE"/>
    <w:rsid w:val="001A69E0"/>
    <w:rsid w:val="001A6AA3"/>
    <w:rsid w:val="001A6F2E"/>
    <w:rsid w:val="001B05EF"/>
    <w:rsid w:val="001B2086"/>
    <w:rsid w:val="001B31B4"/>
    <w:rsid w:val="001B3A39"/>
    <w:rsid w:val="001B40DB"/>
    <w:rsid w:val="001B44B4"/>
    <w:rsid w:val="001B472F"/>
    <w:rsid w:val="001B5876"/>
    <w:rsid w:val="001B587B"/>
    <w:rsid w:val="001C1665"/>
    <w:rsid w:val="001C22C0"/>
    <w:rsid w:val="001C2AA6"/>
    <w:rsid w:val="001C4695"/>
    <w:rsid w:val="001C54CB"/>
    <w:rsid w:val="001C5BF7"/>
    <w:rsid w:val="001C6777"/>
    <w:rsid w:val="001C714E"/>
    <w:rsid w:val="001C7334"/>
    <w:rsid w:val="001C7CF0"/>
    <w:rsid w:val="001D02B4"/>
    <w:rsid w:val="001D146A"/>
    <w:rsid w:val="001D2B96"/>
    <w:rsid w:val="001D5297"/>
    <w:rsid w:val="001D6094"/>
    <w:rsid w:val="001D6805"/>
    <w:rsid w:val="001D71F9"/>
    <w:rsid w:val="001E0620"/>
    <w:rsid w:val="001E0C0D"/>
    <w:rsid w:val="001E0DF1"/>
    <w:rsid w:val="001E21E1"/>
    <w:rsid w:val="001E273B"/>
    <w:rsid w:val="001E2790"/>
    <w:rsid w:val="001E2879"/>
    <w:rsid w:val="001E39D3"/>
    <w:rsid w:val="001E3B8A"/>
    <w:rsid w:val="001E4135"/>
    <w:rsid w:val="001E4DF3"/>
    <w:rsid w:val="001E506D"/>
    <w:rsid w:val="001E6773"/>
    <w:rsid w:val="001E6E87"/>
    <w:rsid w:val="001E6EEF"/>
    <w:rsid w:val="001F1D46"/>
    <w:rsid w:val="001F256A"/>
    <w:rsid w:val="001F56F1"/>
    <w:rsid w:val="001F70A9"/>
    <w:rsid w:val="001F72D6"/>
    <w:rsid w:val="0020106E"/>
    <w:rsid w:val="0020352F"/>
    <w:rsid w:val="00203ACB"/>
    <w:rsid w:val="00205BF4"/>
    <w:rsid w:val="00206C84"/>
    <w:rsid w:val="002072F6"/>
    <w:rsid w:val="00207FAD"/>
    <w:rsid w:val="0021008D"/>
    <w:rsid w:val="00212317"/>
    <w:rsid w:val="00212943"/>
    <w:rsid w:val="002130AF"/>
    <w:rsid w:val="00213656"/>
    <w:rsid w:val="00213EA1"/>
    <w:rsid w:val="00214378"/>
    <w:rsid w:val="00214569"/>
    <w:rsid w:val="002146D4"/>
    <w:rsid w:val="00214DC1"/>
    <w:rsid w:val="00215492"/>
    <w:rsid w:val="00217971"/>
    <w:rsid w:val="002201CA"/>
    <w:rsid w:val="002215AA"/>
    <w:rsid w:val="00222314"/>
    <w:rsid w:val="00222DE4"/>
    <w:rsid w:val="0022345A"/>
    <w:rsid w:val="002243CB"/>
    <w:rsid w:val="00224D50"/>
    <w:rsid w:val="00224FFD"/>
    <w:rsid w:val="00225CBD"/>
    <w:rsid w:val="00226500"/>
    <w:rsid w:val="00226BCC"/>
    <w:rsid w:val="00226D73"/>
    <w:rsid w:val="00231BA5"/>
    <w:rsid w:val="00232DFC"/>
    <w:rsid w:val="00233AA8"/>
    <w:rsid w:val="00234AE8"/>
    <w:rsid w:val="00236812"/>
    <w:rsid w:val="00243787"/>
    <w:rsid w:val="0024474B"/>
    <w:rsid w:val="0024487A"/>
    <w:rsid w:val="0024508B"/>
    <w:rsid w:val="002454E8"/>
    <w:rsid w:val="00245D1D"/>
    <w:rsid w:val="0024715F"/>
    <w:rsid w:val="00247FB5"/>
    <w:rsid w:val="002509D1"/>
    <w:rsid w:val="0025116F"/>
    <w:rsid w:val="00251CAB"/>
    <w:rsid w:val="00253253"/>
    <w:rsid w:val="002539BF"/>
    <w:rsid w:val="00253A7E"/>
    <w:rsid w:val="00254598"/>
    <w:rsid w:val="00255488"/>
    <w:rsid w:val="0025559F"/>
    <w:rsid w:val="00255E1E"/>
    <w:rsid w:val="00255E97"/>
    <w:rsid w:val="002564F6"/>
    <w:rsid w:val="00261313"/>
    <w:rsid w:val="00262421"/>
    <w:rsid w:val="00262F54"/>
    <w:rsid w:val="0026469C"/>
    <w:rsid w:val="00264DA5"/>
    <w:rsid w:val="002652AA"/>
    <w:rsid w:val="002656EF"/>
    <w:rsid w:val="00265C54"/>
    <w:rsid w:val="002674F7"/>
    <w:rsid w:val="002703AE"/>
    <w:rsid w:val="0027158A"/>
    <w:rsid w:val="00271EC7"/>
    <w:rsid w:val="0027464C"/>
    <w:rsid w:val="00274767"/>
    <w:rsid w:val="00274C62"/>
    <w:rsid w:val="00274EAB"/>
    <w:rsid w:val="00275E23"/>
    <w:rsid w:val="00276428"/>
    <w:rsid w:val="00277471"/>
    <w:rsid w:val="00277813"/>
    <w:rsid w:val="00281447"/>
    <w:rsid w:val="00282116"/>
    <w:rsid w:val="00285A1F"/>
    <w:rsid w:val="00285B11"/>
    <w:rsid w:val="0028670E"/>
    <w:rsid w:val="00286C20"/>
    <w:rsid w:val="00287B6E"/>
    <w:rsid w:val="0029208A"/>
    <w:rsid w:val="0029366B"/>
    <w:rsid w:val="00294DD7"/>
    <w:rsid w:val="00296F4D"/>
    <w:rsid w:val="002970C4"/>
    <w:rsid w:val="002A0102"/>
    <w:rsid w:val="002A02AD"/>
    <w:rsid w:val="002A063D"/>
    <w:rsid w:val="002A4CD0"/>
    <w:rsid w:val="002A5689"/>
    <w:rsid w:val="002A5EEC"/>
    <w:rsid w:val="002A7403"/>
    <w:rsid w:val="002B0EBC"/>
    <w:rsid w:val="002B21FB"/>
    <w:rsid w:val="002B2BEF"/>
    <w:rsid w:val="002B2C7C"/>
    <w:rsid w:val="002B39B7"/>
    <w:rsid w:val="002B4F30"/>
    <w:rsid w:val="002B5837"/>
    <w:rsid w:val="002B612B"/>
    <w:rsid w:val="002B6705"/>
    <w:rsid w:val="002B6A0F"/>
    <w:rsid w:val="002C034B"/>
    <w:rsid w:val="002C03A7"/>
    <w:rsid w:val="002C0C72"/>
    <w:rsid w:val="002C131F"/>
    <w:rsid w:val="002C15AB"/>
    <w:rsid w:val="002C3064"/>
    <w:rsid w:val="002C3672"/>
    <w:rsid w:val="002C4AE7"/>
    <w:rsid w:val="002C5196"/>
    <w:rsid w:val="002C58BD"/>
    <w:rsid w:val="002C64B8"/>
    <w:rsid w:val="002C75A9"/>
    <w:rsid w:val="002D0A76"/>
    <w:rsid w:val="002D0AAB"/>
    <w:rsid w:val="002D0D18"/>
    <w:rsid w:val="002D173C"/>
    <w:rsid w:val="002D36D9"/>
    <w:rsid w:val="002D3F1A"/>
    <w:rsid w:val="002D4167"/>
    <w:rsid w:val="002D42B8"/>
    <w:rsid w:val="002D481D"/>
    <w:rsid w:val="002D57AE"/>
    <w:rsid w:val="002D6FBA"/>
    <w:rsid w:val="002D7A90"/>
    <w:rsid w:val="002D7CD6"/>
    <w:rsid w:val="002E032B"/>
    <w:rsid w:val="002E0D3A"/>
    <w:rsid w:val="002E1744"/>
    <w:rsid w:val="002E2934"/>
    <w:rsid w:val="002E29B8"/>
    <w:rsid w:val="002E36ED"/>
    <w:rsid w:val="002E440E"/>
    <w:rsid w:val="002E73B1"/>
    <w:rsid w:val="002E7D9F"/>
    <w:rsid w:val="002F0478"/>
    <w:rsid w:val="002F1BAE"/>
    <w:rsid w:val="002F2604"/>
    <w:rsid w:val="002F27B8"/>
    <w:rsid w:val="002F28F9"/>
    <w:rsid w:val="002F3F1B"/>
    <w:rsid w:val="00300C13"/>
    <w:rsid w:val="00301EE1"/>
    <w:rsid w:val="00301F5B"/>
    <w:rsid w:val="00302197"/>
    <w:rsid w:val="0030283C"/>
    <w:rsid w:val="003038D3"/>
    <w:rsid w:val="00303FE5"/>
    <w:rsid w:val="003057ED"/>
    <w:rsid w:val="00306F3C"/>
    <w:rsid w:val="00307714"/>
    <w:rsid w:val="00310EFF"/>
    <w:rsid w:val="00311973"/>
    <w:rsid w:val="00311F49"/>
    <w:rsid w:val="003122D8"/>
    <w:rsid w:val="00313668"/>
    <w:rsid w:val="00313EB0"/>
    <w:rsid w:val="00313F25"/>
    <w:rsid w:val="00315042"/>
    <w:rsid w:val="00315A4E"/>
    <w:rsid w:val="00315BE0"/>
    <w:rsid w:val="00315C83"/>
    <w:rsid w:val="0031608B"/>
    <w:rsid w:val="00316146"/>
    <w:rsid w:val="0031691E"/>
    <w:rsid w:val="00317D4E"/>
    <w:rsid w:val="00320558"/>
    <w:rsid w:val="00320ACF"/>
    <w:rsid w:val="0032104A"/>
    <w:rsid w:val="00321EE6"/>
    <w:rsid w:val="00322016"/>
    <w:rsid w:val="0032244E"/>
    <w:rsid w:val="003228A3"/>
    <w:rsid w:val="00322E9B"/>
    <w:rsid w:val="00323322"/>
    <w:rsid w:val="00323680"/>
    <w:rsid w:val="003237C3"/>
    <w:rsid w:val="003237D8"/>
    <w:rsid w:val="00323A2E"/>
    <w:rsid w:val="0032431F"/>
    <w:rsid w:val="00324585"/>
    <w:rsid w:val="003247FA"/>
    <w:rsid w:val="00324C8A"/>
    <w:rsid w:val="00325136"/>
    <w:rsid w:val="0032562C"/>
    <w:rsid w:val="00325D42"/>
    <w:rsid w:val="0032724F"/>
    <w:rsid w:val="00330B5F"/>
    <w:rsid w:val="003343B0"/>
    <w:rsid w:val="003351FB"/>
    <w:rsid w:val="00335E0E"/>
    <w:rsid w:val="00337F63"/>
    <w:rsid w:val="00337FF4"/>
    <w:rsid w:val="0034053D"/>
    <w:rsid w:val="0034100C"/>
    <w:rsid w:val="00341109"/>
    <w:rsid w:val="00342E3F"/>
    <w:rsid w:val="003439C6"/>
    <w:rsid w:val="00343EE6"/>
    <w:rsid w:val="00345F40"/>
    <w:rsid w:val="00346DBF"/>
    <w:rsid w:val="0034753C"/>
    <w:rsid w:val="0035002D"/>
    <w:rsid w:val="003515DB"/>
    <w:rsid w:val="00351AEC"/>
    <w:rsid w:val="00351CEA"/>
    <w:rsid w:val="00351DC1"/>
    <w:rsid w:val="003523C3"/>
    <w:rsid w:val="00352418"/>
    <w:rsid w:val="0035299B"/>
    <w:rsid w:val="00355863"/>
    <w:rsid w:val="00355BEE"/>
    <w:rsid w:val="00355D23"/>
    <w:rsid w:val="00356262"/>
    <w:rsid w:val="00356E7D"/>
    <w:rsid w:val="00357123"/>
    <w:rsid w:val="00364837"/>
    <w:rsid w:val="003679E5"/>
    <w:rsid w:val="00367CFF"/>
    <w:rsid w:val="00371BC2"/>
    <w:rsid w:val="00373CF9"/>
    <w:rsid w:val="00375335"/>
    <w:rsid w:val="003753C2"/>
    <w:rsid w:val="003754B8"/>
    <w:rsid w:val="003757F2"/>
    <w:rsid w:val="00376183"/>
    <w:rsid w:val="003763A4"/>
    <w:rsid w:val="00377393"/>
    <w:rsid w:val="00377EEE"/>
    <w:rsid w:val="00380B05"/>
    <w:rsid w:val="003813AD"/>
    <w:rsid w:val="003830D7"/>
    <w:rsid w:val="0038349B"/>
    <w:rsid w:val="00383646"/>
    <w:rsid w:val="003839DE"/>
    <w:rsid w:val="00383DF7"/>
    <w:rsid w:val="0038485C"/>
    <w:rsid w:val="00384FA9"/>
    <w:rsid w:val="00385CCC"/>
    <w:rsid w:val="00386BBE"/>
    <w:rsid w:val="00386DAA"/>
    <w:rsid w:val="003873DA"/>
    <w:rsid w:val="00390F96"/>
    <w:rsid w:val="003913B7"/>
    <w:rsid w:val="0039268C"/>
    <w:rsid w:val="003940E0"/>
    <w:rsid w:val="003943F3"/>
    <w:rsid w:val="0039753E"/>
    <w:rsid w:val="00397561"/>
    <w:rsid w:val="00397658"/>
    <w:rsid w:val="00397AD3"/>
    <w:rsid w:val="003A0FCC"/>
    <w:rsid w:val="003A1140"/>
    <w:rsid w:val="003A1860"/>
    <w:rsid w:val="003A3827"/>
    <w:rsid w:val="003A385A"/>
    <w:rsid w:val="003A3A70"/>
    <w:rsid w:val="003A4690"/>
    <w:rsid w:val="003A6227"/>
    <w:rsid w:val="003A641D"/>
    <w:rsid w:val="003A6FC4"/>
    <w:rsid w:val="003A7ED7"/>
    <w:rsid w:val="003B0369"/>
    <w:rsid w:val="003B0556"/>
    <w:rsid w:val="003B0936"/>
    <w:rsid w:val="003B0AE0"/>
    <w:rsid w:val="003B0F70"/>
    <w:rsid w:val="003B1DE2"/>
    <w:rsid w:val="003B21B9"/>
    <w:rsid w:val="003B27FF"/>
    <w:rsid w:val="003B2809"/>
    <w:rsid w:val="003B4548"/>
    <w:rsid w:val="003B4C39"/>
    <w:rsid w:val="003B5113"/>
    <w:rsid w:val="003B55F2"/>
    <w:rsid w:val="003B5BFB"/>
    <w:rsid w:val="003B6264"/>
    <w:rsid w:val="003B6551"/>
    <w:rsid w:val="003B67F4"/>
    <w:rsid w:val="003B6F39"/>
    <w:rsid w:val="003B7772"/>
    <w:rsid w:val="003C060F"/>
    <w:rsid w:val="003C1EFC"/>
    <w:rsid w:val="003C2668"/>
    <w:rsid w:val="003C2CF6"/>
    <w:rsid w:val="003C33E0"/>
    <w:rsid w:val="003C63A8"/>
    <w:rsid w:val="003C696D"/>
    <w:rsid w:val="003C6B21"/>
    <w:rsid w:val="003C7162"/>
    <w:rsid w:val="003C7975"/>
    <w:rsid w:val="003C79BB"/>
    <w:rsid w:val="003C7AC3"/>
    <w:rsid w:val="003C7FE9"/>
    <w:rsid w:val="003D2967"/>
    <w:rsid w:val="003D29C8"/>
    <w:rsid w:val="003D2FD0"/>
    <w:rsid w:val="003D37C4"/>
    <w:rsid w:val="003D3C05"/>
    <w:rsid w:val="003D4EFA"/>
    <w:rsid w:val="003D6590"/>
    <w:rsid w:val="003D72BA"/>
    <w:rsid w:val="003D7992"/>
    <w:rsid w:val="003E073C"/>
    <w:rsid w:val="003E1340"/>
    <w:rsid w:val="003E1510"/>
    <w:rsid w:val="003E1FE8"/>
    <w:rsid w:val="003E5832"/>
    <w:rsid w:val="003E596D"/>
    <w:rsid w:val="003E7188"/>
    <w:rsid w:val="003F0AB0"/>
    <w:rsid w:val="003F0CDD"/>
    <w:rsid w:val="003F1FB4"/>
    <w:rsid w:val="003F2E28"/>
    <w:rsid w:val="003F4D7D"/>
    <w:rsid w:val="003F4D9D"/>
    <w:rsid w:val="003F548E"/>
    <w:rsid w:val="003F6EC0"/>
    <w:rsid w:val="003F74E6"/>
    <w:rsid w:val="004019D4"/>
    <w:rsid w:val="00402699"/>
    <w:rsid w:val="004048E8"/>
    <w:rsid w:val="00405A7B"/>
    <w:rsid w:val="00405F3A"/>
    <w:rsid w:val="00406C19"/>
    <w:rsid w:val="00411EB2"/>
    <w:rsid w:val="00412900"/>
    <w:rsid w:val="00412A40"/>
    <w:rsid w:val="00412A7F"/>
    <w:rsid w:val="004150B5"/>
    <w:rsid w:val="00415916"/>
    <w:rsid w:val="00415C03"/>
    <w:rsid w:val="00416378"/>
    <w:rsid w:val="00416BD4"/>
    <w:rsid w:val="00421971"/>
    <w:rsid w:val="00421BE3"/>
    <w:rsid w:val="0042409F"/>
    <w:rsid w:val="00425551"/>
    <w:rsid w:val="004265E7"/>
    <w:rsid w:val="004269C2"/>
    <w:rsid w:val="00426B4B"/>
    <w:rsid w:val="00426D66"/>
    <w:rsid w:val="0043066B"/>
    <w:rsid w:val="00430FCA"/>
    <w:rsid w:val="0043111F"/>
    <w:rsid w:val="004316DB"/>
    <w:rsid w:val="00431B2A"/>
    <w:rsid w:val="00431E1A"/>
    <w:rsid w:val="00432186"/>
    <w:rsid w:val="004336E6"/>
    <w:rsid w:val="004338C0"/>
    <w:rsid w:val="004338D9"/>
    <w:rsid w:val="004347DD"/>
    <w:rsid w:val="004362BE"/>
    <w:rsid w:val="00436573"/>
    <w:rsid w:val="00437C01"/>
    <w:rsid w:val="00437CF1"/>
    <w:rsid w:val="004426AB"/>
    <w:rsid w:val="0044308D"/>
    <w:rsid w:val="0044343B"/>
    <w:rsid w:val="004439D3"/>
    <w:rsid w:val="00444604"/>
    <w:rsid w:val="0044462C"/>
    <w:rsid w:val="00444677"/>
    <w:rsid w:val="004456AA"/>
    <w:rsid w:val="00445A6E"/>
    <w:rsid w:val="00445AA6"/>
    <w:rsid w:val="00445E1A"/>
    <w:rsid w:val="004466B0"/>
    <w:rsid w:val="0044722A"/>
    <w:rsid w:val="00447C9D"/>
    <w:rsid w:val="00450087"/>
    <w:rsid w:val="004514BE"/>
    <w:rsid w:val="00451C11"/>
    <w:rsid w:val="00452BD3"/>
    <w:rsid w:val="00453903"/>
    <w:rsid w:val="004540B7"/>
    <w:rsid w:val="00455CA7"/>
    <w:rsid w:val="00461820"/>
    <w:rsid w:val="00461B75"/>
    <w:rsid w:val="00462BF0"/>
    <w:rsid w:val="00462D03"/>
    <w:rsid w:val="004633E1"/>
    <w:rsid w:val="00465800"/>
    <w:rsid w:val="00465DCD"/>
    <w:rsid w:val="00467ACE"/>
    <w:rsid w:val="00470104"/>
    <w:rsid w:val="0047019F"/>
    <w:rsid w:val="004701CD"/>
    <w:rsid w:val="0047055A"/>
    <w:rsid w:val="0047098B"/>
    <w:rsid w:val="004718DA"/>
    <w:rsid w:val="00471AD9"/>
    <w:rsid w:val="004732EC"/>
    <w:rsid w:val="00476AA0"/>
    <w:rsid w:val="00477341"/>
    <w:rsid w:val="00482DAE"/>
    <w:rsid w:val="004838D7"/>
    <w:rsid w:val="00484080"/>
    <w:rsid w:val="00484569"/>
    <w:rsid w:val="00485313"/>
    <w:rsid w:val="0048614C"/>
    <w:rsid w:val="004879D9"/>
    <w:rsid w:val="00490AC9"/>
    <w:rsid w:val="004912A6"/>
    <w:rsid w:val="0049148F"/>
    <w:rsid w:val="00491ABE"/>
    <w:rsid w:val="00491B07"/>
    <w:rsid w:val="00492AD9"/>
    <w:rsid w:val="00493462"/>
    <w:rsid w:val="00494978"/>
    <w:rsid w:val="00497D10"/>
    <w:rsid w:val="004A01F4"/>
    <w:rsid w:val="004A07F3"/>
    <w:rsid w:val="004A085F"/>
    <w:rsid w:val="004A1177"/>
    <w:rsid w:val="004A28FC"/>
    <w:rsid w:val="004A5530"/>
    <w:rsid w:val="004A5B10"/>
    <w:rsid w:val="004A5C3A"/>
    <w:rsid w:val="004A5F19"/>
    <w:rsid w:val="004A6822"/>
    <w:rsid w:val="004A6860"/>
    <w:rsid w:val="004B18DC"/>
    <w:rsid w:val="004B1BD3"/>
    <w:rsid w:val="004B1FEA"/>
    <w:rsid w:val="004B3C36"/>
    <w:rsid w:val="004B4AB4"/>
    <w:rsid w:val="004B4B82"/>
    <w:rsid w:val="004B7853"/>
    <w:rsid w:val="004B79DE"/>
    <w:rsid w:val="004B7AC9"/>
    <w:rsid w:val="004B7AE4"/>
    <w:rsid w:val="004C003A"/>
    <w:rsid w:val="004C0201"/>
    <w:rsid w:val="004C099A"/>
    <w:rsid w:val="004C0E9B"/>
    <w:rsid w:val="004C1EFB"/>
    <w:rsid w:val="004C2963"/>
    <w:rsid w:val="004C40EF"/>
    <w:rsid w:val="004C496D"/>
    <w:rsid w:val="004C49A9"/>
    <w:rsid w:val="004C6E39"/>
    <w:rsid w:val="004C7F53"/>
    <w:rsid w:val="004D0050"/>
    <w:rsid w:val="004D00ED"/>
    <w:rsid w:val="004D0C76"/>
    <w:rsid w:val="004D24BC"/>
    <w:rsid w:val="004D2BA8"/>
    <w:rsid w:val="004D2FC3"/>
    <w:rsid w:val="004D3768"/>
    <w:rsid w:val="004D4C15"/>
    <w:rsid w:val="004D5555"/>
    <w:rsid w:val="004D5732"/>
    <w:rsid w:val="004D66AC"/>
    <w:rsid w:val="004D7044"/>
    <w:rsid w:val="004D73B1"/>
    <w:rsid w:val="004D7664"/>
    <w:rsid w:val="004D7EA1"/>
    <w:rsid w:val="004E002C"/>
    <w:rsid w:val="004E08B3"/>
    <w:rsid w:val="004E1842"/>
    <w:rsid w:val="004E3B31"/>
    <w:rsid w:val="004E40A1"/>
    <w:rsid w:val="004E6CFE"/>
    <w:rsid w:val="004E6FBC"/>
    <w:rsid w:val="004F01BF"/>
    <w:rsid w:val="004F0A63"/>
    <w:rsid w:val="004F2349"/>
    <w:rsid w:val="004F27EC"/>
    <w:rsid w:val="004F314F"/>
    <w:rsid w:val="004F4FDD"/>
    <w:rsid w:val="004F54B1"/>
    <w:rsid w:val="004F5783"/>
    <w:rsid w:val="004F67FA"/>
    <w:rsid w:val="004F6CF1"/>
    <w:rsid w:val="004F721A"/>
    <w:rsid w:val="005013DF"/>
    <w:rsid w:val="00501C00"/>
    <w:rsid w:val="00503330"/>
    <w:rsid w:val="005033DF"/>
    <w:rsid w:val="0050367E"/>
    <w:rsid w:val="00503C3D"/>
    <w:rsid w:val="00504298"/>
    <w:rsid w:val="00504C92"/>
    <w:rsid w:val="0050571E"/>
    <w:rsid w:val="005058D0"/>
    <w:rsid w:val="00506207"/>
    <w:rsid w:val="0050720B"/>
    <w:rsid w:val="00510614"/>
    <w:rsid w:val="0051088F"/>
    <w:rsid w:val="0051188D"/>
    <w:rsid w:val="00512FC4"/>
    <w:rsid w:val="00513456"/>
    <w:rsid w:val="005143BE"/>
    <w:rsid w:val="0051489F"/>
    <w:rsid w:val="00514D37"/>
    <w:rsid w:val="00515CEB"/>
    <w:rsid w:val="0051612D"/>
    <w:rsid w:val="005203C5"/>
    <w:rsid w:val="0052116D"/>
    <w:rsid w:val="00522723"/>
    <w:rsid w:val="00522E84"/>
    <w:rsid w:val="00523908"/>
    <w:rsid w:val="00526B6A"/>
    <w:rsid w:val="00526E36"/>
    <w:rsid w:val="005279B7"/>
    <w:rsid w:val="00527EFB"/>
    <w:rsid w:val="005300AC"/>
    <w:rsid w:val="00530C76"/>
    <w:rsid w:val="00532020"/>
    <w:rsid w:val="00532836"/>
    <w:rsid w:val="00532E45"/>
    <w:rsid w:val="005335B6"/>
    <w:rsid w:val="005338CC"/>
    <w:rsid w:val="00533C0C"/>
    <w:rsid w:val="00534D68"/>
    <w:rsid w:val="00535A9A"/>
    <w:rsid w:val="00540038"/>
    <w:rsid w:val="00540CB0"/>
    <w:rsid w:val="0054152C"/>
    <w:rsid w:val="00542503"/>
    <w:rsid w:val="00542FAD"/>
    <w:rsid w:val="00543284"/>
    <w:rsid w:val="00543727"/>
    <w:rsid w:val="00544A89"/>
    <w:rsid w:val="005454E6"/>
    <w:rsid w:val="005475E4"/>
    <w:rsid w:val="005501BE"/>
    <w:rsid w:val="005508E5"/>
    <w:rsid w:val="00550C84"/>
    <w:rsid w:val="00551208"/>
    <w:rsid w:val="0055150A"/>
    <w:rsid w:val="00551F27"/>
    <w:rsid w:val="00553129"/>
    <w:rsid w:val="00553A93"/>
    <w:rsid w:val="00553C6C"/>
    <w:rsid w:val="0055411E"/>
    <w:rsid w:val="00554988"/>
    <w:rsid w:val="005555A9"/>
    <w:rsid w:val="005558B2"/>
    <w:rsid w:val="00557392"/>
    <w:rsid w:val="00561997"/>
    <w:rsid w:val="0056242D"/>
    <w:rsid w:val="00562862"/>
    <w:rsid w:val="00563463"/>
    <w:rsid w:val="0056383F"/>
    <w:rsid w:val="00563BBF"/>
    <w:rsid w:val="00567189"/>
    <w:rsid w:val="00567234"/>
    <w:rsid w:val="005673FF"/>
    <w:rsid w:val="005674E9"/>
    <w:rsid w:val="00572927"/>
    <w:rsid w:val="00573D9A"/>
    <w:rsid w:val="005744EB"/>
    <w:rsid w:val="0057569D"/>
    <w:rsid w:val="005759D8"/>
    <w:rsid w:val="00577614"/>
    <w:rsid w:val="0058055E"/>
    <w:rsid w:val="00581BE7"/>
    <w:rsid w:val="0058270D"/>
    <w:rsid w:val="00582AF1"/>
    <w:rsid w:val="00583950"/>
    <w:rsid w:val="00583D9A"/>
    <w:rsid w:val="00584944"/>
    <w:rsid w:val="00584B71"/>
    <w:rsid w:val="005913F3"/>
    <w:rsid w:val="00591E29"/>
    <w:rsid w:val="005928AC"/>
    <w:rsid w:val="00593E4C"/>
    <w:rsid w:val="00595A9D"/>
    <w:rsid w:val="00596E67"/>
    <w:rsid w:val="00597765"/>
    <w:rsid w:val="005A00E5"/>
    <w:rsid w:val="005A0CA4"/>
    <w:rsid w:val="005A158F"/>
    <w:rsid w:val="005A1682"/>
    <w:rsid w:val="005A3C4D"/>
    <w:rsid w:val="005A5245"/>
    <w:rsid w:val="005A55CA"/>
    <w:rsid w:val="005B02E7"/>
    <w:rsid w:val="005B138B"/>
    <w:rsid w:val="005B2696"/>
    <w:rsid w:val="005B2E07"/>
    <w:rsid w:val="005B38C1"/>
    <w:rsid w:val="005B3DCA"/>
    <w:rsid w:val="005B47F0"/>
    <w:rsid w:val="005B633B"/>
    <w:rsid w:val="005B6FB7"/>
    <w:rsid w:val="005B7B4D"/>
    <w:rsid w:val="005B7B6B"/>
    <w:rsid w:val="005C21FD"/>
    <w:rsid w:val="005C3034"/>
    <w:rsid w:val="005C3C93"/>
    <w:rsid w:val="005C48A2"/>
    <w:rsid w:val="005C4A8B"/>
    <w:rsid w:val="005C64D7"/>
    <w:rsid w:val="005C7572"/>
    <w:rsid w:val="005D02CF"/>
    <w:rsid w:val="005D08D5"/>
    <w:rsid w:val="005D195C"/>
    <w:rsid w:val="005D2630"/>
    <w:rsid w:val="005D2F67"/>
    <w:rsid w:val="005D30A0"/>
    <w:rsid w:val="005D33CC"/>
    <w:rsid w:val="005D3D7B"/>
    <w:rsid w:val="005D4456"/>
    <w:rsid w:val="005D52F1"/>
    <w:rsid w:val="005D5428"/>
    <w:rsid w:val="005D562C"/>
    <w:rsid w:val="005D660A"/>
    <w:rsid w:val="005D6DAC"/>
    <w:rsid w:val="005D70D4"/>
    <w:rsid w:val="005D738C"/>
    <w:rsid w:val="005D7D56"/>
    <w:rsid w:val="005E0373"/>
    <w:rsid w:val="005E2341"/>
    <w:rsid w:val="005E2346"/>
    <w:rsid w:val="005E2ACB"/>
    <w:rsid w:val="005E382A"/>
    <w:rsid w:val="005E4328"/>
    <w:rsid w:val="005E4362"/>
    <w:rsid w:val="005E45BC"/>
    <w:rsid w:val="005E50A0"/>
    <w:rsid w:val="005E5512"/>
    <w:rsid w:val="005E5858"/>
    <w:rsid w:val="005E598E"/>
    <w:rsid w:val="005E654F"/>
    <w:rsid w:val="005E68F3"/>
    <w:rsid w:val="005E7E96"/>
    <w:rsid w:val="005F01A5"/>
    <w:rsid w:val="005F1065"/>
    <w:rsid w:val="005F1658"/>
    <w:rsid w:val="005F33C6"/>
    <w:rsid w:val="005F6E3B"/>
    <w:rsid w:val="005F7232"/>
    <w:rsid w:val="005F73CB"/>
    <w:rsid w:val="005F75A1"/>
    <w:rsid w:val="0060055F"/>
    <w:rsid w:val="006007E7"/>
    <w:rsid w:val="00601E8D"/>
    <w:rsid w:val="006020A8"/>
    <w:rsid w:val="006021C9"/>
    <w:rsid w:val="00602D53"/>
    <w:rsid w:val="0060330D"/>
    <w:rsid w:val="00604C1A"/>
    <w:rsid w:val="0060523C"/>
    <w:rsid w:val="00605B0F"/>
    <w:rsid w:val="006068EE"/>
    <w:rsid w:val="0060781F"/>
    <w:rsid w:val="00607D82"/>
    <w:rsid w:val="0061059F"/>
    <w:rsid w:val="006136C9"/>
    <w:rsid w:val="00613988"/>
    <w:rsid w:val="00613D38"/>
    <w:rsid w:val="00613E6C"/>
    <w:rsid w:val="006157A6"/>
    <w:rsid w:val="0061680E"/>
    <w:rsid w:val="00616CBF"/>
    <w:rsid w:val="00616D1B"/>
    <w:rsid w:val="006179EE"/>
    <w:rsid w:val="006202DB"/>
    <w:rsid w:val="00620DC3"/>
    <w:rsid w:val="00622E51"/>
    <w:rsid w:val="00624283"/>
    <w:rsid w:val="00627E5C"/>
    <w:rsid w:val="00630488"/>
    <w:rsid w:val="00630A91"/>
    <w:rsid w:val="0063283F"/>
    <w:rsid w:val="00632A34"/>
    <w:rsid w:val="00632B2B"/>
    <w:rsid w:val="00632CC9"/>
    <w:rsid w:val="006330D6"/>
    <w:rsid w:val="00636A90"/>
    <w:rsid w:val="00636ECB"/>
    <w:rsid w:val="00637892"/>
    <w:rsid w:val="00637AE7"/>
    <w:rsid w:val="006408EF"/>
    <w:rsid w:val="00642331"/>
    <w:rsid w:val="00643C36"/>
    <w:rsid w:val="006441E4"/>
    <w:rsid w:val="00646E06"/>
    <w:rsid w:val="006471EB"/>
    <w:rsid w:val="006476AF"/>
    <w:rsid w:val="00647767"/>
    <w:rsid w:val="006521CB"/>
    <w:rsid w:val="0065321C"/>
    <w:rsid w:val="0065324A"/>
    <w:rsid w:val="00653619"/>
    <w:rsid w:val="0065365D"/>
    <w:rsid w:val="006558B4"/>
    <w:rsid w:val="00660621"/>
    <w:rsid w:val="00660832"/>
    <w:rsid w:val="00662573"/>
    <w:rsid w:val="006626EA"/>
    <w:rsid w:val="00662BEE"/>
    <w:rsid w:val="0066511E"/>
    <w:rsid w:val="0066525A"/>
    <w:rsid w:val="00665990"/>
    <w:rsid w:val="0066599F"/>
    <w:rsid w:val="00670CE5"/>
    <w:rsid w:val="00671D28"/>
    <w:rsid w:val="0067298E"/>
    <w:rsid w:val="00673173"/>
    <w:rsid w:val="00673B55"/>
    <w:rsid w:val="0067404C"/>
    <w:rsid w:val="00674207"/>
    <w:rsid w:val="00675853"/>
    <w:rsid w:val="00675B4A"/>
    <w:rsid w:val="006765E7"/>
    <w:rsid w:val="00676B77"/>
    <w:rsid w:val="006809F3"/>
    <w:rsid w:val="00681362"/>
    <w:rsid w:val="00681EDA"/>
    <w:rsid w:val="006828E0"/>
    <w:rsid w:val="00682B64"/>
    <w:rsid w:val="00683AF2"/>
    <w:rsid w:val="0068541F"/>
    <w:rsid w:val="00685931"/>
    <w:rsid w:val="00686F05"/>
    <w:rsid w:val="00690E8E"/>
    <w:rsid w:val="00691966"/>
    <w:rsid w:val="00691A52"/>
    <w:rsid w:val="0069311E"/>
    <w:rsid w:val="00693617"/>
    <w:rsid w:val="00694923"/>
    <w:rsid w:val="00694D2E"/>
    <w:rsid w:val="0069538E"/>
    <w:rsid w:val="00695D6B"/>
    <w:rsid w:val="0069749C"/>
    <w:rsid w:val="006A21C0"/>
    <w:rsid w:val="006A2EA5"/>
    <w:rsid w:val="006A3467"/>
    <w:rsid w:val="006A48AA"/>
    <w:rsid w:val="006A649B"/>
    <w:rsid w:val="006B1EA7"/>
    <w:rsid w:val="006B230A"/>
    <w:rsid w:val="006B3086"/>
    <w:rsid w:val="006B33D4"/>
    <w:rsid w:val="006B3479"/>
    <w:rsid w:val="006B3628"/>
    <w:rsid w:val="006B3DCE"/>
    <w:rsid w:val="006B4069"/>
    <w:rsid w:val="006B43BD"/>
    <w:rsid w:val="006B4A15"/>
    <w:rsid w:val="006B63D3"/>
    <w:rsid w:val="006C0A3C"/>
    <w:rsid w:val="006C1B3D"/>
    <w:rsid w:val="006C2CD2"/>
    <w:rsid w:val="006C3298"/>
    <w:rsid w:val="006C3329"/>
    <w:rsid w:val="006C341B"/>
    <w:rsid w:val="006C3657"/>
    <w:rsid w:val="006C42D0"/>
    <w:rsid w:val="006C4387"/>
    <w:rsid w:val="006C4528"/>
    <w:rsid w:val="006C46A3"/>
    <w:rsid w:val="006C4ABE"/>
    <w:rsid w:val="006C7623"/>
    <w:rsid w:val="006D021D"/>
    <w:rsid w:val="006D03D3"/>
    <w:rsid w:val="006D0AC5"/>
    <w:rsid w:val="006D368B"/>
    <w:rsid w:val="006D3F42"/>
    <w:rsid w:val="006D4C45"/>
    <w:rsid w:val="006D70D2"/>
    <w:rsid w:val="006D787C"/>
    <w:rsid w:val="006E0A11"/>
    <w:rsid w:val="006E0AEC"/>
    <w:rsid w:val="006E0B28"/>
    <w:rsid w:val="006E169E"/>
    <w:rsid w:val="006E20FE"/>
    <w:rsid w:val="006E22F3"/>
    <w:rsid w:val="006E424F"/>
    <w:rsid w:val="006E64C5"/>
    <w:rsid w:val="006E7AB3"/>
    <w:rsid w:val="006F0BD5"/>
    <w:rsid w:val="006F187F"/>
    <w:rsid w:val="006F18FA"/>
    <w:rsid w:val="006F1A77"/>
    <w:rsid w:val="006F3D32"/>
    <w:rsid w:val="006F514B"/>
    <w:rsid w:val="006F5639"/>
    <w:rsid w:val="006F57F5"/>
    <w:rsid w:val="006F5901"/>
    <w:rsid w:val="006F66A5"/>
    <w:rsid w:val="00700618"/>
    <w:rsid w:val="00704578"/>
    <w:rsid w:val="00705425"/>
    <w:rsid w:val="007073B0"/>
    <w:rsid w:val="007079BF"/>
    <w:rsid w:val="00710F2F"/>
    <w:rsid w:val="00711A4A"/>
    <w:rsid w:val="00711D99"/>
    <w:rsid w:val="0071245C"/>
    <w:rsid w:val="00714CC8"/>
    <w:rsid w:val="00714FE9"/>
    <w:rsid w:val="00715393"/>
    <w:rsid w:val="00715CE0"/>
    <w:rsid w:val="00715F33"/>
    <w:rsid w:val="0071684D"/>
    <w:rsid w:val="007179C8"/>
    <w:rsid w:val="00717E8E"/>
    <w:rsid w:val="0072160D"/>
    <w:rsid w:val="00721846"/>
    <w:rsid w:val="007241E4"/>
    <w:rsid w:val="00726304"/>
    <w:rsid w:val="00727986"/>
    <w:rsid w:val="0073183D"/>
    <w:rsid w:val="00732F20"/>
    <w:rsid w:val="00734E6B"/>
    <w:rsid w:val="0073633D"/>
    <w:rsid w:val="007366B1"/>
    <w:rsid w:val="00736827"/>
    <w:rsid w:val="007369D8"/>
    <w:rsid w:val="00736EF3"/>
    <w:rsid w:val="007400D8"/>
    <w:rsid w:val="007418CB"/>
    <w:rsid w:val="00741AB5"/>
    <w:rsid w:val="00742556"/>
    <w:rsid w:val="00742AAC"/>
    <w:rsid w:val="00743DC1"/>
    <w:rsid w:val="00744D9F"/>
    <w:rsid w:val="007456F6"/>
    <w:rsid w:val="00746FB4"/>
    <w:rsid w:val="007472DB"/>
    <w:rsid w:val="0074732F"/>
    <w:rsid w:val="00747805"/>
    <w:rsid w:val="00747F6D"/>
    <w:rsid w:val="00747F84"/>
    <w:rsid w:val="00747FC3"/>
    <w:rsid w:val="0075050C"/>
    <w:rsid w:val="00750C5E"/>
    <w:rsid w:val="00750EDF"/>
    <w:rsid w:val="007511E6"/>
    <w:rsid w:val="00753065"/>
    <w:rsid w:val="0075390F"/>
    <w:rsid w:val="00754875"/>
    <w:rsid w:val="0075678B"/>
    <w:rsid w:val="00756DB4"/>
    <w:rsid w:val="00761659"/>
    <w:rsid w:val="00761BF9"/>
    <w:rsid w:val="0076296A"/>
    <w:rsid w:val="00763561"/>
    <w:rsid w:val="00763944"/>
    <w:rsid w:val="00763AD6"/>
    <w:rsid w:val="00764C27"/>
    <w:rsid w:val="00765833"/>
    <w:rsid w:val="00765BBB"/>
    <w:rsid w:val="00766AEF"/>
    <w:rsid w:val="00770B12"/>
    <w:rsid w:val="00771717"/>
    <w:rsid w:val="00771B7B"/>
    <w:rsid w:val="007742C5"/>
    <w:rsid w:val="0077476F"/>
    <w:rsid w:val="007751AC"/>
    <w:rsid w:val="00775703"/>
    <w:rsid w:val="007760AF"/>
    <w:rsid w:val="007806E2"/>
    <w:rsid w:val="00781483"/>
    <w:rsid w:val="0078206D"/>
    <w:rsid w:val="00782B4C"/>
    <w:rsid w:val="007839BA"/>
    <w:rsid w:val="00783BE9"/>
    <w:rsid w:val="00784705"/>
    <w:rsid w:val="00785213"/>
    <w:rsid w:val="00786199"/>
    <w:rsid w:val="00786855"/>
    <w:rsid w:val="00786BFB"/>
    <w:rsid w:val="00787586"/>
    <w:rsid w:val="007875ED"/>
    <w:rsid w:val="00787638"/>
    <w:rsid w:val="00787FA5"/>
    <w:rsid w:val="00790415"/>
    <w:rsid w:val="00791248"/>
    <w:rsid w:val="007917B7"/>
    <w:rsid w:val="00791877"/>
    <w:rsid w:val="007921AA"/>
    <w:rsid w:val="00792884"/>
    <w:rsid w:val="0079293B"/>
    <w:rsid w:val="0079410B"/>
    <w:rsid w:val="007950A4"/>
    <w:rsid w:val="007953F4"/>
    <w:rsid w:val="00795CF8"/>
    <w:rsid w:val="007965D6"/>
    <w:rsid w:val="0079694C"/>
    <w:rsid w:val="00797AEA"/>
    <w:rsid w:val="00797E91"/>
    <w:rsid w:val="007A0DBF"/>
    <w:rsid w:val="007A32B8"/>
    <w:rsid w:val="007A37DF"/>
    <w:rsid w:val="007A3D07"/>
    <w:rsid w:val="007A462F"/>
    <w:rsid w:val="007A516C"/>
    <w:rsid w:val="007A52F8"/>
    <w:rsid w:val="007A634D"/>
    <w:rsid w:val="007A72B8"/>
    <w:rsid w:val="007A7BFE"/>
    <w:rsid w:val="007B0064"/>
    <w:rsid w:val="007B0DCF"/>
    <w:rsid w:val="007B10F2"/>
    <w:rsid w:val="007B11E1"/>
    <w:rsid w:val="007B161C"/>
    <w:rsid w:val="007B1FE4"/>
    <w:rsid w:val="007B2734"/>
    <w:rsid w:val="007B30B3"/>
    <w:rsid w:val="007B55E8"/>
    <w:rsid w:val="007B5F03"/>
    <w:rsid w:val="007B6548"/>
    <w:rsid w:val="007B750E"/>
    <w:rsid w:val="007C06FE"/>
    <w:rsid w:val="007C1801"/>
    <w:rsid w:val="007C1B33"/>
    <w:rsid w:val="007C1EA8"/>
    <w:rsid w:val="007C25B5"/>
    <w:rsid w:val="007C279E"/>
    <w:rsid w:val="007C2DAF"/>
    <w:rsid w:val="007C513E"/>
    <w:rsid w:val="007C52F9"/>
    <w:rsid w:val="007C571A"/>
    <w:rsid w:val="007C5A1F"/>
    <w:rsid w:val="007C70D6"/>
    <w:rsid w:val="007C78D8"/>
    <w:rsid w:val="007D120B"/>
    <w:rsid w:val="007D1CCF"/>
    <w:rsid w:val="007D2AF8"/>
    <w:rsid w:val="007D2E10"/>
    <w:rsid w:val="007D431C"/>
    <w:rsid w:val="007D46A7"/>
    <w:rsid w:val="007D606E"/>
    <w:rsid w:val="007D74CF"/>
    <w:rsid w:val="007D7C47"/>
    <w:rsid w:val="007E22B2"/>
    <w:rsid w:val="007E25FD"/>
    <w:rsid w:val="007E2C8C"/>
    <w:rsid w:val="007E376D"/>
    <w:rsid w:val="007E4D76"/>
    <w:rsid w:val="007E506B"/>
    <w:rsid w:val="007E52C4"/>
    <w:rsid w:val="007E60F9"/>
    <w:rsid w:val="007F08B0"/>
    <w:rsid w:val="007F0A35"/>
    <w:rsid w:val="007F0A6A"/>
    <w:rsid w:val="007F0B8F"/>
    <w:rsid w:val="007F0FDC"/>
    <w:rsid w:val="007F2179"/>
    <w:rsid w:val="007F5687"/>
    <w:rsid w:val="007F686D"/>
    <w:rsid w:val="007F70E6"/>
    <w:rsid w:val="007F7292"/>
    <w:rsid w:val="007F7BF5"/>
    <w:rsid w:val="008006C0"/>
    <w:rsid w:val="00801B8D"/>
    <w:rsid w:val="00802AA4"/>
    <w:rsid w:val="00803983"/>
    <w:rsid w:val="00804802"/>
    <w:rsid w:val="00805069"/>
    <w:rsid w:val="008059D2"/>
    <w:rsid w:val="00805D92"/>
    <w:rsid w:val="0080668A"/>
    <w:rsid w:val="00806BC2"/>
    <w:rsid w:val="008071B1"/>
    <w:rsid w:val="008071F7"/>
    <w:rsid w:val="00810847"/>
    <w:rsid w:val="0081170B"/>
    <w:rsid w:val="00811A52"/>
    <w:rsid w:val="00811DB5"/>
    <w:rsid w:val="00812A79"/>
    <w:rsid w:val="00812D22"/>
    <w:rsid w:val="0081438E"/>
    <w:rsid w:val="008144F2"/>
    <w:rsid w:val="008145CA"/>
    <w:rsid w:val="00815CB3"/>
    <w:rsid w:val="00816B0E"/>
    <w:rsid w:val="008176D7"/>
    <w:rsid w:val="00820605"/>
    <w:rsid w:val="008215E2"/>
    <w:rsid w:val="00821A2F"/>
    <w:rsid w:val="00821BA7"/>
    <w:rsid w:val="00821C7A"/>
    <w:rsid w:val="008220C3"/>
    <w:rsid w:val="0082231E"/>
    <w:rsid w:val="00822595"/>
    <w:rsid w:val="00822CC3"/>
    <w:rsid w:val="008233F9"/>
    <w:rsid w:val="0082450F"/>
    <w:rsid w:val="00824695"/>
    <w:rsid w:val="00826047"/>
    <w:rsid w:val="00826098"/>
    <w:rsid w:val="008278AA"/>
    <w:rsid w:val="00830712"/>
    <w:rsid w:val="00832050"/>
    <w:rsid w:val="00832B3A"/>
    <w:rsid w:val="00832BED"/>
    <w:rsid w:val="00832CEC"/>
    <w:rsid w:val="0083320D"/>
    <w:rsid w:val="00833F8B"/>
    <w:rsid w:val="00834C7D"/>
    <w:rsid w:val="00835264"/>
    <w:rsid w:val="008362D6"/>
    <w:rsid w:val="008378DF"/>
    <w:rsid w:val="00837D35"/>
    <w:rsid w:val="00837D6F"/>
    <w:rsid w:val="00840D9B"/>
    <w:rsid w:val="00843BEB"/>
    <w:rsid w:val="008453B2"/>
    <w:rsid w:val="00850B16"/>
    <w:rsid w:val="00851B91"/>
    <w:rsid w:val="008561F1"/>
    <w:rsid w:val="00856B3D"/>
    <w:rsid w:val="00856FB3"/>
    <w:rsid w:val="00860A84"/>
    <w:rsid w:val="00861D4D"/>
    <w:rsid w:val="0086226B"/>
    <w:rsid w:val="008628C3"/>
    <w:rsid w:val="008660F8"/>
    <w:rsid w:val="008667F8"/>
    <w:rsid w:val="008701C2"/>
    <w:rsid w:val="008728C5"/>
    <w:rsid w:val="00872F4C"/>
    <w:rsid w:val="008733C3"/>
    <w:rsid w:val="00876B06"/>
    <w:rsid w:val="00876E81"/>
    <w:rsid w:val="00880046"/>
    <w:rsid w:val="00881C53"/>
    <w:rsid w:val="0088516C"/>
    <w:rsid w:val="00885500"/>
    <w:rsid w:val="00885A48"/>
    <w:rsid w:val="00885D73"/>
    <w:rsid w:val="00886464"/>
    <w:rsid w:val="00887063"/>
    <w:rsid w:val="008876BD"/>
    <w:rsid w:val="00891042"/>
    <w:rsid w:val="00892556"/>
    <w:rsid w:val="0089296D"/>
    <w:rsid w:val="00892BC1"/>
    <w:rsid w:val="0089310F"/>
    <w:rsid w:val="00893D42"/>
    <w:rsid w:val="00894295"/>
    <w:rsid w:val="00897B59"/>
    <w:rsid w:val="008A0850"/>
    <w:rsid w:val="008A0EA2"/>
    <w:rsid w:val="008A0FF8"/>
    <w:rsid w:val="008A189B"/>
    <w:rsid w:val="008A1D07"/>
    <w:rsid w:val="008A40D5"/>
    <w:rsid w:val="008A4F81"/>
    <w:rsid w:val="008A567E"/>
    <w:rsid w:val="008A5BD8"/>
    <w:rsid w:val="008A6027"/>
    <w:rsid w:val="008A67D5"/>
    <w:rsid w:val="008A7B54"/>
    <w:rsid w:val="008B06DD"/>
    <w:rsid w:val="008B08FB"/>
    <w:rsid w:val="008B25EB"/>
    <w:rsid w:val="008B2D97"/>
    <w:rsid w:val="008B346D"/>
    <w:rsid w:val="008B3541"/>
    <w:rsid w:val="008B402B"/>
    <w:rsid w:val="008B49B3"/>
    <w:rsid w:val="008B5832"/>
    <w:rsid w:val="008B65EE"/>
    <w:rsid w:val="008B6B9C"/>
    <w:rsid w:val="008C242F"/>
    <w:rsid w:val="008C357E"/>
    <w:rsid w:val="008C3E70"/>
    <w:rsid w:val="008C5B32"/>
    <w:rsid w:val="008C63EE"/>
    <w:rsid w:val="008C6495"/>
    <w:rsid w:val="008D07C2"/>
    <w:rsid w:val="008D123A"/>
    <w:rsid w:val="008D1EA2"/>
    <w:rsid w:val="008D359C"/>
    <w:rsid w:val="008D3634"/>
    <w:rsid w:val="008D411D"/>
    <w:rsid w:val="008D58DB"/>
    <w:rsid w:val="008D5A77"/>
    <w:rsid w:val="008D66A2"/>
    <w:rsid w:val="008D7525"/>
    <w:rsid w:val="008E0278"/>
    <w:rsid w:val="008E0C0A"/>
    <w:rsid w:val="008E0CD5"/>
    <w:rsid w:val="008E2EBE"/>
    <w:rsid w:val="008E3192"/>
    <w:rsid w:val="008E4EE8"/>
    <w:rsid w:val="008E5D69"/>
    <w:rsid w:val="008E6F0F"/>
    <w:rsid w:val="008E7803"/>
    <w:rsid w:val="008F12CE"/>
    <w:rsid w:val="008F2DDA"/>
    <w:rsid w:val="008F487B"/>
    <w:rsid w:val="008F5710"/>
    <w:rsid w:val="008F6764"/>
    <w:rsid w:val="008F7B02"/>
    <w:rsid w:val="008F7B57"/>
    <w:rsid w:val="009004BE"/>
    <w:rsid w:val="00902692"/>
    <w:rsid w:val="0090368E"/>
    <w:rsid w:val="009047B8"/>
    <w:rsid w:val="00905727"/>
    <w:rsid w:val="009059DC"/>
    <w:rsid w:val="00905E3E"/>
    <w:rsid w:val="00906402"/>
    <w:rsid w:val="0090763F"/>
    <w:rsid w:val="00907B06"/>
    <w:rsid w:val="00907D58"/>
    <w:rsid w:val="00910DAF"/>
    <w:rsid w:val="009111F7"/>
    <w:rsid w:val="00912F06"/>
    <w:rsid w:val="00913972"/>
    <w:rsid w:val="00914AE8"/>
    <w:rsid w:val="00915576"/>
    <w:rsid w:val="009155C1"/>
    <w:rsid w:val="00915DF5"/>
    <w:rsid w:val="009173B4"/>
    <w:rsid w:val="0091768E"/>
    <w:rsid w:val="00917B04"/>
    <w:rsid w:val="00920965"/>
    <w:rsid w:val="00923B84"/>
    <w:rsid w:val="00923B87"/>
    <w:rsid w:val="00923D79"/>
    <w:rsid w:val="00923EEC"/>
    <w:rsid w:val="00925B53"/>
    <w:rsid w:val="00927F47"/>
    <w:rsid w:val="00930C41"/>
    <w:rsid w:val="00931405"/>
    <w:rsid w:val="009318A4"/>
    <w:rsid w:val="0093380B"/>
    <w:rsid w:val="00933968"/>
    <w:rsid w:val="00933B06"/>
    <w:rsid w:val="00934290"/>
    <w:rsid w:val="009347C0"/>
    <w:rsid w:val="009347C4"/>
    <w:rsid w:val="0094026B"/>
    <w:rsid w:val="009408B8"/>
    <w:rsid w:val="00940B64"/>
    <w:rsid w:val="00941420"/>
    <w:rsid w:val="0094283D"/>
    <w:rsid w:val="00942EAD"/>
    <w:rsid w:val="0094338F"/>
    <w:rsid w:val="00943F94"/>
    <w:rsid w:val="009443DB"/>
    <w:rsid w:val="00944955"/>
    <w:rsid w:val="009454B3"/>
    <w:rsid w:val="009468EF"/>
    <w:rsid w:val="00947782"/>
    <w:rsid w:val="00947A43"/>
    <w:rsid w:val="0095040B"/>
    <w:rsid w:val="009511E4"/>
    <w:rsid w:val="009526A0"/>
    <w:rsid w:val="00952DF3"/>
    <w:rsid w:val="00952E04"/>
    <w:rsid w:val="00953E7C"/>
    <w:rsid w:val="00954384"/>
    <w:rsid w:val="00954785"/>
    <w:rsid w:val="0095510A"/>
    <w:rsid w:val="00955931"/>
    <w:rsid w:val="00955B41"/>
    <w:rsid w:val="009573DA"/>
    <w:rsid w:val="009575E0"/>
    <w:rsid w:val="009615DE"/>
    <w:rsid w:val="00961717"/>
    <w:rsid w:val="00961989"/>
    <w:rsid w:val="00961C5B"/>
    <w:rsid w:val="009620ED"/>
    <w:rsid w:val="00962555"/>
    <w:rsid w:val="00962D93"/>
    <w:rsid w:val="009649A3"/>
    <w:rsid w:val="00964B45"/>
    <w:rsid w:val="00970690"/>
    <w:rsid w:val="0097217F"/>
    <w:rsid w:val="00972B7F"/>
    <w:rsid w:val="00974780"/>
    <w:rsid w:val="00974BA5"/>
    <w:rsid w:val="009754D7"/>
    <w:rsid w:val="00975A4C"/>
    <w:rsid w:val="009764C9"/>
    <w:rsid w:val="00976DB8"/>
    <w:rsid w:val="00977A3C"/>
    <w:rsid w:val="00981355"/>
    <w:rsid w:val="00981AE2"/>
    <w:rsid w:val="00984983"/>
    <w:rsid w:val="00985CE8"/>
    <w:rsid w:val="00986294"/>
    <w:rsid w:val="0098790A"/>
    <w:rsid w:val="00987B62"/>
    <w:rsid w:val="00990907"/>
    <w:rsid w:val="0099116B"/>
    <w:rsid w:val="00991C3E"/>
    <w:rsid w:val="00994C0B"/>
    <w:rsid w:val="009950C0"/>
    <w:rsid w:val="009954F7"/>
    <w:rsid w:val="009963CF"/>
    <w:rsid w:val="009963F4"/>
    <w:rsid w:val="00997691"/>
    <w:rsid w:val="009A11B1"/>
    <w:rsid w:val="009A2707"/>
    <w:rsid w:val="009A28C8"/>
    <w:rsid w:val="009A2E2D"/>
    <w:rsid w:val="009A36A2"/>
    <w:rsid w:val="009A3BEB"/>
    <w:rsid w:val="009A3C11"/>
    <w:rsid w:val="009A3FFA"/>
    <w:rsid w:val="009A500A"/>
    <w:rsid w:val="009A510C"/>
    <w:rsid w:val="009B28C0"/>
    <w:rsid w:val="009B2942"/>
    <w:rsid w:val="009B29E2"/>
    <w:rsid w:val="009B3666"/>
    <w:rsid w:val="009B469D"/>
    <w:rsid w:val="009B5A03"/>
    <w:rsid w:val="009B63C0"/>
    <w:rsid w:val="009B63E1"/>
    <w:rsid w:val="009B70E8"/>
    <w:rsid w:val="009B7FA2"/>
    <w:rsid w:val="009C01B9"/>
    <w:rsid w:val="009C1994"/>
    <w:rsid w:val="009C25D3"/>
    <w:rsid w:val="009C2E82"/>
    <w:rsid w:val="009C33B4"/>
    <w:rsid w:val="009C4C94"/>
    <w:rsid w:val="009C624E"/>
    <w:rsid w:val="009C6F23"/>
    <w:rsid w:val="009C77B6"/>
    <w:rsid w:val="009C7E33"/>
    <w:rsid w:val="009D019A"/>
    <w:rsid w:val="009D17C8"/>
    <w:rsid w:val="009D2267"/>
    <w:rsid w:val="009D3E49"/>
    <w:rsid w:val="009D6BE2"/>
    <w:rsid w:val="009D7F85"/>
    <w:rsid w:val="009D7FA1"/>
    <w:rsid w:val="009E0D9E"/>
    <w:rsid w:val="009E142D"/>
    <w:rsid w:val="009E1576"/>
    <w:rsid w:val="009E2C4A"/>
    <w:rsid w:val="009E2F88"/>
    <w:rsid w:val="009E51AF"/>
    <w:rsid w:val="009E550B"/>
    <w:rsid w:val="009E5616"/>
    <w:rsid w:val="009E5A2E"/>
    <w:rsid w:val="009E612A"/>
    <w:rsid w:val="009E6440"/>
    <w:rsid w:val="009E7230"/>
    <w:rsid w:val="009F065E"/>
    <w:rsid w:val="009F067C"/>
    <w:rsid w:val="009F1CBB"/>
    <w:rsid w:val="009F3584"/>
    <w:rsid w:val="009F3746"/>
    <w:rsid w:val="009F3C54"/>
    <w:rsid w:val="009F4953"/>
    <w:rsid w:val="009F5C55"/>
    <w:rsid w:val="009F5FA4"/>
    <w:rsid w:val="009F734D"/>
    <w:rsid w:val="009F7EED"/>
    <w:rsid w:val="00A003A3"/>
    <w:rsid w:val="00A003DF"/>
    <w:rsid w:val="00A00688"/>
    <w:rsid w:val="00A01936"/>
    <w:rsid w:val="00A02226"/>
    <w:rsid w:val="00A024E2"/>
    <w:rsid w:val="00A0341F"/>
    <w:rsid w:val="00A05ABC"/>
    <w:rsid w:val="00A066CD"/>
    <w:rsid w:val="00A10252"/>
    <w:rsid w:val="00A10290"/>
    <w:rsid w:val="00A106F7"/>
    <w:rsid w:val="00A115A1"/>
    <w:rsid w:val="00A1190F"/>
    <w:rsid w:val="00A122CB"/>
    <w:rsid w:val="00A13895"/>
    <w:rsid w:val="00A13C78"/>
    <w:rsid w:val="00A1446F"/>
    <w:rsid w:val="00A14736"/>
    <w:rsid w:val="00A14905"/>
    <w:rsid w:val="00A14C25"/>
    <w:rsid w:val="00A15BEB"/>
    <w:rsid w:val="00A1646C"/>
    <w:rsid w:val="00A1679D"/>
    <w:rsid w:val="00A16871"/>
    <w:rsid w:val="00A17A8C"/>
    <w:rsid w:val="00A2073A"/>
    <w:rsid w:val="00A22EE5"/>
    <w:rsid w:val="00A2333A"/>
    <w:rsid w:val="00A237FE"/>
    <w:rsid w:val="00A23E6C"/>
    <w:rsid w:val="00A240D8"/>
    <w:rsid w:val="00A2444D"/>
    <w:rsid w:val="00A2486A"/>
    <w:rsid w:val="00A30D17"/>
    <w:rsid w:val="00A3112A"/>
    <w:rsid w:val="00A3149A"/>
    <w:rsid w:val="00A31D53"/>
    <w:rsid w:val="00A325CF"/>
    <w:rsid w:val="00A332A5"/>
    <w:rsid w:val="00A3394F"/>
    <w:rsid w:val="00A348C1"/>
    <w:rsid w:val="00A353F1"/>
    <w:rsid w:val="00A35C89"/>
    <w:rsid w:val="00A40E4B"/>
    <w:rsid w:val="00A4312E"/>
    <w:rsid w:val="00A43BE0"/>
    <w:rsid w:val="00A44376"/>
    <w:rsid w:val="00A45EF1"/>
    <w:rsid w:val="00A45F92"/>
    <w:rsid w:val="00A46863"/>
    <w:rsid w:val="00A46C71"/>
    <w:rsid w:val="00A46F34"/>
    <w:rsid w:val="00A4715A"/>
    <w:rsid w:val="00A47D20"/>
    <w:rsid w:val="00A5010A"/>
    <w:rsid w:val="00A50A0C"/>
    <w:rsid w:val="00A50BB1"/>
    <w:rsid w:val="00A51C00"/>
    <w:rsid w:val="00A53F7F"/>
    <w:rsid w:val="00A555DC"/>
    <w:rsid w:val="00A558B1"/>
    <w:rsid w:val="00A559EA"/>
    <w:rsid w:val="00A56224"/>
    <w:rsid w:val="00A56DD3"/>
    <w:rsid w:val="00A5721B"/>
    <w:rsid w:val="00A5790A"/>
    <w:rsid w:val="00A613C2"/>
    <w:rsid w:val="00A61A8F"/>
    <w:rsid w:val="00A63822"/>
    <w:rsid w:val="00A67746"/>
    <w:rsid w:val="00A67972"/>
    <w:rsid w:val="00A70203"/>
    <w:rsid w:val="00A71CBD"/>
    <w:rsid w:val="00A7280F"/>
    <w:rsid w:val="00A72B2A"/>
    <w:rsid w:val="00A72EBF"/>
    <w:rsid w:val="00A73413"/>
    <w:rsid w:val="00A73AD0"/>
    <w:rsid w:val="00A73E8F"/>
    <w:rsid w:val="00A744A4"/>
    <w:rsid w:val="00A745FE"/>
    <w:rsid w:val="00A748A8"/>
    <w:rsid w:val="00A74BC7"/>
    <w:rsid w:val="00A74DC4"/>
    <w:rsid w:val="00A75CBD"/>
    <w:rsid w:val="00A7682F"/>
    <w:rsid w:val="00A76E60"/>
    <w:rsid w:val="00A80F35"/>
    <w:rsid w:val="00A81395"/>
    <w:rsid w:val="00A82C37"/>
    <w:rsid w:val="00A82DA1"/>
    <w:rsid w:val="00A836FF"/>
    <w:rsid w:val="00A84314"/>
    <w:rsid w:val="00A846AA"/>
    <w:rsid w:val="00A87E82"/>
    <w:rsid w:val="00A9085D"/>
    <w:rsid w:val="00A90EAF"/>
    <w:rsid w:val="00A91505"/>
    <w:rsid w:val="00A91684"/>
    <w:rsid w:val="00A916F3"/>
    <w:rsid w:val="00A91C63"/>
    <w:rsid w:val="00A92C7F"/>
    <w:rsid w:val="00A92F65"/>
    <w:rsid w:val="00A938AF"/>
    <w:rsid w:val="00A94443"/>
    <w:rsid w:val="00A950DF"/>
    <w:rsid w:val="00A957E8"/>
    <w:rsid w:val="00A962C6"/>
    <w:rsid w:val="00A96AA7"/>
    <w:rsid w:val="00A96C42"/>
    <w:rsid w:val="00A96D56"/>
    <w:rsid w:val="00A97413"/>
    <w:rsid w:val="00AA029D"/>
    <w:rsid w:val="00AA06E6"/>
    <w:rsid w:val="00AA0BD7"/>
    <w:rsid w:val="00AA1050"/>
    <w:rsid w:val="00AA1F0C"/>
    <w:rsid w:val="00AA2163"/>
    <w:rsid w:val="00AA2833"/>
    <w:rsid w:val="00AA29B8"/>
    <w:rsid w:val="00AA4F14"/>
    <w:rsid w:val="00AA610C"/>
    <w:rsid w:val="00AA6A94"/>
    <w:rsid w:val="00AA7689"/>
    <w:rsid w:val="00AB0117"/>
    <w:rsid w:val="00AB065E"/>
    <w:rsid w:val="00AB394C"/>
    <w:rsid w:val="00AB43F5"/>
    <w:rsid w:val="00AB51F9"/>
    <w:rsid w:val="00AB5286"/>
    <w:rsid w:val="00AB69E9"/>
    <w:rsid w:val="00AB6ED4"/>
    <w:rsid w:val="00AB753A"/>
    <w:rsid w:val="00AB7D4A"/>
    <w:rsid w:val="00AC254A"/>
    <w:rsid w:val="00AC48D0"/>
    <w:rsid w:val="00AC57CB"/>
    <w:rsid w:val="00AC5C74"/>
    <w:rsid w:val="00AC5D90"/>
    <w:rsid w:val="00AC6BA3"/>
    <w:rsid w:val="00AD0886"/>
    <w:rsid w:val="00AD09CB"/>
    <w:rsid w:val="00AD118D"/>
    <w:rsid w:val="00AD13BF"/>
    <w:rsid w:val="00AD1AC2"/>
    <w:rsid w:val="00AD1D72"/>
    <w:rsid w:val="00AD2AF1"/>
    <w:rsid w:val="00AD2B27"/>
    <w:rsid w:val="00AD511B"/>
    <w:rsid w:val="00AD7275"/>
    <w:rsid w:val="00AD7D69"/>
    <w:rsid w:val="00AE0CF0"/>
    <w:rsid w:val="00AE1275"/>
    <w:rsid w:val="00AE16B3"/>
    <w:rsid w:val="00AE2EC6"/>
    <w:rsid w:val="00AE3499"/>
    <w:rsid w:val="00AE3F88"/>
    <w:rsid w:val="00AE4C46"/>
    <w:rsid w:val="00AE569F"/>
    <w:rsid w:val="00AE6428"/>
    <w:rsid w:val="00AE6D97"/>
    <w:rsid w:val="00AE765C"/>
    <w:rsid w:val="00AF005B"/>
    <w:rsid w:val="00AF10F4"/>
    <w:rsid w:val="00AF1836"/>
    <w:rsid w:val="00AF1E42"/>
    <w:rsid w:val="00AF3C92"/>
    <w:rsid w:val="00AF468B"/>
    <w:rsid w:val="00AF4D3E"/>
    <w:rsid w:val="00AF5A03"/>
    <w:rsid w:val="00AF5E90"/>
    <w:rsid w:val="00AF62F1"/>
    <w:rsid w:val="00AF6350"/>
    <w:rsid w:val="00AF63C4"/>
    <w:rsid w:val="00AF6B2C"/>
    <w:rsid w:val="00B00FA3"/>
    <w:rsid w:val="00B01DBA"/>
    <w:rsid w:val="00B04970"/>
    <w:rsid w:val="00B05ADD"/>
    <w:rsid w:val="00B0617A"/>
    <w:rsid w:val="00B06D68"/>
    <w:rsid w:val="00B074CA"/>
    <w:rsid w:val="00B07BB7"/>
    <w:rsid w:val="00B10511"/>
    <w:rsid w:val="00B11260"/>
    <w:rsid w:val="00B12BBF"/>
    <w:rsid w:val="00B130BE"/>
    <w:rsid w:val="00B131A8"/>
    <w:rsid w:val="00B1325A"/>
    <w:rsid w:val="00B1393D"/>
    <w:rsid w:val="00B140EA"/>
    <w:rsid w:val="00B15613"/>
    <w:rsid w:val="00B15C01"/>
    <w:rsid w:val="00B15C87"/>
    <w:rsid w:val="00B15DAE"/>
    <w:rsid w:val="00B16779"/>
    <w:rsid w:val="00B170AF"/>
    <w:rsid w:val="00B17A60"/>
    <w:rsid w:val="00B17BBF"/>
    <w:rsid w:val="00B2030E"/>
    <w:rsid w:val="00B20953"/>
    <w:rsid w:val="00B20AD1"/>
    <w:rsid w:val="00B228A1"/>
    <w:rsid w:val="00B22966"/>
    <w:rsid w:val="00B23E18"/>
    <w:rsid w:val="00B23F0A"/>
    <w:rsid w:val="00B2527F"/>
    <w:rsid w:val="00B258DE"/>
    <w:rsid w:val="00B25C23"/>
    <w:rsid w:val="00B261B3"/>
    <w:rsid w:val="00B26407"/>
    <w:rsid w:val="00B26A97"/>
    <w:rsid w:val="00B26AF5"/>
    <w:rsid w:val="00B2716C"/>
    <w:rsid w:val="00B3086F"/>
    <w:rsid w:val="00B3090E"/>
    <w:rsid w:val="00B30F18"/>
    <w:rsid w:val="00B3312F"/>
    <w:rsid w:val="00B338E9"/>
    <w:rsid w:val="00B33DA5"/>
    <w:rsid w:val="00B352EC"/>
    <w:rsid w:val="00B35E61"/>
    <w:rsid w:val="00B370CA"/>
    <w:rsid w:val="00B4188A"/>
    <w:rsid w:val="00B426EA"/>
    <w:rsid w:val="00B44BC1"/>
    <w:rsid w:val="00B44D6F"/>
    <w:rsid w:val="00B44D89"/>
    <w:rsid w:val="00B450FF"/>
    <w:rsid w:val="00B473B2"/>
    <w:rsid w:val="00B475CE"/>
    <w:rsid w:val="00B50B9C"/>
    <w:rsid w:val="00B51890"/>
    <w:rsid w:val="00B52C67"/>
    <w:rsid w:val="00B539DB"/>
    <w:rsid w:val="00B547BE"/>
    <w:rsid w:val="00B54A28"/>
    <w:rsid w:val="00B558EB"/>
    <w:rsid w:val="00B55F86"/>
    <w:rsid w:val="00B55FBD"/>
    <w:rsid w:val="00B5626B"/>
    <w:rsid w:val="00B56568"/>
    <w:rsid w:val="00B56720"/>
    <w:rsid w:val="00B5715D"/>
    <w:rsid w:val="00B57C36"/>
    <w:rsid w:val="00B604C5"/>
    <w:rsid w:val="00B60547"/>
    <w:rsid w:val="00B6064C"/>
    <w:rsid w:val="00B60E6C"/>
    <w:rsid w:val="00B618B6"/>
    <w:rsid w:val="00B6378C"/>
    <w:rsid w:val="00B638CC"/>
    <w:rsid w:val="00B65268"/>
    <w:rsid w:val="00B6551E"/>
    <w:rsid w:val="00B65F3A"/>
    <w:rsid w:val="00B66A34"/>
    <w:rsid w:val="00B66A47"/>
    <w:rsid w:val="00B67AF1"/>
    <w:rsid w:val="00B71FAF"/>
    <w:rsid w:val="00B721C4"/>
    <w:rsid w:val="00B7268C"/>
    <w:rsid w:val="00B75E19"/>
    <w:rsid w:val="00B76E1B"/>
    <w:rsid w:val="00B7735C"/>
    <w:rsid w:val="00B774AC"/>
    <w:rsid w:val="00B80066"/>
    <w:rsid w:val="00B80C57"/>
    <w:rsid w:val="00B82ABA"/>
    <w:rsid w:val="00B82E7B"/>
    <w:rsid w:val="00B83439"/>
    <w:rsid w:val="00B83504"/>
    <w:rsid w:val="00B846BD"/>
    <w:rsid w:val="00B85232"/>
    <w:rsid w:val="00B8649B"/>
    <w:rsid w:val="00B8704B"/>
    <w:rsid w:val="00B87332"/>
    <w:rsid w:val="00B876E4"/>
    <w:rsid w:val="00B87B90"/>
    <w:rsid w:val="00B87C36"/>
    <w:rsid w:val="00B90948"/>
    <w:rsid w:val="00B91454"/>
    <w:rsid w:val="00B92019"/>
    <w:rsid w:val="00B92453"/>
    <w:rsid w:val="00B92820"/>
    <w:rsid w:val="00B93101"/>
    <w:rsid w:val="00B94E5C"/>
    <w:rsid w:val="00B9578A"/>
    <w:rsid w:val="00B96379"/>
    <w:rsid w:val="00B96BFC"/>
    <w:rsid w:val="00B97A9F"/>
    <w:rsid w:val="00B97B48"/>
    <w:rsid w:val="00BA010E"/>
    <w:rsid w:val="00BA06E2"/>
    <w:rsid w:val="00BA1007"/>
    <w:rsid w:val="00BA1D7F"/>
    <w:rsid w:val="00BA29AC"/>
    <w:rsid w:val="00BA2A82"/>
    <w:rsid w:val="00BA3385"/>
    <w:rsid w:val="00BA4485"/>
    <w:rsid w:val="00BA53C4"/>
    <w:rsid w:val="00BA6402"/>
    <w:rsid w:val="00BA6B55"/>
    <w:rsid w:val="00BA6C0A"/>
    <w:rsid w:val="00BA7A3A"/>
    <w:rsid w:val="00BB0DDD"/>
    <w:rsid w:val="00BB1078"/>
    <w:rsid w:val="00BB1440"/>
    <w:rsid w:val="00BB2240"/>
    <w:rsid w:val="00BB2326"/>
    <w:rsid w:val="00BB3660"/>
    <w:rsid w:val="00BB4645"/>
    <w:rsid w:val="00BB5203"/>
    <w:rsid w:val="00BB7028"/>
    <w:rsid w:val="00BB767F"/>
    <w:rsid w:val="00BC0BEC"/>
    <w:rsid w:val="00BC1C28"/>
    <w:rsid w:val="00BC1D21"/>
    <w:rsid w:val="00BC36C5"/>
    <w:rsid w:val="00BC3A47"/>
    <w:rsid w:val="00BC44D9"/>
    <w:rsid w:val="00BC4540"/>
    <w:rsid w:val="00BC48C3"/>
    <w:rsid w:val="00BC4A94"/>
    <w:rsid w:val="00BC5C25"/>
    <w:rsid w:val="00BC6D0D"/>
    <w:rsid w:val="00BC7253"/>
    <w:rsid w:val="00BD12ED"/>
    <w:rsid w:val="00BD247D"/>
    <w:rsid w:val="00BD2801"/>
    <w:rsid w:val="00BD3285"/>
    <w:rsid w:val="00BD377C"/>
    <w:rsid w:val="00BD41C5"/>
    <w:rsid w:val="00BD4A43"/>
    <w:rsid w:val="00BD4D0F"/>
    <w:rsid w:val="00BD5C62"/>
    <w:rsid w:val="00BD5E7F"/>
    <w:rsid w:val="00BE13C1"/>
    <w:rsid w:val="00BE1FD2"/>
    <w:rsid w:val="00BE234D"/>
    <w:rsid w:val="00BE45B9"/>
    <w:rsid w:val="00BE45DD"/>
    <w:rsid w:val="00BE4CFE"/>
    <w:rsid w:val="00BE6620"/>
    <w:rsid w:val="00BE75B6"/>
    <w:rsid w:val="00BE7E65"/>
    <w:rsid w:val="00BF219C"/>
    <w:rsid w:val="00BF2E9A"/>
    <w:rsid w:val="00BF3287"/>
    <w:rsid w:val="00BF3422"/>
    <w:rsid w:val="00BF4A2B"/>
    <w:rsid w:val="00BF4B62"/>
    <w:rsid w:val="00BF57A5"/>
    <w:rsid w:val="00BF711C"/>
    <w:rsid w:val="00BF79F5"/>
    <w:rsid w:val="00BF7FE2"/>
    <w:rsid w:val="00C001C7"/>
    <w:rsid w:val="00C003F5"/>
    <w:rsid w:val="00C00C48"/>
    <w:rsid w:val="00C025D5"/>
    <w:rsid w:val="00C02840"/>
    <w:rsid w:val="00C039A0"/>
    <w:rsid w:val="00C04220"/>
    <w:rsid w:val="00C043F3"/>
    <w:rsid w:val="00C0452B"/>
    <w:rsid w:val="00C0487D"/>
    <w:rsid w:val="00C05129"/>
    <w:rsid w:val="00C05726"/>
    <w:rsid w:val="00C0703D"/>
    <w:rsid w:val="00C102E2"/>
    <w:rsid w:val="00C10A24"/>
    <w:rsid w:val="00C10BCE"/>
    <w:rsid w:val="00C11A70"/>
    <w:rsid w:val="00C139BC"/>
    <w:rsid w:val="00C1413F"/>
    <w:rsid w:val="00C14345"/>
    <w:rsid w:val="00C14BB1"/>
    <w:rsid w:val="00C1579C"/>
    <w:rsid w:val="00C15E11"/>
    <w:rsid w:val="00C16D2F"/>
    <w:rsid w:val="00C20591"/>
    <w:rsid w:val="00C213E9"/>
    <w:rsid w:val="00C21859"/>
    <w:rsid w:val="00C21A7E"/>
    <w:rsid w:val="00C2313D"/>
    <w:rsid w:val="00C235F5"/>
    <w:rsid w:val="00C239C0"/>
    <w:rsid w:val="00C23B2D"/>
    <w:rsid w:val="00C23D02"/>
    <w:rsid w:val="00C243F1"/>
    <w:rsid w:val="00C254A8"/>
    <w:rsid w:val="00C255E7"/>
    <w:rsid w:val="00C25828"/>
    <w:rsid w:val="00C30456"/>
    <w:rsid w:val="00C30967"/>
    <w:rsid w:val="00C30F12"/>
    <w:rsid w:val="00C321D7"/>
    <w:rsid w:val="00C333C5"/>
    <w:rsid w:val="00C3530B"/>
    <w:rsid w:val="00C356F7"/>
    <w:rsid w:val="00C3604A"/>
    <w:rsid w:val="00C3686D"/>
    <w:rsid w:val="00C371B8"/>
    <w:rsid w:val="00C4018C"/>
    <w:rsid w:val="00C41382"/>
    <w:rsid w:val="00C42601"/>
    <w:rsid w:val="00C42903"/>
    <w:rsid w:val="00C42B01"/>
    <w:rsid w:val="00C43079"/>
    <w:rsid w:val="00C45C10"/>
    <w:rsid w:val="00C465EF"/>
    <w:rsid w:val="00C46E43"/>
    <w:rsid w:val="00C4734C"/>
    <w:rsid w:val="00C47D9B"/>
    <w:rsid w:val="00C50883"/>
    <w:rsid w:val="00C51150"/>
    <w:rsid w:val="00C51BDA"/>
    <w:rsid w:val="00C52E83"/>
    <w:rsid w:val="00C53733"/>
    <w:rsid w:val="00C53CF0"/>
    <w:rsid w:val="00C5508A"/>
    <w:rsid w:val="00C55634"/>
    <w:rsid w:val="00C56B16"/>
    <w:rsid w:val="00C57B17"/>
    <w:rsid w:val="00C60377"/>
    <w:rsid w:val="00C603C5"/>
    <w:rsid w:val="00C627F8"/>
    <w:rsid w:val="00C62FE9"/>
    <w:rsid w:val="00C632EA"/>
    <w:rsid w:val="00C63632"/>
    <w:rsid w:val="00C650A1"/>
    <w:rsid w:val="00C6596B"/>
    <w:rsid w:val="00C6680F"/>
    <w:rsid w:val="00C66ABA"/>
    <w:rsid w:val="00C67ACC"/>
    <w:rsid w:val="00C701E1"/>
    <w:rsid w:val="00C7186E"/>
    <w:rsid w:val="00C73087"/>
    <w:rsid w:val="00C750C4"/>
    <w:rsid w:val="00C7566C"/>
    <w:rsid w:val="00C76716"/>
    <w:rsid w:val="00C77348"/>
    <w:rsid w:val="00C77687"/>
    <w:rsid w:val="00C815CD"/>
    <w:rsid w:val="00C817E1"/>
    <w:rsid w:val="00C844D9"/>
    <w:rsid w:val="00C84CE2"/>
    <w:rsid w:val="00C85938"/>
    <w:rsid w:val="00C85E87"/>
    <w:rsid w:val="00C868B8"/>
    <w:rsid w:val="00C86A00"/>
    <w:rsid w:val="00C86B20"/>
    <w:rsid w:val="00C87582"/>
    <w:rsid w:val="00C87668"/>
    <w:rsid w:val="00C911E1"/>
    <w:rsid w:val="00C91938"/>
    <w:rsid w:val="00C91AC1"/>
    <w:rsid w:val="00C92A9D"/>
    <w:rsid w:val="00C930A7"/>
    <w:rsid w:val="00C936DE"/>
    <w:rsid w:val="00C93D1B"/>
    <w:rsid w:val="00C93F1C"/>
    <w:rsid w:val="00C947A8"/>
    <w:rsid w:val="00C954A3"/>
    <w:rsid w:val="00C95677"/>
    <w:rsid w:val="00C95734"/>
    <w:rsid w:val="00C95D88"/>
    <w:rsid w:val="00C95F0D"/>
    <w:rsid w:val="00C9700D"/>
    <w:rsid w:val="00C97324"/>
    <w:rsid w:val="00C97CC4"/>
    <w:rsid w:val="00CA19D4"/>
    <w:rsid w:val="00CA251B"/>
    <w:rsid w:val="00CA3092"/>
    <w:rsid w:val="00CA3A45"/>
    <w:rsid w:val="00CA3AB3"/>
    <w:rsid w:val="00CA4C96"/>
    <w:rsid w:val="00CA638D"/>
    <w:rsid w:val="00CA63D4"/>
    <w:rsid w:val="00CB0A69"/>
    <w:rsid w:val="00CB1748"/>
    <w:rsid w:val="00CB3ABD"/>
    <w:rsid w:val="00CB46E3"/>
    <w:rsid w:val="00CB47D6"/>
    <w:rsid w:val="00CB58E2"/>
    <w:rsid w:val="00CB5C0F"/>
    <w:rsid w:val="00CB639F"/>
    <w:rsid w:val="00CB6A23"/>
    <w:rsid w:val="00CB748D"/>
    <w:rsid w:val="00CB76EC"/>
    <w:rsid w:val="00CC0DC6"/>
    <w:rsid w:val="00CC251C"/>
    <w:rsid w:val="00CC2C42"/>
    <w:rsid w:val="00CC3AD2"/>
    <w:rsid w:val="00CC43DF"/>
    <w:rsid w:val="00CC5316"/>
    <w:rsid w:val="00CC5E78"/>
    <w:rsid w:val="00CC6E13"/>
    <w:rsid w:val="00CC6E32"/>
    <w:rsid w:val="00CC7FCA"/>
    <w:rsid w:val="00CD01BB"/>
    <w:rsid w:val="00CD0E4B"/>
    <w:rsid w:val="00CD2122"/>
    <w:rsid w:val="00CD21A9"/>
    <w:rsid w:val="00CD2910"/>
    <w:rsid w:val="00CD3034"/>
    <w:rsid w:val="00CD43A8"/>
    <w:rsid w:val="00CD45B3"/>
    <w:rsid w:val="00CD5079"/>
    <w:rsid w:val="00CD66C2"/>
    <w:rsid w:val="00CD6C3C"/>
    <w:rsid w:val="00CD6EBF"/>
    <w:rsid w:val="00CD716C"/>
    <w:rsid w:val="00CD7F16"/>
    <w:rsid w:val="00CE091D"/>
    <w:rsid w:val="00CE0C04"/>
    <w:rsid w:val="00CE21F5"/>
    <w:rsid w:val="00CE231C"/>
    <w:rsid w:val="00CE33AC"/>
    <w:rsid w:val="00CE47CB"/>
    <w:rsid w:val="00CE5142"/>
    <w:rsid w:val="00CE57DC"/>
    <w:rsid w:val="00CE5996"/>
    <w:rsid w:val="00CE6844"/>
    <w:rsid w:val="00CE6EA3"/>
    <w:rsid w:val="00CE7002"/>
    <w:rsid w:val="00CE72A4"/>
    <w:rsid w:val="00CE7702"/>
    <w:rsid w:val="00CE774E"/>
    <w:rsid w:val="00CE77E0"/>
    <w:rsid w:val="00CF0676"/>
    <w:rsid w:val="00CF0B91"/>
    <w:rsid w:val="00CF151E"/>
    <w:rsid w:val="00CF1B45"/>
    <w:rsid w:val="00CF20E2"/>
    <w:rsid w:val="00CF2345"/>
    <w:rsid w:val="00CF2ECF"/>
    <w:rsid w:val="00CF30D7"/>
    <w:rsid w:val="00CF3DAE"/>
    <w:rsid w:val="00CF58F5"/>
    <w:rsid w:val="00CF6DF3"/>
    <w:rsid w:val="00CF7E79"/>
    <w:rsid w:val="00D0059A"/>
    <w:rsid w:val="00D01019"/>
    <w:rsid w:val="00D01B74"/>
    <w:rsid w:val="00D02C11"/>
    <w:rsid w:val="00D03323"/>
    <w:rsid w:val="00D03AF4"/>
    <w:rsid w:val="00D041BD"/>
    <w:rsid w:val="00D04568"/>
    <w:rsid w:val="00D0467A"/>
    <w:rsid w:val="00D04E0B"/>
    <w:rsid w:val="00D06CD9"/>
    <w:rsid w:val="00D06E4B"/>
    <w:rsid w:val="00D10BE4"/>
    <w:rsid w:val="00D122E9"/>
    <w:rsid w:val="00D12434"/>
    <w:rsid w:val="00D12EEC"/>
    <w:rsid w:val="00D13C58"/>
    <w:rsid w:val="00D1540C"/>
    <w:rsid w:val="00D15A5B"/>
    <w:rsid w:val="00D17173"/>
    <w:rsid w:val="00D20887"/>
    <w:rsid w:val="00D21987"/>
    <w:rsid w:val="00D21AD5"/>
    <w:rsid w:val="00D22615"/>
    <w:rsid w:val="00D229AD"/>
    <w:rsid w:val="00D22DC8"/>
    <w:rsid w:val="00D234B5"/>
    <w:rsid w:val="00D25848"/>
    <w:rsid w:val="00D25945"/>
    <w:rsid w:val="00D25CE5"/>
    <w:rsid w:val="00D27185"/>
    <w:rsid w:val="00D305AE"/>
    <w:rsid w:val="00D30BDE"/>
    <w:rsid w:val="00D31351"/>
    <w:rsid w:val="00D31CFE"/>
    <w:rsid w:val="00D321E1"/>
    <w:rsid w:val="00D322C4"/>
    <w:rsid w:val="00D3321B"/>
    <w:rsid w:val="00D33E35"/>
    <w:rsid w:val="00D34405"/>
    <w:rsid w:val="00D35580"/>
    <w:rsid w:val="00D36383"/>
    <w:rsid w:val="00D375E5"/>
    <w:rsid w:val="00D402C0"/>
    <w:rsid w:val="00D404AC"/>
    <w:rsid w:val="00D407A2"/>
    <w:rsid w:val="00D4118F"/>
    <w:rsid w:val="00D41A4E"/>
    <w:rsid w:val="00D42063"/>
    <w:rsid w:val="00D4212B"/>
    <w:rsid w:val="00D42575"/>
    <w:rsid w:val="00D44581"/>
    <w:rsid w:val="00D44AAE"/>
    <w:rsid w:val="00D44B2C"/>
    <w:rsid w:val="00D4599F"/>
    <w:rsid w:val="00D45EBE"/>
    <w:rsid w:val="00D461F2"/>
    <w:rsid w:val="00D46B70"/>
    <w:rsid w:val="00D46C9A"/>
    <w:rsid w:val="00D4700A"/>
    <w:rsid w:val="00D473FB"/>
    <w:rsid w:val="00D508BE"/>
    <w:rsid w:val="00D50C3E"/>
    <w:rsid w:val="00D510CB"/>
    <w:rsid w:val="00D513C3"/>
    <w:rsid w:val="00D515FB"/>
    <w:rsid w:val="00D521DA"/>
    <w:rsid w:val="00D52995"/>
    <w:rsid w:val="00D52CEA"/>
    <w:rsid w:val="00D53237"/>
    <w:rsid w:val="00D55A5B"/>
    <w:rsid w:val="00D5609F"/>
    <w:rsid w:val="00D56694"/>
    <w:rsid w:val="00D56C05"/>
    <w:rsid w:val="00D5718A"/>
    <w:rsid w:val="00D57201"/>
    <w:rsid w:val="00D57776"/>
    <w:rsid w:val="00D61C51"/>
    <w:rsid w:val="00D61F07"/>
    <w:rsid w:val="00D624A0"/>
    <w:rsid w:val="00D62C21"/>
    <w:rsid w:val="00D630DC"/>
    <w:rsid w:val="00D639E3"/>
    <w:rsid w:val="00D63D25"/>
    <w:rsid w:val="00D63F7B"/>
    <w:rsid w:val="00D65B57"/>
    <w:rsid w:val="00D66633"/>
    <w:rsid w:val="00D67BA4"/>
    <w:rsid w:val="00D71A5E"/>
    <w:rsid w:val="00D71E5E"/>
    <w:rsid w:val="00D726BC"/>
    <w:rsid w:val="00D72DFC"/>
    <w:rsid w:val="00D73034"/>
    <w:rsid w:val="00D7391C"/>
    <w:rsid w:val="00D743E5"/>
    <w:rsid w:val="00D7476A"/>
    <w:rsid w:val="00D74B08"/>
    <w:rsid w:val="00D75803"/>
    <w:rsid w:val="00D774C8"/>
    <w:rsid w:val="00D800A2"/>
    <w:rsid w:val="00D8062B"/>
    <w:rsid w:val="00D80EBF"/>
    <w:rsid w:val="00D81DAF"/>
    <w:rsid w:val="00D82A48"/>
    <w:rsid w:val="00D834BA"/>
    <w:rsid w:val="00D8387F"/>
    <w:rsid w:val="00D85A75"/>
    <w:rsid w:val="00D86755"/>
    <w:rsid w:val="00D90286"/>
    <w:rsid w:val="00D904A9"/>
    <w:rsid w:val="00D90537"/>
    <w:rsid w:val="00D90D24"/>
    <w:rsid w:val="00D912F3"/>
    <w:rsid w:val="00D939A0"/>
    <w:rsid w:val="00D93A35"/>
    <w:rsid w:val="00D94946"/>
    <w:rsid w:val="00D961C1"/>
    <w:rsid w:val="00D96298"/>
    <w:rsid w:val="00D96489"/>
    <w:rsid w:val="00D971FD"/>
    <w:rsid w:val="00D973FC"/>
    <w:rsid w:val="00DA02F3"/>
    <w:rsid w:val="00DA04DA"/>
    <w:rsid w:val="00DA2E66"/>
    <w:rsid w:val="00DA31B5"/>
    <w:rsid w:val="00DB1A1E"/>
    <w:rsid w:val="00DB2AE2"/>
    <w:rsid w:val="00DB4F05"/>
    <w:rsid w:val="00DB651A"/>
    <w:rsid w:val="00DB6C05"/>
    <w:rsid w:val="00DB7260"/>
    <w:rsid w:val="00DB747C"/>
    <w:rsid w:val="00DC0B1D"/>
    <w:rsid w:val="00DC0D36"/>
    <w:rsid w:val="00DC21C4"/>
    <w:rsid w:val="00DC2642"/>
    <w:rsid w:val="00DC2D2C"/>
    <w:rsid w:val="00DC2F2C"/>
    <w:rsid w:val="00DC30BD"/>
    <w:rsid w:val="00DC34DE"/>
    <w:rsid w:val="00DC39E5"/>
    <w:rsid w:val="00DC3C28"/>
    <w:rsid w:val="00DC5FA4"/>
    <w:rsid w:val="00DC6EF2"/>
    <w:rsid w:val="00DC732D"/>
    <w:rsid w:val="00DD023C"/>
    <w:rsid w:val="00DD0EF1"/>
    <w:rsid w:val="00DD1015"/>
    <w:rsid w:val="00DD1D24"/>
    <w:rsid w:val="00DD1D69"/>
    <w:rsid w:val="00DD1FF1"/>
    <w:rsid w:val="00DD3306"/>
    <w:rsid w:val="00DD3F6C"/>
    <w:rsid w:val="00DD5CF1"/>
    <w:rsid w:val="00DD698B"/>
    <w:rsid w:val="00DD6B79"/>
    <w:rsid w:val="00DD6F1F"/>
    <w:rsid w:val="00DE0DE1"/>
    <w:rsid w:val="00DE1380"/>
    <w:rsid w:val="00DE173E"/>
    <w:rsid w:val="00DE1C82"/>
    <w:rsid w:val="00DE30BE"/>
    <w:rsid w:val="00DE46F9"/>
    <w:rsid w:val="00DE5125"/>
    <w:rsid w:val="00DE616D"/>
    <w:rsid w:val="00DE6E60"/>
    <w:rsid w:val="00DF02F7"/>
    <w:rsid w:val="00DF06A3"/>
    <w:rsid w:val="00DF0B57"/>
    <w:rsid w:val="00DF24AB"/>
    <w:rsid w:val="00DF3165"/>
    <w:rsid w:val="00DF5336"/>
    <w:rsid w:val="00DF5BB5"/>
    <w:rsid w:val="00DF65FB"/>
    <w:rsid w:val="00DF6C20"/>
    <w:rsid w:val="00DF777A"/>
    <w:rsid w:val="00DF7C68"/>
    <w:rsid w:val="00E00336"/>
    <w:rsid w:val="00E00571"/>
    <w:rsid w:val="00E0122F"/>
    <w:rsid w:val="00E03DB4"/>
    <w:rsid w:val="00E04432"/>
    <w:rsid w:val="00E046C7"/>
    <w:rsid w:val="00E06313"/>
    <w:rsid w:val="00E06818"/>
    <w:rsid w:val="00E06C5D"/>
    <w:rsid w:val="00E06D0D"/>
    <w:rsid w:val="00E103A4"/>
    <w:rsid w:val="00E1357F"/>
    <w:rsid w:val="00E137DF"/>
    <w:rsid w:val="00E15C7E"/>
    <w:rsid w:val="00E15E73"/>
    <w:rsid w:val="00E2059C"/>
    <w:rsid w:val="00E209C2"/>
    <w:rsid w:val="00E20B32"/>
    <w:rsid w:val="00E21EC5"/>
    <w:rsid w:val="00E22B3A"/>
    <w:rsid w:val="00E23598"/>
    <w:rsid w:val="00E243CC"/>
    <w:rsid w:val="00E25B9D"/>
    <w:rsid w:val="00E260AF"/>
    <w:rsid w:val="00E26E7B"/>
    <w:rsid w:val="00E2798E"/>
    <w:rsid w:val="00E27E91"/>
    <w:rsid w:val="00E313B4"/>
    <w:rsid w:val="00E318DA"/>
    <w:rsid w:val="00E3537F"/>
    <w:rsid w:val="00E362D6"/>
    <w:rsid w:val="00E405BB"/>
    <w:rsid w:val="00E41B76"/>
    <w:rsid w:val="00E42077"/>
    <w:rsid w:val="00E4260F"/>
    <w:rsid w:val="00E44EED"/>
    <w:rsid w:val="00E45768"/>
    <w:rsid w:val="00E45A91"/>
    <w:rsid w:val="00E479CA"/>
    <w:rsid w:val="00E51349"/>
    <w:rsid w:val="00E5187D"/>
    <w:rsid w:val="00E51FAD"/>
    <w:rsid w:val="00E52FF0"/>
    <w:rsid w:val="00E5310D"/>
    <w:rsid w:val="00E56916"/>
    <w:rsid w:val="00E575A0"/>
    <w:rsid w:val="00E57DCC"/>
    <w:rsid w:val="00E61093"/>
    <w:rsid w:val="00E631F2"/>
    <w:rsid w:val="00E64C0F"/>
    <w:rsid w:val="00E65490"/>
    <w:rsid w:val="00E65901"/>
    <w:rsid w:val="00E66B3B"/>
    <w:rsid w:val="00E66D5D"/>
    <w:rsid w:val="00E67A90"/>
    <w:rsid w:val="00E7005A"/>
    <w:rsid w:val="00E70D01"/>
    <w:rsid w:val="00E71C3B"/>
    <w:rsid w:val="00E71E89"/>
    <w:rsid w:val="00E72E1D"/>
    <w:rsid w:val="00E7329E"/>
    <w:rsid w:val="00E741F5"/>
    <w:rsid w:val="00E74290"/>
    <w:rsid w:val="00E76093"/>
    <w:rsid w:val="00E7610F"/>
    <w:rsid w:val="00E7707C"/>
    <w:rsid w:val="00E7797C"/>
    <w:rsid w:val="00E808A6"/>
    <w:rsid w:val="00E80E2A"/>
    <w:rsid w:val="00E81879"/>
    <w:rsid w:val="00E81991"/>
    <w:rsid w:val="00E82775"/>
    <w:rsid w:val="00E8335A"/>
    <w:rsid w:val="00E838F0"/>
    <w:rsid w:val="00E84383"/>
    <w:rsid w:val="00E844D5"/>
    <w:rsid w:val="00E8476E"/>
    <w:rsid w:val="00E85B3F"/>
    <w:rsid w:val="00E87404"/>
    <w:rsid w:val="00E879B6"/>
    <w:rsid w:val="00E87D7C"/>
    <w:rsid w:val="00E87E24"/>
    <w:rsid w:val="00E90AB5"/>
    <w:rsid w:val="00E91101"/>
    <w:rsid w:val="00E91B34"/>
    <w:rsid w:val="00E9328D"/>
    <w:rsid w:val="00E9348C"/>
    <w:rsid w:val="00E94B57"/>
    <w:rsid w:val="00E94D92"/>
    <w:rsid w:val="00E94FEB"/>
    <w:rsid w:val="00E95EF3"/>
    <w:rsid w:val="00E977AB"/>
    <w:rsid w:val="00EA173B"/>
    <w:rsid w:val="00EA1F5A"/>
    <w:rsid w:val="00EA298D"/>
    <w:rsid w:val="00EA2B0A"/>
    <w:rsid w:val="00EA30EB"/>
    <w:rsid w:val="00EA55EE"/>
    <w:rsid w:val="00EA6BDA"/>
    <w:rsid w:val="00EA6D45"/>
    <w:rsid w:val="00EA7962"/>
    <w:rsid w:val="00EA7AE8"/>
    <w:rsid w:val="00EB06A6"/>
    <w:rsid w:val="00EB0F96"/>
    <w:rsid w:val="00EB10B6"/>
    <w:rsid w:val="00EB173C"/>
    <w:rsid w:val="00EB1B2D"/>
    <w:rsid w:val="00EB2ABA"/>
    <w:rsid w:val="00EB2B12"/>
    <w:rsid w:val="00EB5AEA"/>
    <w:rsid w:val="00EB66B3"/>
    <w:rsid w:val="00EB781E"/>
    <w:rsid w:val="00EC111A"/>
    <w:rsid w:val="00EC214A"/>
    <w:rsid w:val="00EC2227"/>
    <w:rsid w:val="00EC3DD5"/>
    <w:rsid w:val="00EC47C6"/>
    <w:rsid w:val="00EC47ED"/>
    <w:rsid w:val="00EC4D1C"/>
    <w:rsid w:val="00EC65BF"/>
    <w:rsid w:val="00EC682C"/>
    <w:rsid w:val="00EC6D00"/>
    <w:rsid w:val="00EC6DF1"/>
    <w:rsid w:val="00EC6EE1"/>
    <w:rsid w:val="00EC74C1"/>
    <w:rsid w:val="00ED196F"/>
    <w:rsid w:val="00ED2184"/>
    <w:rsid w:val="00ED38B8"/>
    <w:rsid w:val="00ED49AC"/>
    <w:rsid w:val="00ED6212"/>
    <w:rsid w:val="00ED686E"/>
    <w:rsid w:val="00ED6CC1"/>
    <w:rsid w:val="00ED6D41"/>
    <w:rsid w:val="00ED7915"/>
    <w:rsid w:val="00EE170E"/>
    <w:rsid w:val="00EE17BE"/>
    <w:rsid w:val="00EE18FA"/>
    <w:rsid w:val="00EE2A4C"/>
    <w:rsid w:val="00EE2FFD"/>
    <w:rsid w:val="00EE30CE"/>
    <w:rsid w:val="00EE315C"/>
    <w:rsid w:val="00EE4D5A"/>
    <w:rsid w:val="00EE501E"/>
    <w:rsid w:val="00EE51C5"/>
    <w:rsid w:val="00EE575A"/>
    <w:rsid w:val="00EE5E15"/>
    <w:rsid w:val="00EE76CF"/>
    <w:rsid w:val="00EE7A6A"/>
    <w:rsid w:val="00EF11F7"/>
    <w:rsid w:val="00EF1323"/>
    <w:rsid w:val="00EF1BF5"/>
    <w:rsid w:val="00EF39DD"/>
    <w:rsid w:val="00EF4E3E"/>
    <w:rsid w:val="00EF5B39"/>
    <w:rsid w:val="00EF7982"/>
    <w:rsid w:val="00F0085D"/>
    <w:rsid w:val="00F013AF"/>
    <w:rsid w:val="00F01535"/>
    <w:rsid w:val="00F01A8A"/>
    <w:rsid w:val="00F01F05"/>
    <w:rsid w:val="00F053CB"/>
    <w:rsid w:val="00F05668"/>
    <w:rsid w:val="00F06142"/>
    <w:rsid w:val="00F06F37"/>
    <w:rsid w:val="00F109B4"/>
    <w:rsid w:val="00F10B38"/>
    <w:rsid w:val="00F121B4"/>
    <w:rsid w:val="00F12530"/>
    <w:rsid w:val="00F129CD"/>
    <w:rsid w:val="00F135EB"/>
    <w:rsid w:val="00F13B7A"/>
    <w:rsid w:val="00F13CD8"/>
    <w:rsid w:val="00F13D9D"/>
    <w:rsid w:val="00F13E34"/>
    <w:rsid w:val="00F1433D"/>
    <w:rsid w:val="00F1512E"/>
    <w:rsid w:val="00F15705"/>
    <w:rsid w:val="00F15B24"/>
    <w:rsid w:val="00F2022E"/>
    <w:rsid w:val="00F21093"/>
    <w:rsid w:val="00F211A2"/>
    <w:rsid w:val="00F2371D"/>
    <w:rsid w:val="00F23939"/>
    <w:rsid w:val="00F26C2A"/>
    <w:rsid w:val="00F26E13"/>
    <w:rsid w:val="00F27D87"/>
    <w:rsid w:val="00F310E1"/>
    <w:rsid w:val="00F3189A"/>
    <w:rsid w:val="00F322FF"/>
    <w:rsid w:val="00F327B5"/>
    <w:rsid w:val="00F3281B"/>
    <w:rsid w:val="00F3400C"/>
    <w:rsid w:val="00F34E46"/>
    <w:rsid w:val="00F34ED8"/>
    <w:rsid w:val="00F37D67"/>
    <w:rsid w:val="00F40139"/>
    <w:rsid w:val="00F40151"/>
    <w:rsid w:val="00F4093D"/>
    <w:rsid w:val="00F409EE"/>
    <w:rsid w:val="00F40FC4"/>
    <w:rsid w:val="00F41A66"/>
    <w:rsid w:val="00F41BD1"/>
    <w:rsid w:val="00F4370F"/>
    <w:rsid w:val="00F443ED"/>
    <w:rsid w:val="00F44CE8"/>
    <w:rsid w:val="00F45452"/>
    <w:rsid w:val="00F4677E"/>
    <w:rsid w:val="00F469B7"/>
    <w:rsid w:val="00F47832"/>
    <w:rsid w:val="00F47E15"/>
    <w:rsid w:val="00F47EF8"/>
    <w:rsid w:val="00F47F20"/>
    <w:rsid w:val="00F54307"/>
    <w:rsid w:val="00F54783"/>
    <w:rsid w:val="00F554D9"/>
    <w:rsid w:val="00F573D4"/>
    <w:rsid w:val="00F57BCA"/>
    <w:rsid w:val="00F614AE"/>
    <w:rsid w:val="00F624A9"/>
    <w:rsid w:val="00F63DF1"/>
    <w:rsid w:val="00F64314"/>
    <w:rsid w:val="00F658C8"/>
    <w:rsid w:val="00F70011"/>
    <w:rsid w:val="00F70BE4"/>
    <w:rsid w:val="00F71BCB"/>
    <w:rsid w:val="00F71D29"/>
    <w:rsid w:val="00F71EE8"/>
    <w:rsid w:val="00F72154"/>
    <w:rsid w:val="00F728B8"/>
    <w:rsid w:val="00F74510"/>
    <w:rsid w:val="00F757D1"/>
    <w:rsid w:val="00F7668A"/>
    <w:rsid w:val="00F77833"/>
    <w:rsid w:val="00F7796D"/>
    <w:rsid w:val="00F800F3"/>
    <w:rsid w:val="00F817CD"/>
    <w:rsid w:val="00F81F42"/>
    <w:rsid w:val="00F84925"/>
    <w:rsid w:val="00F84FC0"/>
    <w:rsid w:val="00F85EE3"/>
    <w:rsid w:val="00F869D8"/>
    <w:rsid w:val="00F86E3D"/>
    <w:rsid w:val="00F876CF"/>
    <w:rsid w:val="00F8793B"/>
    <w:rsid w:val="00F87CB5"/>
    <w:rsid w:val="00F90663"/>
    <w:rsid w:val="00F9339D"/>
    <w:rsid w:val="00F933AF"/>
    <w:rsid w:val="00F94D52"/>
    <w:rsid w:val="00F96D15"/>
    <w:rsid w:val="00F973DE"/>
    <w:rsid w:val="00F97675"/>
    <w:rsid w:val="00FA00CD"/>
    <w:rsid w:val="00FA0999"/>
    <w:rsid w:val="00FA0BC3"/>
    <w:rsid w:val="00FA1300"/>
    <w:rsid w:val="00FA1DAA"/>
    <w:rsid w:val="00FA2626"/>
    <w:rsid w:val="00FA31F2"/>
    <w:rsid w:val="00FA39E9"/>
    <w:rsid w:val="00FA4185"/>
    <w:rsid w:val="00FA5E8A"/>
    <w:rsid w:val="00FA6529"/>
    <w:rsid w:val="00FA6EAA"/>
    <w:rsid w:val="00FA79B6"/>
    <w:rsid w:val="00FB122F"/>
    <w:rsid w:val="00FB3467"/>
    <w:rsid w:val="00FB3943"/>
    <w:rsid w:val="00FB4289"/>
    <w:rsid w:val="00FB4885"/>
    <w:rsid w:val="00FB53AB"/>
    <w:rsid w:val="00FB574C"/>
    <w:rsid w:val="00FB61F6"/>
    <w:rsid w:val="00FB7158"/>
    <w:rsid w:val="00FB7887"/>
    <w:rsid w:val="00FB7D68"/>
    <w:rsid w:val="00FB7F0A"/>
    <w:rsid w:val="00FB7F44"/>
    <w:rsid w:val="00FC0D38"/>
    <w:rsid w:val="00FC100D"/>
    <w:rsid w:val="00FC1673"/>
    <w:rsid w:val="00FC2E1C"/>
    <w:rsid w:val="00FC3912"/>
    <w:rsid w:val="00FC3B3C"/>
    <w:rsid w:val="00FC403F"/>
    <w:rsid w:val="00FC448C"/>
    <w:rsid w:val="00FC576E"/>
    <w:rsid w:val="00FC66A7"/>
    <w:rsid w:val="00FD0EDA"/>
    <w:rsid w:val="00FD1663"/>
    <w:rsid w:val="00FD2556"/>
    <w:rsid w:val="00FD2C68"/>
    <w:rsid w:val="00FD2DAE"/>
    <w:rsid w:val="00FD3B72"/>
    <w:rsid w:val="00FD4CC7"/>
    <w:rsid w:val="00FD501C"/>
    <w:rsid w:val="00FD5273"/>
    <w:rsid w:val="00FD6B01"/>
    <w:rsid w:val="00FD73C5"/>
    <w:rsid w:val="00FE00C4"/>
    <w:rsid w:val="00FE11A5"/>
    <w:rsid w:val="00FE13E2"/>
    <w:rsid w:val="00FE177E"/>
    <w:rsid w:val="00FE221F"/>
    <w:rsid w:val="00FE34BE"/>
    <w:rsid w:val="00FE3E0B"/>
    <w:rsid w:val="00FE3FFB"/>
    <w:rsid w:val="00FE712A"/>
    <w:rsid w:val="00FF02C4"/>
    <w:rsid w:val="00FF216C"/>
    <w:rsid w:val="00FF2194"/>
    <w:rsid w:val="00FF29D8"/>
    <w:rsid w:val="00FF2FBA"/>
    <w:rsid w:val="00FF3788"/>
    <w:rsid w:val="00FF3CF2"/>
    <w:rsid w:val="00FF464A"/>
    <w:rsid w:val="00FF4FA4"/>
    <w:rsid w:val="00FF507E"/>
    <w:rsid w:val="00FF6050"/>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FF1F5FA"/>
  <w15:chartTrackingRefBased/>
  <w15:docId w15:val="{3F043386-18E2-46EF-B053-329C0EA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3E70"/>
    <w:pPr>
      <w:spacing w:before="120" w:after="0" w:line="240" w:lineRule="auto"/>
      <w:jc w:val="both"/>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C05129"/>
    <w:pPr>
      <w:keepNext/>
      <w:numPr>
        <w:numId w:val="3"/>
      </w:numPr>
      <w:spacing w:before="0"/>
      <w:outlineLvl w:val="0"/>
    </w:pPr>
    <w:rPr>
      <w:b/>
      <w:bCs/>
      <w:color w:val="002060"/>
      <w:sz w:val="28"/>
      <w:lang w:val="en-GB" w:eastAsia="en-US"/>
    </w:rPr>
  </w:style>
  <w:style w:type="paragraph" w:styleId="Heading2">
    <w:name w:val="heading 2"/>
    <w:basedOn w:val="Normal"/>
    <w:next w:val="Normal"/>
    <w:link w:val="Heading2Char"/>
    <w:uiPriority w:val="9"/>
    <w:unhideWhenUsed/>
    <w:qFormat/>
    <w:rsid w:val="00C05129"/>
    <w:pPr>
      <w:keepNext/>
      <w:keepLines/>
      <w:spacing w:before="200"/>
      <w:jc w:val="left"/>
      <w:outlineLvl w:val="1"/>
    </w:pPr>
    <w:rPr>
      <w:rFonts w:eastAsiaTheme="majorEastAsia"/>
      <w:b/>
      <w:bCs/>
      <w:color w:val="002060"/>
      <w:sz w:val="26"/>
      <w:szCs w:val="26"/>
      <w:lang w:eastAsia="en-US"/>
    </w:rPr>
  </w:style>
  <w:style w:type="paragraph" w:styleId="Heading3">
    <w:name w:val="heading 3"/>
    <w:basedOn w:val="Normal"/>
    <w:next w:val="Normal"/>
    <w:link w:val="Heading3Char"/>
    <w:uiPriority w:val="9"/>
    <w:unhideWhenUsed/>
    <w:qFormat/>
    <w:rsid w:val="00C05129"/>
    <w:pPr>
      <w:keepNext/>
      <w:keepLines/>
      <w:spacing w:before="200"/>
      <w:jc w:val="left"/>
      <w:outlineLvl w:val="2"/>
    </w:pPr>
    <w:rPr>
      <w:rFonts w:eastAsiaTheme="majorEastAsia"/>
      <w:b/>
      <w:bCs/>
      <w:color w:val="002060"/>
      <w:lang w:val="en-GB" w:eastAsia="en-US"/>
    </w:rPr>
  </w:style>
  <w:style w:type="paragraph" w:styleId="Heading4">
    <w:name w:val="heading 4"/>
    <w:basedOn w:val="Normal"/>
    <w:next w:val="Normal"/>
    <w:link w:val="Heading4Char"/>
    <w:uiPriority w:val="9"/>
    <w:qFormat/>
    <w:rsid w:val="008C3E70"/>
    <w:pPr>
      <w:keepNext/>
      <w:spacing w:before="0" w:after="120"/>
      <w:jc w:val="left"/>
      <w:outlineLvl w:val="3"/>
    </w:pPr>
    <w:rPr>
      <w:b/>
      <w:bCs/>
      <w:sz w:val="25"/>
      <w:lang w:eastAsia="en-US"/>
    </w:rPr>
  </w:style>
  <w:style w:type="paragraph" w:styleId="Heading5">
    <w:name w:val="heading 5"/>
    <w:basedOn w:val="Normal"/>
    <w:next w:val="Normal"/>
    <w:link w:val="Heading5Char"/>
    <w:uiPriority w:val="9"/>
    <w:qFormat/>
    <w:rsid w:val="008C3E70"/>
    <w:pPr>
      <w:keepNext/>
      <w:spacing w:before="0" w:after="120"/>
      <w:outlineLvl w:val="4"/>
    </w:pPr>
    <w:rPr>
      <w:b/>
      <w:bCs/>
      <w:sz w:val="25"/>
      <w:lang w:eastAsia="en-US"/>
    </w:rPr>
  </w:style>
  <w:style w:type="paragraph" w:styleId="Heading6">
    <w:name w:val="heading 6"/>
    <w:basedOn w:val="Normal"/>
    <w:next w:val="Normal"/>
    <w:link w:val="Heading6Char"/>
    <w:uiPriority w:val="9"/>
    <w:qFormat/>
    <w:rsid w:val="008C3E70"/>
    <w:pPr>
      <w:keepNext/>
      <w:numPr>
        <w:numId w:val="2"/>
      </w:numPr>
      <w:spacing w:before="0" w:line="300" w:lineRule="auto"/>
      <w:outlineLvl w:val="5"/>
    </w:pPr>
    <w:rPr>
      <w:b/>
      <w:bCs/>
      <w:lang w:val="en-GB" w:eastAsia="en-US"/>
    </w:rPr>
  </w:style>
  <w:style w:type="paragraph" w:styleId="Heading7">
    <w:name w:val="heading 7"/>
    <w:basedOn w:val="Normal"/>
    <w:next w:val="Normal"/>
    <w:link w:val="Heading7Char"/>
    <w:uiPriority w:val="9"/>
    <w:qFormat/>
    <w:rsid w:val="008C3E70"/>
    <w:pPr>
      <w:keepNext/>
      <w:spacing w:before="0" w:line="300" w:lineRule="auto"/>
      <w:outlineLvl w:val="6"/>
    </w:pPr>
    <w:rPr>
      <w:rFonts w:ascii="Arial" w:hAnsi="Arial" w:cs="Arial"/>
      <w:b/>
      <w:bCs/>
      <w:sz w:val="20"/>
      <w:szCs w:val="20"/>
      <w:lang w:eastAsia="en-US"/>
    </w:rPr>
  </w:style>
  <w:style w:type="paragraph" w:styleId="Heading8">
    <w:name w:val="heading 8"/>
    <w:basedOn w:val="Normal"/>
    <w:next w:val="Normal"/>
    <w:link w:val="Heading8Char"/>
    <w:uiPriority w:val="9"/>
    <w:unhideWhenUsed/>
    <w:qFormat/>
    <w:rsid w:val="002C15AB"/>
    <w:pPr>
      <w:keepNext/>
      <w:ind w:left="720"/>
      <w:jc w:val="center"/>
      <w:outlineLvl w:val="7"/>
    </w:pPr>
    <w:rPr>
      <w:b/>
      <w:color w:val="000000" w:themeColor="text1"/>
    </w:rPr>
  </w:style>
  <w:style w:type="paragraph" w:styleId="Heading9">
    <w:name w:val="heading 9"/>
    <w:basedOn w:val="Normal"/>
    <w:next w:val="Normal"/>
    <w:link w:val="Heading9Char"/>
    <w:uiPriority w:val="9"/>
    <w:unhideWhenUsed/>
    <w:qFormat/>
    <w:rsid w:val="00AB394C"/>
    <w:pPr>
      <w:keepNext/>
      <w:autoSpaceDE w:val="0"/>
      <w:autoSpaceDN w:val="0"/>
      <w:adjustRightInd w:val="0"/>
      <w:spacing w:before="0"/>
      <w:outlineLvl w:val="8"/>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129"/>
    <w:rPr>
      <w:rFonts w:ascii="Times New Roman" w:eastAsia="Times New Roman" w:hAnsi="Times New Roman" w:cs="Times New Roman"/>
      <w:b/>
      <w:bCs/>
      <w:color w:val="002060"/>
      <w:sz w:val="28"/>
      <w:szCs w:val="24"/>
      <w:lang w:val="en-GB"/>
    </w:rPr>
  </w:style>
  <w:style w:type="character" w:customStyle="1" w:styleId="Heading2Char">
    <w:name w:val="Heading 2 Char"/>
    <w:basedOn w:val="DefaultParagraphFont"/>
    <w:link w:val="Heading2"/>
    <w:uiPriority w:val="9"/>
    <w:rsid w:val="00C05129"/>
    <w:rPr>
      <w:rFonts w:ascii="Times New Roman" w:eastAsiaTheme="majorEastAsia" w:hAnsi="Times New Roman" w:cs="Times New Roman"/>
      <w:b/>
      <w:bCs/>
      <w:color w:val="002060"/>
      <w:sz w:val="26"/>
      <w:szCs w:val="26"/>
    </w:rPr>
  </w:style>
  <w:style w:type="character" w:customStyle="1" w:styleId="Heading3Char">
    <w:name w:val="Heading 3 Char"/>
    <w:basedOn w:val="DefaultParagraphFont"/>
    <w:link w:val="Heading3"/>
    <w:uiPriority w:val="9"/>
    <w:rsid w:val="00C05129"/>
    <w:rPr>
      <w:rFonts w:ascii="Times New Roman" w:eastAsiaTheme="majorEastAsia" w:hAnsi="Times New Roman" w:cs="Times New Roman"/>
      <w:b/>
      <w:bCs/>
      <w:color w:val="002060"/>
      <w:sz w:val="24"/>
      <w:szCs w:val="24"/>
      <w:lang w:val="en-GB"/>
    </w:rPr>
  </w:style>
  <w:style w:type="character" w:customStyle="1" w:styleId="Heading4Char">
    <w:name w:val="Heading 4 Char"/>
    <w:basedOn w:val="DefaultParagraphFont"/>
    <w:link w:val="Heading4"/>
    <w:uiPriority w:val="9"/>
    <w:rsid w:val="008C3E70"/>
    <w:rPr>
      <w:rFonts w:ascii="Times New Roman" w:eastAsia="Times New Roman" w:hAnsi="Times New Roman" w:cs="Times New Roman"/>
      <w:b/>
      <w:bCs/>
      <w:sz w:val="25"/>
      <w:szCs w:val="24"/>
    </w:rPr>
  </w:style>
  <w:style w:type="character" w:customStyle="1" w:styleId="Heading5Char">
    <w:name w:val="Heading 5 Char"/>
    <w:basedOn w:val="DefaultParagraphFont"/>
    <w:link w:val="Heading5"/>
    <w:uiPriority w:val="9"/>
    <w:rsid w:val="008C3E70"/>
    <w:rPr>
      <w:rFonts w:ascii="Times New Roman" w:eastAsia="Times New Roman" w:hAnsi="Times New Roman" w:cs="Times New Roman"/>
      <w:b/>
      <w:bCs/>
      <w:sz w:val="25"/>
      <w:szCs w:val="24"/>
    </w:rPr>
  </w:style>
  <w:style w:type="character" w:customStyle="1" w:styleId="Heading6Char">
    <w:name w:val="Heading 6 Char"/>
    <w:basedOn w:val="DefaultParagraphFont"/>
    <w:link w:val="Heading6"/>
    <w:uiPriority w:val="9"/>
    <w:rsid w:val="008C3E70"/>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uiPriority w:val="9"/>
    <w:rsid w:val="008C3E70"/>
    <w:rPr>
      <w:rFonts w:ascii="Arial" w:eastAsia="Times New Roman" w:hAnsi="Arial" w:cs="Arial"/>
      <w:b/>
      <w:bCs/>
      <w:sz w:val="20"/>
      <w:szCs w:val="20"/>
    </w:rPr>
  </w:style>
  <w:style w:type="character" w:customStyle="1" w:styleId="Heading8Char">
    <w:name w:val="Heading 8 Char"/>
    <w:basedOn w:val="DefaultParagraphFont"/>
    <w:link w:val="Heading8"/>
    <w:uiPriority w:val="9"/>
    <w:rsid w:val="002C15AB"/>
    <w:rPr>
      <w:rFonts w:ascii="Times New Roman" w:eastAsia="Times New Roman" w:hAnsi="Times New Roman" w:cs="Times New Roman"/>
      <w:b/>
      <w:color w:val="000000" w:themeColor="text1"/>
      <w:sz w:val="24"/>
      <w:szCs w:val="24"/>
      <w:lang w:eastAsia="et-EE"/>
    </w:rPr>
  </w:style>
  <w:style w:type="character" w:customStyle="1" w:styleId="Heading9Char">
    <w:name w:val="Heading 9 Char"/>
    <w:basedOn w:val="DefaultParagraphFont"/>
    <w:link w:val="Heading9"/>
    <w:uiPriority w:val="9"/>
    <w:rsid w:val="00AB394C"/>
    <w:rPr>
      <w:rFonts w:ascii="Times New Roman" w:hAnsi="Times New Roman" w:cs="Times New Roman"/>
      <w:b/>
      <w:sz w:val="24"/>
      <w:szCs w:val="24"/>
      <w:lang w:eastAsia="et-EE"/>
    </w:rPr>
  </w:style>
  <w:style w:type="character" w:styleId="Hyperlink">
    <w:name w:val="Hyperlink"/>
    <w:basedOn w:val="DefaultParagraphFont"/>
    <w:uiPriority w:val="99"/>
    <w:rsid w:val="008C3E70"/>
    <w:rPr>
      <w:rFonts w:cs="Times New Roman"/>
      <w:color w:val="0000FF"/>
      <w:u w:val="single"/>
    </w:rPr>
  </w:style>
  <w:style w:type="paragraph" w:styleId="ListParagraph">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l"/>
    <w:link w:val="ListParagraphChar"/>
    <w:uiPriority w:val="34"/>
    <w:qFormat/>
    <w:rsid w:val="008C3E70"/>
    <w:pPr>
      <w:spacing w:before="0"/>
      <w:ind w:left="720"/>
      <w:contextualSpacing/>
      <w:jc w:val="left"/>
    </w:pPr>
    <w:rPr>
      <w:lang w:eastAsia="en-US"/>
    </w:r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3 Char"/>
    <w:basedOn w:val="DefaultParagraphFont"/>
    <w:link w:val="ListParagraph"/>
    <w:uiPriority w:val="34"/>
    <w:qFormat/>
    <w:locked/>
    <w:rsid w:val="00D402C0"/>
    <w:rPr>
      <w:rFonts w:ascii="Times New Roman" w:eastAsia="Times New Roman" w:hAnsi="Times New Roman" w:cs="Times New Roman"/>
      <w:sz w:val="24"/>
      <w:szCs w:val="24"/>
    </w:rPr>
  </w:style>
  <w:style w:type="paragraph" w:styleId="FootnoteTex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l"/>
    <w:link w:val="FootnoteTextChar"/>
    <w:uiPriority w:val="99"/>
    <w:qFormat/>
    <w:rsid w:val="008C3E70"/>
    <w:pPr>
      <w:spacing w:before="0"/>
      <w:ind w:left="720" w:hanging="720"/>
      <w:jc w:val="left"/>
    </w:pPr>
    <w:rPr>
      <w:lang w:eastAsia="en-US"/>
    </w:rPr>
  </w:style>
  <w:style w:type="character" w:customStyle="1" w:styleId="FootnoteTextChar">
    <w:name w:val="Footnote Text Char"/>
    <w:aliases w:val="Footnote Text Char Char Char,Footnote Char,Fußnote Char,FSR footnote Char,lábléc Char,Carattere1 Char,Footnote Text Char1 Char Char,Footnote Text Char2 Char Char Char Char,Footnote Text Char1 Char Char Char Char Char,fn Char,f Char"/>
    <w:basedOn w:val="DefaultParagraphFont"/>
    <w:link w:val="FootnoteText"/>
    <w:uiPriority w:val="99"/>
    <w:rsid w:val="008C3E70"/>
    <w:rPr>
      <w:rFonts w:ascii="Times New Roman" w:eastAsia="Times New Roman" w:hAnsi="Times New Roman" w:cs="Times New Roman"/>
      <w:sz w:val="24"/>
      <w:szCs w:val="24"/>
    </w:rPr>
  </w:style>
  <w:style w:type="paragraph" w:customStyle="1" w:styleId="kehatekst">
    <w:name w:val="kehatekst"/>
    <w:basedOn w:val="Normal"/>
    <w:rsid w:val="008C3E70"/>
    <w:pPr>
      <w:spacing w:before="0" w:after="90"/>
      <w:jc w:val="left"/>
    </w:pPr>
    <w:rPr>
      <w:spacing w:val="-5"/>
      <w:lang w:eastAsia="en-US"/>
    </w:rPr>
  </w:style>
  <w:style w:type="paragraph" w:styleId="Revision">
    <w:name w:val="Revision"/>
    <w:hidden/>
    <w:uiPriority w:val="99"/>
    <w:semiHidden/>
    <w:rsid w:val="008C3E70"/>
    <w:pPr>
      <w:spacing w:after="0" w:line="240" w:lineRule="auto"/>
    </w:pPr>
    <w:rPr>
      <w:rFonts w:ascii="Times New Roman" w:eastAsia="Times New Roman" w:hAnsi="Times New Roman" w:cs="Times New Roman"/>
      <w:sz w:val="24"/>
      <w:szCs w:val="24"/>
    </w:rPr>
  </w:style>
  <w:style w:type="character" w:customStyle="1" w:styleId="tyhik">
    <w:name w:val="tyhik"/>
    <w:basedOn w:val="DefaultParagraphFont"/>
    <w:rsid w:val="008C3E70"/>
    <w:rPr>
      <w:rFonts w:cs="Times New Roman"/>
    </w:rPr>
  </w:style>
  <w:style w:type="paragraph" w:customStyle="1" w:styleId="paragraph">
    <w:name w:val="paragraph"/>
    <w:basedOn w:val="Normal"/>
    <w:rsid w:val="008C3E70"/>
    <w:pPr>
      <w:spacing w:before="240" w:after="100" w:afterAutospacing="1"/>
      <w:jc w:val="left"/>
    </w:pPr>
  </w:style>
  <w:style w:type="paragraph" w:customStyle="1" w:styleId="Text2">
    <w:name w:val="Text 2"/>
    <w:basedOn w:val="Normal"/>
    <w:rsid w:val="008C3E70"/>
    <w:pPr>
      <w:tabs>
        <w:tab w:val="left" w:pos="2302"/>
      </w:tabs>
      <w:spacing w:before="0" w:after="240"/>
      <w:ind w:left="1202"/>
    </w:pPr>
    <w:rPr>
      <w:szCs w:val="20"/>
      <w:lang w:val="en-GB" w:eastAsia="en-US"/>
    </w:rPr>
  </w:style>
  <w:style w:type="paragraph" w:styleId="CommentText">
    <w:name w:val="annotation text"/>
    <w:basedOn w:val="Normal"/>
    <w:link w:val="CommentTextChar"/>
    <w:uiPriority w:val="99"/>
    <w:rsid w:val="008C3E70"/>
    <w:pPr>
      <w:spacing w:before="0"/>
      <w:jc w:val="left"/>
    </w:pPr>
    <w:rPr>
      <w:sz w:val="20"/>
      <w:szCs w:val="20"/>
      <w:lang w:val="en-GB" w:eastAsia="en-US"/>
    </w:rPr>
  </w:style>
  <w:style w:type="character" w:customStyle="1" w:styleId="CommentTextChar">
    <w:name w:val="Comment Text Char"/>
    <w:basedOn w:val="DefaultParagraphFont"/>
    <w:link w:val="CommentText"/>
    <w:uiPriority w:val="99"/>
    <w:rsid w:val="008C3E7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3E70"/>
    <w:rPr>
      <w:b/>
      <w:bCs/>
      <w:lang w:val="et-EE"/>
    </w:rPr>
  </w:style>
  <w:style w:type="character" w:customStyle="1" w:styleId="CommentSubjectChar">
    <w:name w:val="Comment Subject Char"/>
    <w:basedOn w:val="CommentTextChar"/>
    <w:link w:val="CommentSubject"/>
    <w:uiPriority w:val="99"/>
    <w:semiHidden/>
    <w:rsid w:val="008C3E70"/>
    <w:rPr>
      <w:rFonts w:ascii="Times New Roman" w:eastAsia="Times New Roman" w:hAnsi="Times New Roman" w:cs="Times New Roman"/>
      <w:b/>
      <w:bCs/>
      <w:sz w:val="20"/>
      <w:szCs w:val="20"/>
      <w:lang w:val="en-GB"/>
    </w:rPr>
  </w:style>
  <w:style w:type="character" w:customStyle="1" w:styleId="hps">
    <w:name w:val="hps"/>
    <w:basedOn w:val="DefaultParagraphFont"/>
    <w:rsid w:val="008C3E70"/>
    <w:rPr>
      <w:rFonts w:cs="Times New Roman"/>
    </w:rPr>
  </w:style>
  <w:style w:type="character" w:customStyle="1" w:styleId="st1">
    <w:name w:val="st1"/>
    <w:basedOn w:val="DefaultParagraphFont"/>
    <w:rsid w:val="008C3E70"/>
    <w:rPr>
      <w:rFonts w:cs="Times New Roman"/>
    </w:rPr>
  </w:style>
  <w:style w:type="paragraph" w:customStyle="1" w:styleId="CM3">
    <w:name w:val="CM3"/>
    <w:basedOn w:val="Default"/>
    <w:next w:val="Default"/>
    <w:uiPriority w:val="99"/>
    <w:rsid w:val="008C3E70"/>
    <w:rPr>
      <w:rFonts w:ascii="EUAlbertina" w:hAnsi="EUAlbertina" w:cs="Arial"/>
      <w:color w:val="auto"/>
      <w:lang w:val="et-EE"/>
    </w:rPr>
  </w:style>
  <w:style w:type="paragraph" w:customStyle="1" w:styleId="Default">
    <w:name w:val="Default"/>
    <w:rsid w:val="008C3E7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
    <w:name w:val="CM1"/>
    <w:basedOn w:val="Default"/>
    <w:next w:val="Default"/>
    <w:uiPriority w:val="99"/>
    <w:rsid w:val="008C3E70"/>
    <w:rPr>
      <w:rFonts w:ascii="EUAlbertina" w:hAnsi="EUAlbertina" w:cs="Arial"/>
      <w:color w:val="auto"/>
      <w:lang w:val="et-EE"/>
    </w:rPr>
  </w:style>
  <w:style w:type="paragraph" w:styleId="BalloonText">
    <w:name w:val="Balloon Text"/>
    <w:basedOn w:val="Normal"/>
    <w:link w:val="BalloonTextChar"/>
    <w:uiPriority w:val="99"/>
    <w:semiHidden/>
    <w:unhideWhenUsed/>
    <w:rsid w:val="008C3E70"/>
    <w:pPr>
      <w:spacing w:befor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C3E70"/>
    <w:rPr>
      <w:rFonts w:ascii="Tahoma" w:eastAsia="Times New Roman" w:hAnsi="Tahoma" w:cs="Tahoma"/>
      <w:sz w:val="16"/>
      <w:szCs w:val="16"/>
    </w:rPr>
  </w:style>
  <w:style w:type="character" w:styleId="CommentReference">
    <w:name w:val="annotation reference"/>
    <w:aliases w:val="Heading 4 Char1"/>
    <w:basedOn w:val="DefaultParagraphFont"/>
    <w:uiPriority w:val="99"/>
    <w:rsid w:val="008C3E70"/>
    <w:rPr>
      <w:rFonts w:cs="Times New Roman"/>
      <w:sz w:val="16"/>
      <w:szCs w:val="16"/>
    </w:rPr>
  </w:style>
  <w:style w:type="character" w:styleId="Emphasis">
    <w:name w:val="Emphasis"/>
    <w:basedOn w:val="DefaultParagraphFont"/>
    <w:uiPriority w:val="20"/>
    <w:qFormat/>
    <w:rsid w:val="008C3E70"/>
    <w:rPr>
      <w:rFonts w:cs="Times New Roman"/>
      <w:i/>
      <w:iCs/>
    </w:rPr>
  </w:style>
  <w:style w:type="character" w:customStyle="1" w:styleId="NormalWebChar">
    <w:name w:val="Normal (Web) Char"/>
    <w:basedOn w:val="DefaultParagraphFont"/>
    <w:link w:val="NormalWeb"/>
    <w:uiPriority w:val="99"/>
    <w:locked/>
    <w:rsid w:val="008C3E70"/>
    <w:rPr>
      <w:rFonts w:ascii="Times New Roman" w:hAnsi="Times New Roman" w:cs="Times New Roman"/>
      <w:sz w:val="24"/>
      <w:szCs w:val="24"/>
      <w:lang w:val="x-none" w:eastAsia="et-EE"/>
    </w:rPr>
  </w:style>
  <w:style w:type="paragraph" w:styleId="NormalWeb">
    <w:name w:val="Normal (Web)"/>
    <w:basedOn w:val="Normal"/>
    <w:link w:val="NormalWebChar"/>
    <w:uiPriority w:val="99"/>
    <w:unhideWhenUsed/>
    <w:rsid w:val="008C3E70"/>
    <w:pPr>
      <w:spacing w:before="100" w:beforeAutospacing="1" w:after="100" w:afterAutospacing="1"/>
      <w:jc w:val="left"/>
    </w:pPr>
    <w:rPr>
      <w:rFonts w:eastAsiaTheme="minorHAnsi"/>
      <w:lang w:val="x-none"/>
    </w:rPr>
  </w:style>
  <w:style w:type="paragraph" w:styleId="Footer">
    <w:name w:val="footer"/>
    <w:basedOn w:val="Normal"/>
    <w:link w:val="FooterChar"/>
    <w:uiPriority w:val="99"/>
    <w:unhideWhenUsed/>
    <w:rsid w:val="008C3E70"/>
    <w:pPr>
      <w:tabs>
        <w:tab w:val="center" w:pos="4536"/>
        <w:tab w:val="right" w:pos="9072"/>
      </w:tabs>
      <w:spacing w:before="0"/>
      <w:jc w:val="left"/>
    </w:pPr>
    <w:rPr>
      <w:lang w:eastAsia="en-US"/>
    </w:rPr>
  </w:style>
  <w:style w:type="character" w:customStyle="1" w:styleId="FooterChar">
    <w:name w:val="Footer Char"/>
    <w:basedOn w:val="DefaultParagraphFont"/>
    <w:link w:val="Footer"/>
    <w:uiPriority w:val="99"/>
    <w:rsid w:val="008C3E7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3E70"/>
    <w:pPr>
      <w:tabs>
        <w:tab w:val="center" w:pos="4536"/>
        <w:tab w:val="right" w:pos="9072"/>
      </w:tabs>
      <w:spacing w:before="0"/>
      <w:jc w:val="left"/>
    </w:pPr>
    <w:rPr>
      <w:lang w:eastAsia="en-US"/>
    </w:rPr>
  </w:style>
  <w:style w:type="character" w:customStyle="1" w:styleId="HeaderChar">
    <w:name w:val="Header Char"/>
    <w:basedOn w:val="DefaultParagraphFont"/>
    <w:link w:val="Header"/>
    <w:uiPriority w:val="99"/>
    <w:rsid w:val="008C3E70"/>
    <w:rPr>
      <w:rFonts w:ascii="Times New Roman" w:eastAsia="Times New Roman" w:hAnsi="Times New Roman" w:cs="Times New Roman"/>
      <w:sz w:val="24"/>
      <w:szCs w:val="24"/>
    </w:rPr>
  </w:style>
  <w:style w:type="paragraph" w:customStyle="1" w:styleId="CM4">
    <w:name w:val="CM4"/>
    <w:basedOn w:val="Normal"/>
    <w:next w:val="Normal"/>
    <w:uiPriority w:val="99"/>
    <w:rsid w:val="008C3E70"/>
    <w:pPr>
      <w:autoSpaceDE w:val="0"/>
      <w:autoSpaceDN w:val="0"/>
      <w:adjustRightInd w:val="0"/>
      <w:spacing w:before="0"/>
      <w:jc w:val="left"/>
    </w:pPr>
    <w:rPr>
      <w:rFonts w:ascii="EUAlbertina" w:hAnsi="EUAlbertina"/>
      <w:lang w:eastAsia="en-US"/>
    </w:rPr>
  </w:style>
  <w:style w:type="paragraph" w:customStyle="1" w:styleId="Text1">
    <w:name w:val="Text 1"/>
    <w:basedOn w:val="Normal"/>
    <w:rsid w:val="008C3E70"/>
    <w:pPr>
      <w:spacing w:after="120"/>
      <w:ind w:left="850"/>
    </w:pPr>
    <w:rPr>
      <w:rFonts w:cs="Calibri"/>
      <w:sz w:val="22"/>
      <w:lang w:eastAsia="de-DE"/>
    </w:rPr>
  </w:style>
  <w:style w:type="table" w:styleId="TableGrid">
    <w:name w:val="Table Grid"/>
    <w:basedOn w:val="TableNormal"/>
    <w:uiPriority w:val="99"/>
    <w:rsid w:val="008C3E7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C3E70"/>
    <w:pPr>
      <w:spacing w:before="0"/>
    </w:pPr>
    <w:rPr>
      <w:rFonts w:eastAsiaTheme="minorEastAsia"/>
      <w:lang w:eastAsia="en-US"/>
    </w:rPr>
  </w:style>
  <w:style w:type="character" w:customStyle="1" w:styleId="BodyTextChar">
    <w:name w:val="Body Text Char"/>
    <w:basedOn w:val="DefaultParagraphFont"/>
    <w:link w:val="BodyText"/>
    <w:uiPriority w:val="99"/>
    <w:rsid w:val="008C3E70"/>
    <w:rPr>
      <w:rFonts w:ascii="Times New Roman" w:eastAsiaTheme="minorEastAsia"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DefaultParagraphFont"/>
    <w:uiPriority w:val="99"/>
    <w:qFormat/>
    <w:rsid w:val="008C3E70"/>
    <w:rPr>
      <w:rFonts w:cs="Times New Roman"/>
      <w:b/>
      <w:bCs/>
      <w:vertAlign w:val="superscript"/>
    </w:rPr>
  </w:style>
  <w:style w:type="paragraph" w:customStyle="1" w:styleId="Textbody">
    <w:name w:val="Text body"/>
    <w:basedOn w:val="Default"/>
    <w:uiPriority w:val="99"/>
    <w:rsid w:val="008C3E70"/>
    <w:pPr>
      <w:widowControl w:val="0"/>
      <w:adjustRightInd/>
      <w:jc w:val="both"/>
    </w:pPr>
    <w:rPr>
      <w:color w:val="auto"/>
      <w:lang w:val="de-DE" w:eastAsia="et-EE"/>
    </w:rPr>
  </w:style>
  <w:style w:type="paragraph" w:customStyle="1" w:styleId="Paragraphedeliste1">
    <w:name w:val="Paragraphe de liste1"/>
    <w:basedOn w:val="Normal"/>
    <w:qFormat/>
    <w:rsid w:val="008C3E70"/>
    <w:pPr>
      <w:spacing w:before="0"/>
      <w:ind w:left="708"/>
      <w:jc w:val="left"/>
    </w:pPr>
    <w:rPr>
      <w:lang w:val="en-GB" w:eastAsia="en-GB"/>
    </w:rPr>
  </w:style>
  <w:style w:type="paragraph" w:customStyle="1" w:styleId="Point1letter">
    <w:name w:val="Point 1 (letter)"/>
    <w:basedOn w:val="Normal"/>
    <w:uiPriority w:val="99"/>
    <w:rsid w:val="008C3E70"/>
    <w:pPr>
      <w:spacing w:after="120"/>
    </w:pPr>
    <w:rPr>
      <w:lang w:val="en-GB" w:eastAsia="en-US"/>
    </w:rPr>
  </w:style>
  <w:style w:type="character" w:customStyle="1" w:styleId="CommentTextChar1">
    <w:name w:val="Comment Text Char1"/>
    <w:basedOn w:val="DefaultParagraphFont"/>
    <w:rsid w:val="008C3E70"/>
    <w:rPr>
      <w:rFonts w:cs="Times New Roman"/>
      <w:lang w:val="en-GB" w:eastAsia="en-US" w:bidi="ar-SA"/>
    </w:rPr>
  </w:style>
  <w:style w:type="paragraph" w:styleId="BodyText2">
    <w:name w:val="Body Text 2"/>
    <w:basedOn w:val="Normal"/>
    <w:link w:val="BodyText2Char"/>
    <w:uiPriority w:val="99"/>
    <w:unhideWhenUsed/>
    <w:rsid w:val="008C3E70"/>
    <w:pPr>
      <w:spacing w:before="0" w:after="120" w:line="480" w:lineRule="auto"/>
      <w:jc w:val="left"/>
    </w:pPr>
    <w:rPr>
      <w:lang w:eastAsia="en-US"/>
    </w:rPr>
  </w:style>
  <w:style w:type="character" w:customStyle="1" w:styleId="BodyText2Char">
    <w:name w:val="Body Text 2 Char"/>
    <w:basedOn w:val="DefaultParagraphFont"/>
    <w:link w:val="BodyText2"/>
    <w:uiPriority w:val="99"/>
    <w:rsid w:val="008C3E7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C3E70"/>
    <w:pPr>
      <w:spacing w:before="0" w:after="120"/>
      <w:ind w:left="283"/>
      <w:jc w:val="left"/>
    </w:pPr>
    <w:rPr>
      <w:lang w:eastAsia="en-US"/>
    </w:rPr>
  </w:style>
  <w:style w:type="character" w:customStyle="1" w:styleId="BodyTextIndentChar">
    <w:name w:val="Body Text Indent Char"/>
    <w:basedOn w:val="DefaultParagraphFont"/>
    <w:link w:val="BodyTextIndent"/>
    <w:uiPriority w:val="99"/>
    <w:rsid w:val="008C3E70"/>
    <w:rPr>
      <w:rFonts w:ascii="Times New Roman" w:eastAsia="Times New Roman" w:hAnsi="Times New Roman" w:cs="Times New Roman"/>
      <w:sz w:val="24"/>
      <w:szCs w:val="24"/>
    </w:rPr>
  </w:style>
  <w:style w:type="paragraph" w:customStyle="1" w:styleId="NormalConseil">
    <w:name w:val="NormalConseil"/>
    <w:basedOn w:val="Normal"/>
    <w:rsid w:val="008C3E70"/>
    <w:pPr>
      <w:spacing w:before="0"/>
      <w:jc w:val="left"/>
    </w:pPr>
    <w:rPr>
      <w:szCs w:val="20"/>
      <w:lang w:val="en-GB" w:eastAsia="fr-BE"/>
    </w:rPr>
  </w:style>
  <w:style w:type="paragraph" w:styleId="Title">
    <w:name w:val="Title"/>
    <w:basedOn w:val="Normal"/>
    <w:link w:val="TitleChar"/>
    <w:uiPriority w:val="10"/>
    <w:qFormat/>
    <w:rsid w:val="008C3E70"/>
    <w:pPr>
      <w:spacing w:before="0"/>
      <w:jc w:val="center"/>
    </w:pPr>
    <w:rPr>
      <w:b/>
      <w:bCs/>
      <w:sz w:val="22"/>
      <w:szCs w:val="22"/>
      <w:lang w:val="en-GB" w:eastAsia="en-US"/>
    </w:rPr>
  </w:style>
  <w:style w:type="character" w:customStyle="1" w:styleId="TitleChar">
    <w:name w:val="Title Char"/>
    <w:basedOn w:val="DefaultParagraphFont"/>
    <w:link w:val="Title"/>
    <w:uiPriority w:val="10"/>
    <w:rsid w:val="008C3E70"/>
    <w:rPr>
      <w:rFonts w:ascii="Times New Roman" w:eastAsia="Times New Roman" w:hAnsi="Times New Roman" w:cs="Times New Roman"/>
      <w:b/>
      <w:bCs/>
      <w:lang w:val="en-GB"/>
    </w:rPr>
  </w:style>
  <w:style w:type="paragraph" w:styleId="HTMLPreformatted">
    <w:name w:val="HTML Preformatted"/>
    <w:basedOn w:val="Normal"/>
    <w:link w:val="HTMLPreformattedChar"/>
    <w:uiPriority w:val="99"/>
    <w:rsid w:val="008C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uiPriority w:val="99"/>
    <w:rsid w:val="008C3E70"/>
    <w:rPr>
      <w:rFonts w:ascii="Arial Unicode MS" w:eastAsia="Arial Unicode MS" w:hAnsi="Arial Unicode MS" w:cs="Arial Unicode MS"/>
      <w:sz w:val="20"/>
      <w:szCs w:val="20"/>
      <w:lang w:val="en-GB"/>
    </w:rPr>
  </w:style>
  <w:style w:type="character" w:customStyle="1" w:styleId="goohl1">
    <w:name w:val="goohl1"/>
    <w:basedOn w:val="DefaultParagraphFont"/>
    <w:rsid w:val="008C3E70"/>
    <w:rPr>
      <w:rFonts w:cs="Times New Roman"/>
    </w:rPr>
  </w:style>
  <w:style w:type="paragraph" w:styleId="BodyText3">
    <w:name w:val="Body Text 3"/>
    <w:basedOn w:val="Normal"/>
    <w:link w:val="BodyText3Char"/>
    <w:uiPriority w:val="99"/>
    <w:rsid w:val="008C3E70"/>
    <w:pPr>
      <w:autoSpaceDE w:val="0"/>
      <w:autoSpaceDN w:val="0"/>
      <w:adjustRightInd w:val="0"/>
      <w:spacing w:before="0"/>
      <w:jc w:val="left"/>
    </w:pPr>
  </w:style>
  <w:style w:type="character" w:customStyle="1" w:styleId="BodyText3Char">
    <w:name w:val="Body Text 3 Char"/>
    <w:basedOn w:val="DefaultParagraphFont"/>
    <w:link w:val="BodyText3"/>
    <w:uiPriority w:val="99"/>
    <w:rsid w:val="008C3E70"/>
    <w:rPr>
      <w:rFonts w:ascii="Times New Roman" w:eastAsia="Times New Roman" w:hAnsi="Times New Roman" w:cs="Times New Roman"/>
      <w:sz w:val="24"/>
      <w:szCs w:val="24"/>
      <w:lang w:eastAsia="et-EE"/>
    </w:rPr>
  </w:style>
  <w:style w:type="character" w:styleId="PageNumber">
    <w:name w:val="page number"/>
    <w:basedOn w:val="DefaultParagraphFont"/>
    <w:uiPriority w:val="99"/>
    <w:rsid w:val="008C3E70"/>
    <w:rPr>
      <w:rFonts w:cs="Times New Roman"/>
    </w:rPr>
  </w:style>
  <w:style w:type="paragraph" w:styleId="BodyTextIndent2">
    <w:name w:val="Body Text Indent 2"/>
    <w:basedOn w:val="Normal"/>
    <w:link w:val="BodyTextIndent2Char"/>
    <w:uiPriority w:val="99"/>
    <w:rsid w:val="008C3E70"/>
    <w:pPr>
      <w:autoSpaceDE w:val="0"/>
      <w:autoSpaceDN w:val="0"/>
      <w:adjustRightInd w:val="0"/>
      <w:spacing w:before="0" w:line="300" w:lineRule="auto"/>
      <w:ind w:left="624"/>
    </w:pPr>
    <w:rPr>
      <w:rFonts w:ascii="Arial" w:hAnsi="Arial" w:cs="Arial"/>
      <w:sz w:val="20"/>
      <w:szCs w:val="20"/>
      <w:lang w:eastAsia="en-US"/>
    </w:rPr>
  </w:style>
  <w:style w:type="character" w:customStyle="1" w:styleId="BodyTextIndent2Char">
    <w:name w:val="Body Text Indent 2 Char"/>
    <w:basedOn w:val="DefaultParagraphFont"/>
    <w:link w:val="BodyTextIndent2"/>
    <w:uiPriority w:val="99"/>
    <w:rsid w:val="008C3E70"/>
    <w:rPr>
      <w:rFonts w:ascii="Arial" w:eastAsia="Times New Roman" w:hAnsi="Arial" w:cs="Arial"/>
      <w:sz w:val="20"/>
      <w:szCs w:val="20"/>
    </w:rPr>
  </w:style>
  <w:style w:type="character" w:styleId="FollowedHyperlink">
    <w:name w:val="FollowedHyperlink"/>
    <w:basedOn w:val="DefaultParagraphFont"/>
    <w:uiPriority w:val="99"/>
    <w:rsid w:val="008C3E70"/>
    <w:rPr>
      <w:rFonts w:cs="Times New Roman"/>
      <w:color w:val="800080"/>
      <w:u w:val="single"/>
    </w:rPr>
  </w:style>
  <w:style w:type="paragraph" w:styleId="BodyTextIndent3">
    <w:name w:val="Body Text Indent 3"/>
    <w:basedOn w:val="Normal"/>
    <w:link w:val="BodyTextIndent3Char"/>
    <w:uiPriority w:val="99"/>
    <w:rsid w:val="008C3E70"/>
    <w:pPr>
      <w:spacing w:before="0" w:line="300" w:lineRule="auto"/>
      <w:ind w:left="540"/>
    </w:pPr>
    <w:rPr>
      <w:rFonts w:ascii="Arial" w:hAnsi="Arial" w:cs="Arial"/>
      <w:b/>
      <w:bCs/>
      <w:sz w:val="20"/>
      <w:lang w:eastAsia="en-US"/>
    </w:rPr>
  </w:style>
  <w:style w:type="character" w:customStyle="1" w:styleId="BodyTextIndent3Char">
    <w:name w:val="Body Text Indent 3 Char"/>
    <w:basedOn w:val="DefaultParagraphFont"/>
    <w:link w:val="BodyTextIndent3"/>
    <w:uiPriority w:val="99"/>
    <w:rsid w:val="008C3E70"/>
    <w:rPr>
      <w:rFonts w:ascii="Arial" w:eastAsia="Times New Roman" w:hAnsi="Arial" w:cs="Arial"/>
      <w:b/>
      <w:bCs/>
      <w:sz w:val="20"/>
      <w:szCs w:val="24"/>
    </w:rPr>
  </w:style>
  <w:style w:type="paragraph" w:customStyle="1" w:styleId="Pealkiri2">
    <w:name w:val="Pealkiri2"/>
    <w:basedOn w:val="Heading2"/>
    <w:rsid w:val="008C3E70"/>
    <w:pPr>
      <w:keepLines w:val="0"/>
      <w:spacing w:before="240" w:after="120"/>
    </w:pPr>
    <w:rPr>
      <w:rFonts w:ascii="Garamond" w:eastAsia="Times New Roman" w:hAnsi="Garamond" w:cs="Arial"/>
      <w:iCs/>
      <w:color w:val="auto"/>
      <w:spacing w:val="-5"/>
      <w:szCs w:val="24"/>
      <w:lang w:val="en-GB"/>
    </w:rPr>
  </w:style>
  <w:style w:type="paragraph" w:customStyle="1" w:styleId="StyleHeading1Garamond14ptBoldBlackSmallcapsAfter">
    <w:name w:val="Style Heading 1 + Garamond 14 pt Bold Black Small caps After: ..."/>
    <w:basedOn w:val="Heading1"/>
    <w:rsid w:val="008C3E70"/>
    <w:pPr>
      <w:keepLines/>
      <w:numPr>
        <w:numId w:val="4"/>
      </w:numPr>
      <w:tabs>
        <w:tab w:val="num" w:pos="720"/>
        <w:tab w:val="num" w:pos="7241"/>
      </w:tabs>
      <w:spacing w:after="100" w:line="200" w:lineRule="atLeast"/>
      <w:jc w:val="left"/>
    </w:pPr>
    <w:rPr>
      <w:rFonts w:ascii="Garamond" w:hAnsi="Garamond"/>
      <w:smallCaps/>
      <w:color w:val="000000"/>
      <w:spacing w:val="-10"/>
      <w:kern w:val="28"/>
      <w:szCs w:val="20"/>
    </w:rPr>
  </w:style>
  <w:style w:type="paragraph" w:customStyle="1" w:styleId="Pealkiri3">
    <w:name w:val="Pealkiri3"/>
    <w:basedOn w:val="Heading3"/>
    <w:rsid w:val="008C3E70"/>
    <w:pPr>
      <w:keepLines w:val="0"/>
      <w:numPr>
        <w:ilvl w:val="2"/>
        <w:numId w:val="1"/>
      </w:numPr>
      <w:tabs>
        <w:tab w:val="clear" w:pos="360"/>
        <w:tab w:val="num" w:pos="720"/>
        <w:tab w:val="num" w:pos="2160"/>
      </w:tabs>
      <w:autoSpaceDE w:val="0"/>
      <w:autoSpaceDN w:val="0"/>
      <w:adjustRightInd w:val="0"/>
      <w:spacing w:before="240" w:afterLines="120" w:after="288"/>
      <w:ind w:left="720" w:hanging="720"/>
      <w:jc w:val="both"/>
    </w:pPr>
    <w:rPr>
      <w:rFonts w:ascii="Garamond" w:eastAsia="Times New Roman" w:hAnsi="Garamond"/>
      <w:color w:val="auto"/>
      <w:lang w:val="et-EE"/>
    </w:rPr>
  </w:style>
  <w:style w:type="character" w:styleId="Strong">
    <w:name w:val="Strong"/>
    <w:basedOn w:val="DefaultParagraphFont"/>
    <w:uiPriority w:val="22"/>
    <w:qFormat/>
    <w:rsid w:val="008C3E70"/>
    <w:rPr>
      <w:rFonts w:cs="Times New Roman"/>
      <w:b/>
      <w:bCs/>
    </w:rPr>
  </w:style>
  <w:style w:type="paragraph" w:customStyle="1" w:styleId="Style2">
    <w:name w:val="Style2"/>
    <w:basedOn w:val="Normal"/>
    <w:rsid w:val="008C3E70"/>
    <w:pPr>
      <w:numPr>
        <w:ilvl w:val="1"/>
        <w:numId w:val="5"/>
      </w:numPr>
      <w:spacing w:before="0"/>
      <w:jc w:val="left"/>
    </w:pPr>
    <w:rPr>
      <w:lang w:val="en-GB" w:eastAsia="en-US"/>
    </w:rPr>
  </w:style>
  <w:style w:type="paragraph" w:customStyle="1" w:styleId="Titrearticle">
    <w:name w:val="Titre article"/>
    <w:basedOn w:val="Normal"/>
    <w:next w:val="Normal"/>
    <w:rsid w:val="008C3E70"/>
    <w:pPr>
      <w:keepNext/>
      <w:spacing w:before="360" w:after="120"/>
      <w:jc w:val="center"/>
    </w:pPr>
    <w:rPr>
      <w:i/>
      <w:lang w:val="en-GB" w:eastAsia="de-DE"/>
    </w:rPr>
  </w:style>
  <w:style w:type="paragraph" w:customStyle="1" w:styleId="ListNumber1">
    <w:name w:val="List Number 1"/>
    <w:basedOn w:val="Normal"/>
    <w:rsid w:val="008C3E70"/>
    <w:pPr>
      <w:numPr>
        <w:numId w:val="6"/>
      </w:numPr>
      <w:spacing w:after="120"/>
    </w:pPr>
    <w:rPr>
      <w:lang w:val="en-GB" w:eastAsia="de-DE"/>
    </w:rPr>
  </w:style>
  <w:style w:type="paragraph" w:customStyle="1" w:styleId="ListNumber1Level2">
    <w:name w:val="List Number 1 (Level 2)"/>
    <w:basedOn w:val="Normal"/>
    <w:rsid w:val="008C3E70"/>
    <w:pPr>
      <w:numPr>
        <w:ilvl w:val="1"/>
        <w:numId w:val="6"/>
      </w:numPr>
      <w:spacing w:after="120"/>
    </w:pPr>
    <w:rPr>
      <w:lang w:val="en-GB" w:eastAsia="de-DE"/>
    </w:rPr>
  </w:style>
  <w:style w:type="paragraph" w:customStyle="1" w:styleId="ListNumber1Level3">
    <w:name w:val="List Number 1 (Level 3)"/>
    <w:basedOn w:val="Normal"/>
    <w:rsid w:val="008C3E70"/>
    <w:pPr>
      <w:numPr>
        <w:ilvl w:val="2"/>
        <w:numId w:val="6"/>
      </w:numPr>
      <w:spacing w:after="120"/>
    </w:pPr>
    <w:rPr>
      <w:lang w:val="en-GB" w:eastAsia="de-DE"/>
    </w:rPr>
  </w:style>
  <w:style w:type="paragraph" w:customStyle="1" w:styleId="ListNumber1Level4">
    <w:name w:val="List Number 1 (Level 4)"/>
    <w:basedOn w:val="Normal"/>
    <w:rsid w:val="008C3E70"/>
    <w:pPr>
      <w:tabs>
        <w:tab w:val="num" w:pos="3686"/>
      </w:tabs>
      <w:spacing w:after="120"/>
      <w:ind w:left="3686" w:hanging="709"/>
    </w:pPr>
    <w:rPr>
      <w:lang w:val="en-GB" w:eastAsia="de-DE"/>
    </w:rPr>
  </w:style>
  <w:style w:type="character" w:customStyle="1" w:styleId="Marker">
    <w:name w:val="Marker"/>
    <w:basedOn w:val="DefaultParagraphFont"/>
    <w:rsid w:val="008C3E70"/>
    <w:rPr>
      <w:rFonts w:cs="Times New Roman"/>
      <w:color w:val="0000FF"/>
      <w:shd w:val="clear" w:color="auto" w:fill="auto"/>
    </w:rPr>
  </w:style>
  <w:style w:type="paragraph" w:customStyle="1" w:styleId="Considrant">
    <w:name w:val="Considérant"/>
    <w:basedOn w:val="Normal"/>
    <w:rsid w:val="008C3E70"/>
    <w:pPr>
      <w:numPr>
        <w:numId w:val="7"/>
      </w:numPr>
      <w:spacing w:after="120"/>
    </w:pPr>
    <w:rPr>
      <w:lang w:val="en-GB" w:eastAsia="en-US"/>
    </w:rPr>
  </w:style>
  <w:style w:type="paragraph" w:customStyle="1" w:styleId="western">
    <w:name w:val="western"/>
    <w:basedOn w:val="Normal"/>
    <w:rsid w:val="008C3E70"/>
    <w:pPr>
      <w:spacing w:before="100" w:beforeAutospacing="1" w:after="100" w:afterAutospacing="1"/>
      <w:jc w:val="left"/>
    </w:pPr>
    <w:rPr>
      <w:color w:val="000000"/>
    </w:rPr>
  </w:style>
  <w:style w:type="character" w:customStyle="1" w:styleId="tekst4">
    <w:name w:val="tekst4"/>
    <w:basedOn w:val="DefaultParagraphFont"/>
    <w:rsid w:val="008C3E70"/>
    <w:rPr>
      <w:rFonts w:cs="Times New Roman"/>
    </w:rPr>
  </w:style>
  <w:style w:type="paragraph" w:customStyle="1" w:styleId="WW-NormalWeb">
    <w:name w:val="WW-Normal (Web)"/>
    <w:basedOn w:val="Default"/>
    <w:rsid w:val="008C3E70"/>
    <w:pPr>
      <w:widowControl w:val="0"/>
      <w:adjustRightInd/>
      <w:spacing w:before="280" w:after="280"/>
    </w:pPr>
    <w:rPr>
      <w:color w:val="auto"/>
      <w:lang w:eastAsia="et-EE"/>
    </w:rPr>
  </w:style>
  <w:style w:type="paragraph" w:customStyle="1" w:styleId="CharChar1CharCharCharCharCharCharChar2">
    <w:name w:val="Char Char1 Char Char Char Char Char Char Char2"/>
    <w:basedOn w:val="Normal"/>
    <w:uiPriority w:val="99"/>
    <w:rsid w:val="008C3E70"/>
    <w:pPr>
      <w:tabs>
        <w:tab w:val="num" w:pos="360"/>
      </w:tabs>
      <w:spacing w:before="0" w:after="160" w:line="240" w:lineRule="exact"/>
      <w:jc w:val="left"/>
    </w:pPr>
    <w:rPr>
      <w:rFonts w:ascii="Tahoma" w:hAnsi="Tahoma" w:cs="Tahoma"/>
      <w:sz w:val="20"/>
      <w:szCs w:val="20"/>
      <w:lang w:val="en-US" w:eastAsia="en-US"/>
    </w:rPr>
  </w:style>
  <w:style w:type="paragraph" w:customStyle="1" w:styleId="Loendilik1">
    <w:name w:val="Loendi lõik1"/>
    <w:basedOn w:val="Normal"/>
    <w:rsid w:val="008C3E70"/>
    <w:pPr>
      <w:spacing w:before="0" w:after="200" w:line="276" w:lineRule="auto"/>
      <w:ind w:left="720"/>
      <w:contextualSpacing/>
      <w:jc w:val="left"/>
    </w:pPr>
    <w:rPr>
      <w:rFonts w:ascii="Calibri" w:hAnsi="Calibri"/>
      <w:sz w:val="22"/>
      <w:szCs w:val="22"/>
      <w:lang w:eastAsia="en-US"/>
    </w:rPr>
  </w:style>
  <w:style w:type="character" w:customStyle="1" w:styleId="NormaallaadveebMrk">
    <w:name w:val="Normaallaad (veeb) Märk"/>
    <w:basedOn w:val="DefaultParagraphFont"/>
    <w:uiPriority w:val="99"/>
    <w:locked/>
    <w:rsid w:val="008C3E70"/>
    <w:rPr>
      <w:rFonts w:cs="Times New Roman"/>
      <w:color w:val="000000"/>
      <w:sz w:val="24"/>
      <w:szCs w:val="24"/>
      <w:lang w:val="et-EE" w:eastAsia="et-EE" w:bidi="ar-SA"/>
    </w:rPr>
  </w:style>
  <w:style w:type="paragraph" w:customStyle="1" w:styleId="msolistparagraph0">
    <w:name w:val="msolistparagraph"/>
    <w:basedOn w:val="Normal"/>
    <w:rsid w:val="008C3E70"/>
    <w:pPr>
      <w:spacing w:before="0"/>
      <w:ind w:left="720"/>
      <w:jc w:val="left"/>
    </w:pPr>
    <w:rPr>
      <w:rFonts w:ascii="Calibri" w:hAnsi="Calibri"/>
      <w:sz w:val="22"/>
      <w:szCs w:val="22"/>
      <w:lang w:eastAsia="en-US"/>
    </w:rPr>
  </w:style>
  <w:style w:type="character" w:customStyle="1" w:styleId="mm">
    <w:name w:val="mm"/>
    <w:basedOn w:val="DefaultParagraphFont"/>
    <w:rsid w:val="008C3E70"/>
    <w:rPr>
      <w:rFonts w:cs="Times New Roman"/>
    </w:rPr>
  </w:style>
  <w:style w:type="paragraph" w:customStyle="1" w:styleId="BodyTextTekst11">
    <w:name w:val="Body Text: Tekst 11"/>
    <w:basedOn w:val="Normal"/>
    <w:uiPriority w:val="99"/>
    <w:rsid w:val="008C3E70"/>
    <w:pPr>
      <w:suppressAutoHyphens/>
      <w:spacing w:before="0"/>
    </w:pPr>
    <w:rPr>
      <w:rFonts w:ascii="Garamond" w:hAnsi="Garamond" w:cs="Garamond"/>
      <w:sz w:val="22"/>
      <w:szCs w:val="22"/>
    </w:rPr>
  </w:style>
  <w:style w:type="paragraph" w:customStyle="1" w:styleId="Normal12Hanging">
    <w:name w:val="Normal12Hanging"/>
    <w:basedOn w:val="Normal"/>
    <w:rsid w:val="008C3E70"/>
    <w:pPr>
      <w:widowControl w:val="0"/>
      <w:spacing w:before="0" w:after="240"/>
      <w:ind w:left="357" w:hanging="357"/>
      <w:jc w:val="left"/>
    </w:pPr>
    <w:rPr>
      <w:szCs w:val="20"/>
      <w:lang w:val="en-GB" w:eastAsia="en-GB"/>
    </w:rPr>
  </w:style>
  <w:style w:type="paragraph" w:customStyle="1" w:styleId="Normal6">
    <w:name w:val="Normal6"/>
    <w:basedOn w:val="Normal"/>
    <w:rsid w:val="008C3E70"/>
    <w:pPr>
      <w:widowControl w:val="0"/>
      <w:spacing w:before="0" w:after="120"/>
      <w:jc w:val="left"/>
    </w:pPr>
    <w:rPr>
      <w:szCs w:val="20"/>
      <w:lang w:val="en-GB" w:eastAsia="en-GB"/>
    </w:rPr>
  </w:style>
  <w:style w:type="paragraph" w:customStyle="1" w:styleId="NumPar1">
    <w:name w:val="NumPar 1"/>
    <w:basedOn w:val="Normal"/>
    <w:next w:val="Text1"/>
    <w:link w:val="NumPar1Char"/>
    <w:rsid w:val="008C3E70"/>
    <w:pPr>
      <w:numPr>
        <w:numId w:val="8"/>
      </w:numPr>
      <w:spacing w:after="120"/>
    </w:pPr>
    <w:rPr>
      <w:lang w:val="en-GB" w:eastAsia="en-US"/>
    </w:rPr>
  </w:style>
  <w:style w:type="character" w:customStyle="1" w:styleId="NumPar1Char">
    <w:name w:val="NumPar 1 Char"/>
    <w:link w:val="NumPar1"/>
    <w:locked/>
    <w:rsid w:val="008C3E70"/>
    <w:rPr>
      <w:rFonts w:ascii="Times New Roman" w:eastAsia="Times New Roman" w:hAnsi="Times New Roman" w:cs="Times New Roman"/>
      <w:sz w:val="24"/>
      <w:szCs w:val="24"/>
      <w:lang w:val="en-GB"/>
    </w:rPr>
  </w:style>
  <w:style w:type="paragraph" w:customStyle="1" w:styleId="NumPar2">
    <w:name w:val="NumPar 2"/>
    <w:basedOn w:val="Normal"/>
    <w:next w:val="Text1"/>
    <w:rsid w:val="008C3E70"/>
    <w:pPr>
      <w:numPr>
        <w:ilvl w:val="1"/>
        <w:numId w:val="8"/>
      </w:numPr>
      <w:spacing w:after="120"/>
    </w:pPr>
    <w:rPr>
      <w:lang w:val="en-GB" w:eastAsia="en-US"/>
    </w:rPr>
  </w:style>
  <w:style w:type="paragraph" w:customStyle="1" w:styleId="NumPar3">
    <w:name w:val="NumPar 3"/>
    <w:basedOn w:val="Normal"/>
    <w:next w:val="Text1"/>
    <w:rsid w:val="008C3E70"/>
    <w:pPr>
      <w:numPr>
        <w:ilvl w:val="2"/>
        <w:numId w:val="8"/>
      </w:numPr>
      <w:spacing w:after="120"/>
    </w:pPr>
    <w:rPr>
      <w:lang w:val="en-GB" w:eastAsia="en-US"/>
    </w:rPr>
  </w:style>
  <w:style w:type="paragraph" w:customStyle="1" w:styleId="NumPar4">
    <w:name w:val="NumPar 4"/>
    <w:basedOn w:val="Normal"/>
    <w:next w:val="Text1"/>
    <w:rsid w:val="008C3E70"/>
    <w:pPr>
      <w:tabs>
        <w:tab w:val="num" w:pos="850"/>
      </w:tabs>
      <w:spacing w:after="120"/>
      <w:ind w:left="850" w:hanging="850"/>
    </w:pPr>
    <w:rPr>
      <w:lang w:val="en-GB" w:eastAsia="en-US"/>
    </w:rPr>
  </w:style>
  <w:style w:type="character" w:customStyle="1" w:styleId="CommentTextChar4">
    <w:name w:val="Comment Text Char4"/>
    <w:uiPriority w:val="99"/>
    <w:semiHidden/>
    <w:rsid w:val="008C3E70"/>
    <w:rPr>
      <w:rFonts w:ascii="Times New Roman" w:hAnsi="Times New Roman"/>
      <w:lang w:val="et-EE" w:eastAsia="x-none"/>
    </w:rPr>
  </w:style>
  <w:style w:type="paragraph" w:styleId="TOC2">
    <w:name w:val="toc 2"/>
    <w:basedOn w:val="Normal"/>
    <w:next w:val="Normal"/>
    <w:autoRedefine/>
    <w:uiPriority w:val="39"/>
    <w:rsid w:val="009B469D"/>
    <w:pPr>
      <w:tabs>
        <w:tab w:val="left" w:pos="660"/>
        <w:tab w:val="right" w:leader="dot" w:pos="9457"/>
      </w:tabs>
      <w:spacing w:beforeLines="50" w:afterLines="50" w:after="120"/>
      <w:ind w:left="238"/>
    </w:pPr>
    <w:rPr>
      <w:lang w:val="en-GB" w:eastAsia="en-US"/>
    </w:rPr>
  </w:style>
  <w:style w:type="paragraph" w:styleId="TOC1">
    <w:name w:val="toc 1"/>
    <w:basedOn w:val="Normal"/>
    <w:next w:val="Normal"/>
    <w:autoRedefine/>
    <w:uiPriority w:val="39"/>
    <w:unhideWhenUsed/>
    <w:rsid w:val="009F065E"/>
    <w:pPr>
      <w:tabs>
        <w:tab w:val="left" w:pos="480"/>
        <w:tab w:val="right" w:leader="dot" w:pos="9062"/>
      </w:tabs>
      <w:spacing w:before="0"/>
      <w:jc w:val="center"/>
    </w:pPr>
    <w:rPr>
      <w:lang w:eastAsia="en-US"/>
    </w:rPr>
  </w:style>
  <w:style w:type="paragraph" w:styleId="TOC3">
    <w:name w:val="toc 3"/>
    <w:basedOn w:val="Normal"/>
    <w:next w:val="Normal"/>
    <w:autoRedefine/>
    <w:uiPriority w:val="39"/>
    <w:unhideWhenUsed/>
    <w:rsid w:val="008C3E70"/>
    <w:pPr>
      <w:tabs>
        <w:tab w:val="left" w:pos="1320"/>
        <w:tab w:val="right" w:leader="dot" w:pos="9062"/>
      </w:tabs>
      <w:spacing w:before="0" w:after="100" w:line="276" w:lineRule="auto"/>
      <w:ind w:left="480"/>
    </w:pPr>
    <w:rPr>
      <w:lang w:eastAsia="en-US"/>
    </w:rPr>
  </w:style>
  <w:style w:type="paragraph" w:customStyle="1" w:styleId="vv">
    <w:name w:val="vv"/>
    <w:basedOn w:val="Normal"/>
    <w:rsid w:val="008C3E70"/>
    <w:pPr>
      <w:spacing w:before="240" w:after="100" w:afterAutospacing="1"/>
      <w:jc w:val="left"/>
    </w:pPr>
  </w:style>
  <w:style w:type="paragraph" w:customStyle="1" w:styleId="AonBodyCopy">
    <w:name w:val="Aon Body Copy"/>
    <w:basedOn w:val="Normal"/>
    <w:rsid w:val="008C3E70"/>
    <w:pPr>
      <w:spacing w:before="0" w:after="240" w:line="264" w:lineRule="auto"/>
      <w:jc w:val="left"/>
    </w:pPr>
    <w:rPr>
      <w:rFonts w:ascii="Arial" w:eastAsia="MS Mincho" w:hAnsi="Arial"/>
      <w:sz w:val="20"/>
      <w:szCs w:val="20"/>
      <w:lang w:val="en-US" w:eastAsia="en-US"/>
    </w:rPr>
  </w:style>
  <w:style w:type="character" w:customStyle="1" w:styleId="NormalWebChar1">
    <w:name w:val="Normal (Web) Char1"/>
    <w:basedOn w:val="DefaultParagraphFont"/>
    <w:locked/>
    <w:rsid w:val="008C3E70"/>
    <w:rPr>
      <w:rFonts w:cs="Times New Roman"/>
      <w:color w:val="000000"/>
      <w:sz w:val="24"/>
      <w:szCs w:val="24"/>
      <w:lang w:val="et-EE" w:eastAsia="et-EE" w:bidi="ar-SA"/>
    </w:rPr>
  </w:style>
  <w:style w:type="character" w:customStyle="1" w:styleId="sbmessagebody">
    <w:name w:val="sb_messagebody"/>
    <w:basedOn w:val="DefaultParagraphFont"/>
    <w:rsid w:val="008C3E70"/>
    <w:rPr>
      <w:rFonts w:cs="Times New Roman"/>
    </w:rPr>
  </w:style>
  <w:style w:type="character" w:customStyle="1" w:styleId="NormalWebChar2">
    <w:name w:val="Normal (Web) Char2"/>
    <w:uiPriority w:val="99"/>
    <w:rsid w:val="008C3E70"/>
    <w:rPr>
      <w:rFonts w:ascii="Times New Roman" w:hAnsi="Times New Roman"/>
      <w:color w:val="000000"/>
      <w:sz w:val="24"/>
    </w:rPr>
  </w:style>
  <w:style w:type="character" w:customStyle="1" w:styleId="CommentTextChar2">
    <w:name w:val="Comment Text Char2"/>
    <w:rsid w:val="008C3E70"/>
    <w:rPr>
      <w:rFonts w:ascii="Times New Roman" w:hAnsi="Times New Roman"/>
      <w:sz w:val="20"/>
      <w:lang w:val="en-GB" w:eastAsia="x-none"/>
    </w:rPr>
  </w:style>
  <w:style w:type="character" w:customStyle="1" w:styleId="st">
    <w:name w:val="st"/>
    <w:basedOn w:val="DefaultParagraphFont"/>
    <w:rsid w:val="008C3E70"/>
    <w:rPr>
      <w:rFonts w:cs="Times New Roman"/>
    </w:rPr>
  </w:style>
  <w:style w:type="paragraph" w:customStyle="1" w:styleId="pealkiri">
    <w:name w:val="pealkiri"/>
    <w:basedOn w:val="Normal"/>
    <w:rsid w:val="008C3E70"/>
    <w:pPr>
      <w:spacing w:before="100" w:beforeAutospacing="1" w:after="100" w:afterAutospacing="1"/>
      <w:jc w:val="left"/>
    </w:pPr>
  </w:style>
  <w:style w:type="paragraph" w:styleId="ListNumber">
    <w:name w:val="List Number"/>
    <w:basedOn w:val="Normal"/>
    <w:uiPriority w:val="99"/>
    <w:rsid w:val="008C3E70"/>
    <w:pPr>
      <w:tabs>
        <w:tab w:val="num" w:pos="709"/>
      </w:tabs>
      <w:spacing w:after="120"/>
      <w:ind w:left="709" w:hanging="709"/>
    </w:pPr>
    <w:rPr>
      <w:lang w:val="en-GB" w:eastAsia="de-DE"/>
    </w:rPr>
  </w:style>
  <w:style w:type="character" w:customStyle="1" w:styleId="msoins0">
    <w:name w:val="msoins"/>
    <w:basedOn w:val="DefaultParagraphFont"/>
    <w:rsid w:val="008C3E70"/>
    <w:rPr>
      <w:rFonts w:cs="Times New Roman"/>
      <w:color w:val="008080"/>
      <w:u w:val="single"/>
    </w:rPr>
  </w:style>
  <w:style w:type="paragraph" w:customStyle="1" w:styleId="sisu">
    <w:name w:val="sisu"/>
    <w:basedOn w:val="Normal"/>
    <w:rsid w:val="008C3E70"/>
    <w:pPr>
      <w:spacing w:before="0" w:after="240"/>
      <w:jc w:val="left"/>
    </w:pPr>
    <w:rPr>
      <w:lang w:eastAsia="en-US"/>
    </w:rPr>
  </w:style>
  <w:style w:type="paragraph" w:customStyle="1" w:styleId="title-doc-first">
    <w:name w:val="title-doc-first"/>
    <w:basedOn w:val="Normal"/>
    <w:rsid w:val="008C3E70"/>
    <w:pPr>
      <w:spacing w:before="100" w:beforeAutospacing="1" w:after="100" w:afterAutospacing="1"/>
      <w:jc w:val="left"/>
    </w:pPr>
  </w:style>
  <w:style w:type="paragraph" w:customStyle="1" w:styleId="Point0number">
    <w:name w:val="Point 0 (number)"/>
    <w:basedOn w:val="Normal"/>
    <w:rsid w:val="008C3E70"/>
    <w:pPr>
      <w:tabs>
        <w:tab w:val="num" w:pos="399"/>
        <w:tab w:val="num" w:pos="450"/>
        <w:tab w:val="num" w:pos="794"/>
        <w:tab w:val="num" w:pos="1065"/>
        <w:tab w:val="num" w:pos="1287"/>
      </w:tabs>
      <w:spacing w:after="120"/>
      <w:ind w:left="399" w:hanging="399"/>
    </w:pPr>
    <w:rPr>
      <w:szCs w:val="22"/>
      <w:lang w:val="en-GB" w:eastAsia="en-GB"/>
    </w:rPr>
  </w:style>
  <w:style w:type="paragraph" w:customStyle="1" w:styleId="Point1number">
    <w:name w:val="Point 1 (number)"/>
    <w:basedOn w:val="Normal"/>
    <w:rsid w:val="008C3E70"/>
    <w:pPr>
      <w:numPr>
        <w:ilvl w:val="2"/>
        <w:numId w:val="2"/>
      </w:numPr>
      <w:tabs>
        <w:tab w:val="num" w:pos="397"/>
        <w:tab w:val="num" w:pos="1763"/>
        <w:tab w:val="num" w:pos="1800"/>
        <w:tab w:val="num" w:pos="2160"/>
        <w:tab w:val="num" w:pos="2868"/>
      </w:tabs>
      <w:spacing w:after="120"/>
      <w:ind w:left="2160" w:hanging="180"/>
    </w:pPr>
    <w:rPr>
      <w:szCs w:val="22"/>
      <w:lang w:val="en-GB" w:eastAsia="en-GB"/>
    </w:rPr>
  </w:style>
  <w:style w:type="paragraph" w:customStyle="1" w:styleId="Point2number">
    <w:name w:val="Point 2 (number)"/>
    <w:basedOn w:val="Normal"/>
    <w:rsid w:val="008C3E70"/>
    <w:pPr>
      <w:tabs>
        <w:tab w:val="num" w:pos="1984"/>
      </w:tabs>
      <w:spacing w:after="120"/>
      <w:ind w:left="1984" w:hanging="567"/>
    </w:pPr>
    <w:rPr>
      <w:szCs w:val="22"/>
      <w:lang w:val="en-GB" w:eastAsia="en-GB"/>
    </w:rPr>
  </w:style>
  <w:style w:type="paragraph" w:customStyle="1" w:styleId="Point3number">
    <w:name w:val="Point 3 (number)"/>
    <w:basedOn w:val="Normal"/>
    <w:rsid w:val="008C3E70"/>
    <w:pPr>
      <w:tabs>
        <w:tab w:val="num" w:pos="2551"/>
      </w:tabs>
      <w:spacing w:after="120"/>
      <w:ind w:left="2551" w:hanging="567"/>
    </w:pPr>
    <w:rPr>
      <w:szCs w:val="22"/>
      <w:lang w:val="en-GB" w:eastAsia="en-GB"/>
    </w:rPr>
  </w:style>
  <w:style w:type="paragraph" w:customStyle="1" w:styleId="Point0letter">
    <w:name w:val="Point 0 (letter)"/>
    <w:basedOn w:val="Normal"/>
    <w:rsid w:val="008C3E70"/>
    <w:pPr>
      <w:tabs>
        <w:tab w:val="num" w:pos="743"/>
        <w:tab w:val="num" w:pos="1043"/>
        <w:tab w:val="num" w:pos="1080"/>
        <w:tab w:val="num" w:pos="1440"/>
        <w:tab w:val="num" w:pos="1479"/>
        <w:tab w:val="num" w:pos="2145"/>
        <w:tab w:val="num" w:pos="2197"/>
      </w:tabs>
      <w:spacing w:after="120"/>
      <w:ind w:left="1440" w:hanging="360"/>
    </w:pPr>
    <w:rPr>
      <w:szCs w:val="22"/>
      <w:lang w:val="en-GB" w:eastAsia="en-GB"/>
    </w:rPr>
  </w:style>
  <w:style w:type="paragraph" w:customStyle="1" w:styleId="Point2letter">
    <w:name w:val="Point 2 (letter)"/>
    <w:basedOn w:val="Normal"/>
    <w:rsid w:val="008C3E70"/>
    <w:pPr>
      <w:tabs>
        <w:tab w:val="num" w:pos="1984"/>
      </w:tabs>
      <w:spacing w:after="120"/>
      <w:ind w:left="1984" w:hanging="567"/>
    </w:pPr>
    <w:rPr>
      <w:szCs w:val="22"/>
      <w:lang w:val="en-GB" w:eastAsia="en-GB"/>
    </w:rPr>
  </w:style>
  <w:style w:type="paragraph" w:customStyle="1" w:styleId="Point3letter">
    <w:name w:val="Point 3 (letter)"/>
    <w:basedOn w:val="Normal"/>
    <w:rsid w:val="008C3E70"/>
    <w:pPr>
      <w:tabs>
        <w:tab w:val="num" w:pos="2551"/>
      </w:tabs>
      <w:spacing w:after="120"/>
      <w:ind w:left="2551" w:hanging="567"/>
    </w:pPr>
    <w:rPr>
      <w:szCs w:val="22"/>
      <w:lang w:val="en-GB" w:eastAsia="en-GB"/>
    </w:rPr>
  </w:style>
  <w:style w:type="paragraph" w:customStyle="1" w:styleId="Point4letter">
    <w:name w:val="Point 4 (letter)"/>
    <w:basedOn w:val="Normal"/>
    <w:rsid w:val="008C3E70"/>
    <w:pPr>
      <w:tabs>
        <w:tab w:val="num" w:pos="3118"/>
      </w:tabs>
      <w:spacing w:after="120"/>
      <w:ind w:left="3118" w:hanging="567"/>
    </w:pPr>
    <w:rPr>
      <w:szCs w:val="22"/>
      <w:lang w:val="en-GB" w:eastAsia="en-GB"/>
    </w:rPr>
  </w:style>
  <w:style w:type="paragraph" w:customStyle="1" w:styleId="vk">
    <w:name w:val="vk"/>
    <w:basedOn w:val="Normal"/>
    <w:rsid w:val="008C3E70"/>
    <w:pPr>
      <w:spacing w:before="240" w:after="100" w:afterAutospacing="1"/>
      <w:jc w:val="left"/>
    </w:pPr>
  </w:style>
  <w:style w:type="paragraph" w:styleId="DocumentMap">
    <w:name w:val="Document Map"/>
    <w:basedOn w:val="Normal"/>
    <w:link w:val="DocumentMapChar"/>
    <w:uiPriority w:val="99"/>
    <w:semiHidden/>
    <w:unhideWhenUsed/>
    <w:rsid w:val="008C3E70"/>
    <w:pPr>
      <w:spacing w:before="0"/>
      <w:jc w:val="left"/>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8C3E70"/>
    <w:rPr>
      <w:rFonts w:ascii="Tahoma" w:eastAsia="Times New Roman" w:hAnsi="Tahoma" w:cs="Tahoma"/>
      <w:sz w:val="16"/>
      <w:szCs w:val="16"/>
    </w:rPr>
  </w:style>
  <w:style w:type="paragraph" w:customStyle="1" w:styleId="Standard">
    <w:name w:val="Standard"/>
    <w:rsid w:val="008C3E70"/>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table" w:customStyle="1" w:styleId="LightList-Accent11">
    <w:name w:val="Light List - Accent 11"/>
    <w:basedOn w:val="TableNormal"/>
    <w:uiPriority w:val="61"/>
    <w:rsid w:val="008C3E70"/>
    <w:pPr>
      <w:spacing w:after="0" w:line="240" w:lineRule="auto"/>
    </w:pPr>
    <w:rPr>
      <w:rFonts w:ascii="Calibri" w:eastAsia="Times New Roman" w:hAnsi="Calibri" w:cs="Calibri"/>
      <w:sz w:val="20"/>
      <w:szCs w:val="20"/>
      <w:lang w:eastAsia="et-E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Calibri"/>
        <w:b/>
        <w:bCs/>
        <w:color w:val="FFFFFF" w:themeColor="background1"/>
      </w:rPr>
      <w:tblPr/>
      <w:tcPr>
        <w:shd w:val="clear" w:color="auto" w:fill="5B9BD5" w:themeFill="accent1"/>
      </w:tcPr>
    </w:tblStylePr>
    <w:tblStylePr w:type="lastRow">
      <w:pPr>
        <w:spacing w:before="0" w:after="0"/>
      </w:pPr>
      <w:rPr>
        <w:rFonts w:cs="Calibr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Calibri"/>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field-content">
    <w:name w:val="field-content"/>
    <w:basedOn w:val="DefaultParagraphFont"/>
    <w:rsid w:val="008C3E70"/>
    <w:rPr>
      <w:rFonts w:cs="Times New Roman"/>
    </w:rPr>
  </w:style>
  <w:style w:type="character" w:customStyle="1" w:styleId="super">
    <w:name w:val="super"/>
    <w:basedOn w:val="DefaultParagraphFont"/>
    <w:rsid w:val="008C3E70"/>
    <w:rPr>
      <w:rFonts w:cs="Times New Roman"/>
    </w:rPr>
  </w:style>
  <w:style w:type="character" w:customStyle="1" w:styleId="z-BottomofFormChar">
    <w:name w:val="z-Bottom of Form Char"/>
    <w:basedOn w:val="DefaultParagraphFont"/>
    <w:link w:val="z-BottomofForm"/>
    <w:uiPriority w:val="99"/>
    <w:semiHidden/>
    <w:rsid w:val="00B80066"/>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B80066"/>
    <w:pPr>
      <w:pBdr>
        <w:top w:val="single" w:sz="6" w:space="1" w:color="auto"/>
      </w:pBdr>
      <w:spacing w:before="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B80066"/>
    <w:rPr>
      <w:rFonts w:ascii="Arial" w:eastAsia="Times New Roman" w:hAnsi="Arial" w:cs="Arial"/>
      <w:vanish/>
      <w:sz w:val="16"/>
      <w:szCs w:val="16"/>
      <w:lang w:eastAsia="et-EE"/>
    </w:rPr>
  </w:style>
  <w:style w:type="paragraph" w:customStyle="1" w:styleId="label">
    <w:name w:val="label"/>
    <w:basedOn w:val="Normal"/>
    <w:rsid w:val="00907B06"/>
    <w:pPr>
      <w:spacing w:before="100" w:beforeAutospacing="1" w:after="100" w:afterAutospacing="1"/>
      <w:jc w:val="left"/>
    </w:pPr>
  </w:style>
  <w:style w:type="paragraph" w:styleId="z-TopofForm">
    <w:name w:val="HTML Top of Form"/>
    <w:basedOn w:val="Normal"/>
    <w:next w:val="Normal"/>
    <w:link w:val="z-TopofFormChar"/>
    <w:hidden/>
    <w:uiPriority w:val="99"/>
    <w:semiHidden/>
    <w:unhideWhenUsed/>
    <w:rsid w:val="00907B06"/>
    <w:pPr>
      <w:pBdr>
        <w:bottom w:val="single" w:sz="6" w:space="1" w:color="auto"/>
      </w:pBdr>
      <w:spacing w:befor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7B06"/>
    <w:rPr>
      <w:rFonts w:ascii="Arial" w:eastAsia="Times New Roman" w:hAnsi="Arial" w:cs="Arial"/>
      <w:vanish/>
      <w:sz w:val="16"/>
      <w:szCs w:val="16"/>
      <w:lang w:eastAsia="et-EE"/>
    </w:rPr>
  </w:style>
  <w:style w:type="paragraph" w:customStyle="1" w:styleId="field">
    <w:name w:val="field"/>
    <w:basedOn w:val="Normal"/>
    <w:rsid w:val="00907B06"/>
    <w:pPr>
      <w:spacing w:before="100" w:beforeAutospacing="1" w:after="100" w:afterAutospacing="1"/>
      <w:jc w:val="left"/>
    </w:pPr>
  </w:style>
  <w:style w:type="character" w:customStyle="1" w:styleId="button">
    <w:name w:val="button"/>
    <w:basedOn w:val="DefaultParagraphFont"/>
    <w:rsid w:val="00907B06"/>
  </w:style>
  <w:style w:type="paragraph" w:customStyle="1" w:styleId="path">
    <w:name w:val="path"/>
    <w:basedOn w:val="Normal"/>
    <w:rsid w:val="00907B06"/>
    <w:pPr>
      <w:spacing w:before="100" w:beforeAutospacing="1" w:after="100" w:afterAutospacing="1"/>
      <w:jc w:val="left"/>
    </w:pPr>
  </w:style>
  <w:style w:type="paragraph" w:customStyle="1" w:styleId="button1">
    <w:name w:val="button1"/>
    <w:basedOn w:val="Normal"/>
    <w:rsid w:val="00907B06"/>
    <w:pPr>
      <w:spacing w:before="100" w:beforeAutospacing="1" w:after="100" w:afterAutospacing="1"/>
      <w:jc w:val="left"/>
    </w:pPr>
  </w:style>
  <w:style w:type="paragraph" w:customStyle="1" w:styleId="drop-button">
    <w:name w:val="drop-button"/>
    <w:basedOn w:val="Normal"/>
    <w:rsid w:val="00907B06"/>
    <w:pPr>
      <w:spacing w:before="100" w:beforeAutospacing="1" w:after="100" w:afterAutospacing="1"/>
      <w:jc w:val="left"/>
    </w:pPr>
  </w:style>
  <w:style w:type="paragraph" w:customStyle="1" w:styleId="toggle-laws-closed">
    <w:name w:val="toggle-laws-closed"/>
    <w:basedOn w:val="Normal"/>
    <w:rsid w:val="00907B06"/>
    <w:pPr>
      <w:spacing w:before="100" w:beforeAutospacing="1" w:after="100" w:afterAutospacing="1"/>
      <w:jc w:val="left"/>
    </w:pPr>
  </w:style>
  <w:style w:type="paragraph" w:customStyle="1" w:styleId="pagenav">
    <w:name w:val="pagenav"/>
    <w:basedOn w:val="Normal"/>
    <w:rsid w:val="00907B06"/>
    <w:pPr>
      <w:spacing w:before="100" w:beforeAutospacing="1" w:after="100" w:afterAutospacing="1"/>
      <w:jc w:val="left"/>
    </w:pPr>
  </w:style>
  <w:style w:type="paragraph" w:customStyle="1" w:styleId="euro">
    <w:name w:val="euro"/>
    <w:basedOn w:val="Normal"/>
    <w:rsid w:val="00907B06"/>
    <w:pPr>
      <w:spacing w:before="100" w:beforeAutospacing="1" w:after="100" w:afterAutospacing="1"/>
      <w:jc w:val="left"/>
    </w:pPr>
  </w:style>
  <w:style w:type="paragraph" w:customStyle="1" w:styleId="copy">
    <w:name w:val="copy"/>
    <w:basedOn w:val="Normal"/>
    <w:rsid w:val="00907B06"/>
    <w:pPr>
      <w:spacing w:before="100" w:beforeAutospacing="1" w:after="100" w:afterAutospacing="1"/>
      <w:jc w:val="left"/>
    </w:pPr>
  </w:style>
  <w:style w:type="paragraph" w:customStyle="1" w:styleId="meta">
    <w:name w:val="meta"/>
    <w:basedOn w:val="Normal"/>
    <w:rsid w:val="00907B06"/>
    <w:pPr>
      <w:spacing w:before="100" w:beforeAutospacing="1" w:after="100" w:afterAutospacing="1"/>
      <w:jc w:val="left"/>
    </w:pPr>
  </w:style>
  <w:style w:type="paragraph" w:styleId="TOCHeading">
    <w:name w:val="TOC Heading"/>
    <w:basedOn w:val="Heading1"/>
    <w:next w:val="Normal"/>
    <w:uiPriority w:val="39"/>
    <w:unhideWhenUsed/>
    <w:qFormat/>
    <w:rsid w:val="00907B06"/>
    <w:pPr>
      <w:keepLines/>
      <w:numPr>
        <w:numId w:val="0"/>
      </w:numPr>
      <w:spacing w:before="120" w:line="259" w:lineRule="auto"/>
      <w:jc w:val="center"/>
      <w:outlineLvl w:val="9"/>
    </w:pPr>
    <w:rPr>
      <w:rFonts w:asciiTheme="majorHAnsi" w:eastAsiaTheme="majorEastAsia" w:hAnsiTheme="majorHAnsi" w:cstheme="majorBidi"/>
      <w:b w:val="0"/>
      <w:bCs w:val="0"/>
      <w:color w:val="2E74B5" w:themeColor="accent1" w:themeShade="BF"/>
      <w:sz w:val="32"/>
      <w:szCs w:val="32"/>
      <w:lang w:val="et-EE" w:eastAsia="et-EE"/>
    </w:rPr>
  </w:style>
  <w:style w:type="paragraph" w:styleId="NoSpacing">
    <w:name w:val="No Spacing"/>
    <w:uiPriority w:val="1"/>
    <w:qFormat/>
    <w:rsid w:val="00907B06"/>
    <w:pPr>
      <w:spacing w:after="0" w:line="240" w:lineRule="auto"/>
    </w:pPr>
    <w:rPr>
      <w:rFonts w:ascii="Times New Roman" w:hAnsi="Times New Roman"/>
      <w:sz w:val="24"/>
    </w:rPr>
  </w:style>
  <w:style w:type="character" w:customStyle="1" w:styleId="element-invisible">
    <w:name w:val="element-invisible"/>
    <w:basedOn w:val="DefaultParagraphFont"/>
    <w:rsid w:val="00907B06"/>
  </w:style>
  <w:style w:type="character" w:customStyle="1" w:styleId="highlight">
    <w:name w:val="highlight"/>
    <w:basedOn w:val="DefaultParagraphFont"/>
    <w:rsid w:val="00907B06"/>
  </w:style>
  <w:style w:type="paragraph" w:customStyle="1" w:styleId="ti-art">
    <w:name w:val="ti-art"/>
    <w:basedOn w:val="Normal"/>
    <w:rsid w:val="00907B06"/>
    <w:pPr>
      <w:spacing w:before="100" w:beforeAutospacing="1" w:after="100" w:afterAutospacing="1"/>
      <w:jc w:val="left"/>
    </w:pPr>
    <w:rPr>
      <w:lang w:val="en-GB" w:eastAsia="en-GB"/>
    </w:rPr>
  </w:style>
  <w:style w:type="paragraph" w:customStyle="1" w:styleId="sti-art">
    <w:name w:val="sti-art"/>
    <w:basedOn w:val="Normal"/>
    <w:rsid w:val="00907B06"/>
    <w:pPr>
      <w:spacing w:before="100" w:beforeAutospacing="1" w:after="100" w:afterAutospacing="1"/>
      <w:jc w:val="left"/>
    </w:pPr>
    <w:rPr>
      <w:lang w:val="en-GB" w:eastAsia="en-GB"/>
    </w:rPr>
  </w:style>
  <w:style w:type="paragraph" w:customStyle="1" w:styleId="Normal1">
    <w:name w:val="Normal1"/>
    <w:basedOn w:val="Normal"/>
    <w:rsid w:val="00907B06"/>
    <w:pPr>
      <w:spacing w:before="100" w:beforeAutospacing="1" w:after="100" w:afterAutospacing="1"/>
      <w:jc w:val="left"/>
    </w:pPr>
    <w:rPr>
      <w:lang w:val="en-GB" w:eastAsia="en-GB"/>
    </w:rPr>
  </w:style>
  <w:style w:type="paragraph" w:styleId="TOC4">
    <w:name w:val="toc 4"/>
    <w:basedOn w:val="Normal"/>
    <w:next w:val="Normal"/>
    <w:autoRedefine/>
    <w:uiPriority w:val="39"/>
    <w:unhideWhenUsed/>
    <w:rsid w:val="00907B0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07B0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07B0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07B0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07B0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07B06"/>
    <w:pPr>
      <w:spacing w:before="0" w:after="100" w:line="259" w:lineRule="auto"/>
      <w:ind w:left="1760"/>
      <w:jc w:val="left"/>
    </w:pPr>
    <w:rPr>
      <w:rFonts w:asciiTheme="minorHAnsi" w:eastAsiaTheme="minorEastAsia" w:hAnsiTheme="minorHAnsi" w:cstheme="minorBidi"/>
      <w:sz w:val="22"/>
      <w:szCs w:val="22"/>
    </w:rPr>
  </w:style>
  <w:style w:type="paragraph" w:customStyle="1" w:styleId="ti-section-2">
    <w:name w:val="ti-section-2"/>
    <w:basedOn w:val="Normal"/>
    <w:rsid w:val="00C93D1B"/>
    <w:pPr>
      <w:spacing w:before="100" w:beforeAutospacing="1" w:after="100" w:afterAutospacing="1"/>
      <w:jc w:val="left"/>
    </w:pPr>
  </w:style>
  <w:style w:type="character" w:customStyle="1" w:styleId="bold">
    <w:name w:val="bold"/>
    <w:basedOn w:val="DefaultParagraphFont"/>
    <w:rsid w:val="00C93D1B"/>
  </w:style>
  <w:style w:type="paragraph" w:customStyle="1" w:styleId="ti-grseq-1">
    <w:name w:val="ti-grseq-1"/>
    <w:basedOn w:val="Normal"/>
    <w:rsid w:val="00C93D1B"/>
    <w:pPr>
      <w:spacing w:before="100" w:beforeAutospacing="1" w:after="100" w:afterAutospacing="1"/>
      <w:jc w:val="left"/>
    </w:pPr>
  </w:style>
  <w:style w:type="character" w:customStyle="1" w:styleId="italic">
    <w:name w:val="italic"/>
    <w:basedOn w:val="DefaultParagraphFont"/>
    <w:rsid w:val="00C93D1B"/>
  </w:style>
  <w:style w:type="paragraph" w:customStyle="1" w:styleId="Normaallaad1">
    <w:name w:val="Normaallaad1"/>
    <w:basedOn w:val="Normal"/>
    <w:rsid w:val="00C93D1B"/>
    <w:pPr>
      <w:spacing w:before="100" w:beforeAutospacing="1" w:after="100" w:afterAutospacing="1"/>
      <w:jc w:val="left"/>
    </w:pPr>
  </w:style>
  <w:style w:type="paragraph" w:customStyle="1" w:styleId="ti-section-1">
    <w:name w:val="ti-section-1"/>
    <w:basedOn w:val="Normal"/>
    <w:rsid w:val="00C93D1B"/>
    <w:pPr>
      <w:spacing w:before="100" w:beforeAutospacing="1" w:after="100" w:afterAutospacing="1"/>
      <w:jc w:val="left"/>
    </w:pPr>
  </w:style>
  <w:style w:type="paragraph" w:customStyle="1" w:styleId="Normaallaad2">
    <w:name w:val="Normaallaad2"/>
    <w:basedOn w:val="Normal"/>
    <w:rsid w:val="00C93D1B"/>
    <w:pPr>
      <w:spacing w:before="100" w:beforeAutospacing="1" w:after="100" w:afterAutospacing="1"/>
      <w:jc w:val="left"/>
    </w:pPr>
  </w:style>
  <w:style w:type="paragraph" w:styleId="EndnoteText">
    <w:name w:val="endnote text"/>
    <w:basedOn w:val="Normal"/>
    <w:link w:val="EndnoteTextChar"/>
    <w:uiPriority w:val="99"/>
    <w:semiHidden/>
    <w:unhideWhenUsed/>
    <w:rsid w:val="009D6BE2"/>
    <w:pPr>
      <w:spacing w:before="0"/>
    </w:pPr>
    <w:rPr>
      <w:sz w:val="20"/>
      <w:szCs w:val="20"/>
    </w:rPr>
  </w:style>
  <w:style w:type="character" w:customStyle="1" w:styleId="EndnoteTextChar">
    <w:name w:val="Endnote Text Char"/>
    <w:basedOn w:val="DefaultParagraphFont"/>
    <w:link w:val="EndnoteText"/>
    <w:uiPriority w:val="99"/>
    <w:semiHidden/>
    <w:rsid w:val="009D6BE2"/>
    <w:rPr>
      <w:rFonts w:ascii="Times New Roman" w:eastAsia="Times New Roman" w:hAnsi="Times New Roman" w:cs="Times New Roman"/>
      <w:sz w:val="20"/>
      <w:szCs w:val="20"/>
      <w:lang w:eastAsia="et-EE"/>
    </w:rPr>
  </w:style>
  <w:style w:type="character" w:styleId="EndnoteReference">
    <w:name w:val="endnote reference"/>
    <w:basedOn w:val="DefaultParagraphFont"/>
    <w:uiPriority w:val="99"/>
    <w:semiHidden/>
    <w:unhideWhenUsed/>
    <w:rsid w:val="009D6BE2"/>
    <w:rPr>
      <w:vertAlign w:val="superscript"/>
    </w:rPr>
  </w:style>
  <w:style w:type="paragraph" w:customStyle="1" w:styleId="PointDoubleManual">
    <w:name w:val="Point Double Manual"/>
    <w:basedOn w:val="Normal"/>
    <w:rsid w:val="00CB748D"/>
    <w:pPr>
      <w:tabs>
        <w:tab w:val="left" w:pos="567"/>
      </w:tabs>
      <w:spacing w:after="120" w:line="360" w:lineRule="auto"/>
      <w:ind w:left="1134" w:hanging="1134"/>
      <w:jc w:val="left"/>
    </w:pPr>
    <w:rPr>
      <w:rFonts w:eastAsiaTheme="minorHAnsi"/>
      <w:szCs w:val="22"/>
      <w:lang w:val="en-GB" w:eastAsia="en-US"/>
    </w:rPr>
  </w:style>
  <w:style w:type="paragraph" w:customStyle="1" w:styleId="Normal2">
    <w:name w:val="Normal2"/>
    <w:basedOn w:val="Normal"/>
    <w:link w:val="NormalMrk"/>
    <w:qFormat/>
    <w:rsid w:val="003A6FC4"/>
    <w:pPr>
      <w:spacing w:before="0"/>
    </w:pPr>
    <w:rPr>
      <w:rFonts w:eastAsiaTheme="majorEastAsia"/>
      <w:bCs/>
      <w:sz w:val="22"/>
    </w:rPr>
  </w:style>
  <w:style w:type="character" w:customStyle="1" w:styleId="NormalMrk">
    <w:name w:val="Normal Märk"/>
    <w:basedOn w:val="DefaultParagraphFont"/>
    <w:link w:val="Normal2"/>
    <w:rsid w:val="003A6FC4"/>
    <w:rPr>
      <w:rFonts w:ascii="Times New Roman" w:eastAsiaTheme="majorEastAsia" w:hAnsi="Times New Roman" w:cs="Times New Roman"/>
      <w:bCs/>
      <w:szCs w:val="24"/>
      <w:lang w:eastAsia="et-EE"/>
    </w:rPr>
  </w:style>
  <w:style w:type="paragraph" w:customStyle="1" w:styleId="li">
    <w:name w:val="li"/>
    <w:basedOn w:val="Normal"/>
    <w:rsid w:val="009950C0"/>
    <w:pPr>
      <w:spacing w:before="100" w:beforeAutospacing="1" w:after="100" w:afterAutospacing="1"/>
      <w:jc w:val="left"/>
    </w:pPr>
    <w:rPr>
      <w:lang w:val="en-GB" w:eastAsia="en-GB"/>
    </w:rPr>
  </w:style>
  <w:style w:type="character" w:customStyle="1" w:styleId="num">
    <w:name w:val="num"/>
    <w:basedOn w:val="DefaultParagraphFont"/>
    <w:rsid w:val="009950C0"/>
  </w:style>
  <w:style w:type="paragraph" w:customStyle="1" w:styleId="oj-normal">
    <w:name w:val="oj-normal"/>
    <w:basedOn w:val="Normal"/>
    <w:rsid w:val="00E405BB"/>
    <w:pPr>
      <w:spacing w:before="100" w:beforeAutospacing="1" w:after="100" w:afterAutospacing="1"/>
      <w:jc w:val="left"/>
    </w:pPr>
    <w:rPr>
      <w:lang w:val="en-GB" w:eastAsia="en-GB"/>
    </w:rPr>
  </w:style>
  <w:style w:type="table" w:styleId="PlainTable1">
    <w:name w:val="Plain Table 1"/>
    <w:basedOn w:val="TableNormal"/>
    <w:uiPriority w:val="41"/>
    <w:rsid w:val="00BD37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j-super">
    <w:name w:val="oj-super"/>
    <w:basedOn w:val="DefaultParagraphFont"/>
    <w:rsid w:val="00920965"/>
  </w:style>
  <w:style w:type="paragraph" w:customStyle="1" w:styleId="oj-ti-art">
    <w:name w:val="oj-ti-art"/>
    <w:basedOn w:val="Normal"/>
    <w:rsid w:val="00D93A35"/>
    <w:pPr>
      <w:spacing w:before="100" w:beforeAutospacing="1" w:after="100" w:afterAutospacing="1"/>
      <w:jc w:val="left"/>
    </w:pPr>
  </w:style>
  <w:style w:type="paragraph" w:customStyle="1" w:styleId="oj-sti-art">
    <w:name w:val="oj-sti-art"/>
    <w:basedOn w:val="Normal"/>
    <w:rsid w:val="00D93A35"/>
    <w:pPr>
      <w:spacing w:before="100" w:beforeAutospacing="1" w:after="100" w:afterAutospacing="1"/>
      <w:jc w:val="left"/>
    </w:pPr>
  </w:style>
  <w:style w:type="character" w:customStyle="1" w:styleId="oj-italic">
    <w:name w:val="oj-italic"/>
    <w:basedOn w:val="DefaultParagraphFont"/>
    <w:rsid w:val="00B370CA"/>
  </w:style>
  <w:style w:type="table" w:customStyle="1" w:styleId="Kontuurtabel1">
    <w:name w:val="Kontuurtabel1"/>
    <w:basedOn w:val="TableNormal"/>
    <w:next w:val="TableGrid"/>
    <w:uiPriority w:val="39"/>
    <w:rsid w:val="00390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TableNormal"/>
    <w:next w:val="TableGrid"/>
    <w:uiPriority w:val="39"/>
    <w:rsid w:val="00A938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DefaultParagraphFont"/>
    <w:uiPriority w:val="99"/>
    <w:semiHidden/>
    <w:unhideWhenUsed/>
    <w:rsid w:val="00AC6BA3"/>
    <w:rPr>
      <w:color w:val="605E5C"/>
      <w:shd w:val="clear" w:color="auto" w:fill="E1DFDD"/>
    </w:rPr>
  </w:style>
  <w:style w:type="paragraph" w:customStyle="1" w:styleId="SLONormal">
    <w:name w:val="SLO Normal"/>
    <w:qFormat/>
    <w:rsid w:val="0005585D"/>
    <w:pPr>
      <w:spacing w:before="120" w:after="120" w:line="240" w:lineRule="auto"/>
      <w:jc w:val="both"/>
    </w:pPr>
    <w:rPr>
      <w:rFonts w:ascii="Times New Roman" w:eastAsia="Times New Roman" w:hAnsi="Times New Roman" w:cs="Times New Roman"/>
      <w:sz w:val="24"/>
      <w:szCs w:val="24"/>
      <w:lang w:val="en-GB"/>
    </w:rPr>
  </w:style>
  <w:style w:type="table" w:styleId="GridTable4-Accent5">
    <w:name w:val="Grid Table 4 Accent 5"/>
    <w:basedOn w:val="TableNormal"/>
    <w:uiPriority w:val="49"/>
    <w:rsid w:val="005508E5"/>
    <w:pPr>
      <w:spacing w:after="0" w:line="240" w:lineRule="auto"/>
    </w:pPr>
    <w:rPr>
      <w:rFonts w:ascii="Calibri" w:eastAsia="Calibri" w:hAnsi="Calibri" w:cs="Calibri"/>
      <w:sz w:val="21"/>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unhideWhenUsed/>
    <w:rsid w:val="00804802"/>
    <w:pPr>
      <w:spacing w:before="0"/>
      <w:jc w:val="left"/>
    </w:pPr>
    <w:rPr>
      <w:rFonts w:ascii="Consolas" w:hAnsi="Consolas"/>
      <w:sz w:val="21"/>
      <w:szCs w:val="21"/>
      <w:lang w:eastAsia="en-US"/>
    </w:rPr>
  </w:style>
  <w:style w:type="character" w:customStyle="1" w:styleId="PlainTextChar">
    <w:name w:val="Plain Text Char"/>
    <w:basedOn w:val="DefaultParagraphFont"/>
    <w:link w:val="PlainText"/>
    <w:uiPriority w:val="99"/>
    <w:rsid w:val="00804802"/>
    <w:rPr>
      <w:rFonts w:ascii="Consolas" w:eastAsia="Times New Roman" w:hAnsi="Consolas" w:cs="Times New Roman"/>
      <w:sz w:val="21"/>
      <w:szCs w:val="21"/>
    </w:rPr>
  </w:style>
  <w:style w:type="paragraph" w:customStyle="1" w:styleId="oj-doc-ti">
    <w:name w:val="oj-doc-ti"/>
    <w:basedOn w:val="Normal"/>
    <w:rsid w:val="00804802"/>
    <w:pPr>
      <w:spacing w:before="100" w:beforeAutospacing="1" w:after="100" w:afterAutospacing="1"/>
      <w:jc w:val="left"/>
    </w:pPr>
  </w:style>
  <w:style w:type="paragraph" w:customStyle="1" w:styleId="text10">
    <w:name w:val="text1"/>
    <w:basedOn w:val="Normal"/>
    <w:rsid w:val="00804802"/>
    <w:pPr>
      <w:spacing w:before="100" w:beforeAutospacing="1" w:after="100" w:afterAutospacing="1"/>
      <w:jc w:val="left"/>
    </w:pPr>
    <w:rPr>
      <w:lang w:val="en-GB" w:eastAsia="en-GB"/>
    </w:rPr>
  </w:style>
  <w:style w:type="paragraph" w:customStyle="1" w:styleId="muutmisksk">
    <w:name w:val="muutmiskäsk"/>
    <w:basedOn w:val="Normal"/>
    <w:qFormat/>
    <w:rsid w:val="00804802"/>
    <w:pPr>
      <w:widowControl w:val="0"/>
      <w:autoSpaceDN w:val="0"/>
      <w:adjustRightInd w:val="0"/>
      <w:spacing w:before="240"/>
    </w:pPr>
  </w:style>
  <w:style w:type="paragraph" w:customStyle="1" w:styleId="titrearticle0">
    <w:name w:val="titrearticle"/>
    <w:basedOn w:val="Normal"/>
    <w:rsid w:val="00804802"/>
    <w:pPr>
      <w:spacing w:before="100" w:beforeAutospacing="1" w:after="100" w:afterAutospacing="1"/>
      <w:jc w:val="left"/>
    </w:pPr>
    <w:rPr>
      <w:lang w:val="en-GB" w:eastAsia="en-GB"/>
    </w:rPr>
  </w:style>
  <w:style w:type="character" w:styleId="UnresolvedMention">
    <w:name w:val="Unresolved Mention"/>
    <w:basedOn w:val="DefaultParagraphFont"/>
    <w:uiPriority w:val="99"/>
    <w:semiHidden/>
    <w:unhideWhenUsed/>
    <w:rsid w:val="00A3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042">
      <w:bodyDiv w:val="1"/>
      <w:marLeft w:val="0"/>
      <w:marRight w:val="0"/>
      <w:marTop w:val="0"/>
      <w:marBottom w:val="0"/>
      <w:divBdr>
        <w:top w:val="none" w:sz="0" w:space="0" w:color="auto"/>
        <w:left w:val="none" w:sz="0" w:space="0" w:color="auto"/>
        <w:bottom w:val="none" w:sz="0" w:space="0" w:color="auto"/>
        <w:right w:val="none" w:sz="0" w:space="0" w:color="auto"/>
      </w:divBdr>
    </w:div>
    <w:div w:id="26833594">
      <w:bodyDiv w:val="1"/>
      <w:marLeft w:val="0"/>
      <w:marRight w:val="0"/>
      <w:marTop w:val="0"/>
      <w:marBottom w:val="0"/>
      <w:divBdr>
        <w:top w:val="none" w:sz="0" w:space="0" w:color="auto"/>
        <w:left w:val="none" w:sz="0" w:space="0" w:color="auto"/>
        <w:bottom w:val="none" w:sz="0" w:space="0" w:color="auto"/>
        <w:right w:val="none" w:sz="0" w:space="0" w:color="auto"/>
      </w:divBdr>
    </w:div>
    <w:div w:id="50856378">
      <w:bodyDiv w:val="1"/>
      <w:marLeft w:val="0"/>
      <w:marRight w:val="0"/>
      <w:marTop w:val="0"/>
      <w:marBottom w:val="0"/>
      <w:divBdr>
        <w:top w:val="none" w:sz="0" w:space="0" w:color="auto"/>
        <w:left w:val="none" w:sz="0" w:space="0" w:color="auto"/>
        <w:bottom w:val="none" w:sz="0" w:space="0" w:color="auto"/>
        <w:right w:val="none" w:sz="0" w:space="0" w:color="auto"/>
      </w:divBdr>
    </w:div>
    <w:div w:id="56361132">
      <w:bodyDiv w:val="1"/>
      <w:marLeft w:val="0"/>
      <w:marRight w:val="0"/>
      <w:marTop w:val="0"/>
      <w:marBottom w:val="0"/>
      <w:divBdr>
        <w:top w:val="none" w:sz="0" w:space="0" w:color="auto"/>
        <w:left w:val="none" w:sz="0" w:space="0" w:color="auto"/>
        <w:bottom w:val="none" w:sz="0" w:space="0" w:color="auto"/>
        <w:right w:val="none" w:sz="0" w:space="0" w:color="auto"/>
      </w:divBdr>
    </w:div>
    <w:div w:id="105391647">
      <w:bodyDiv w:val="1"/>
      <w:marLeft w:val="0"/>
      <w:marRight w:val="0"/>
      <w:marTop w:val="0"/>
      <w:marBottom w:val="0"/>
      <w:divBdr>
        <w:top w:val="none" w:sz="0" w:space="0" w:color="auto"/>
        <w:left w:val="none" w:sz="0" w:space="0" w:color="auto"/>
        <w:bottom w:val="none" w:sz="0" w:space="0" w:color="auto"/>
        <w:right w:val="none" w:sz="0" w:space="0" w:color="auto"/>
      </w:divBdr>
    </w:div>
    <w:div w:id="139420749">
      <w:bodyDiv w:val="1"/>
      <w:marLeft w:val="0"/>
      <w:marRight w:val="0"/>
      <w:marTop w:val="0"/>
      <w:marBottom w:val="0"/>
      <w:divBdr>
        <w:top w:val="none" w:sz="0" w:space="0" w:color="auto"/>
        <w:left w:val="none" w:sz="0" w:space="0" w:color="auto"/>
        <w:bottom w:val="none" w:sz="0" w:space="0" w:color="auto"/>
        <w:right w:val="none" w:sz="0" w:space="0" w:color="auto"/>
      </w:divBdr>
    </w:div>
    <w:div w:id="160196786">
      <w:bodyDiv w:val="1"/>
      <w:marLeft w:val="0"/>
      <w:marRight w:val="0"/>
      <w:marTop w:val="0"/>
      <w:marBottom w:val="0"/>
      <w:divBdr>
        <w:top w:val="none" w:sz="0" w:space="0" w:color="auto"/>
        <w:left w:val="none" w:sz="0" w:space="0" w:color="auto"/>
        <w:bottom w:val="none" w:sz="0" w:space="0" w:color="auto"/>
        <w:right w:val="none" w:sz="0" w:space="0" w:color="auto"/>
      </w:divBdr>
    </w:div>
    <w:div w:id="176502886">
      <w:bodyDiv w:val="1"/>
      <w:marLeft w:val="0"/>
      <w:marRight w:val="0"/>
      <w:marTop w:val="0"/>
      <w:marBottom w:val="0"/>
      <w:divBdr>
        <w:top w:val="none" w:sz="0" w:space="0" w:color="auto"/>
        <w:left w:val="none" w:sz="0" w:space="0" w:color="auto"/>
        <w:bottom w:val="none" w:sz="0" w:space="0" w:color="auto"/>
        <w:right w:val="none" w:sz="0" w:space="0" w:color="auto"/>
      </w:divBdr>
    </w:div>
    <w:div w:id="194540257">
      <w:bodyDiv w:val="1"/>
      <w:marLeft w:val="0"/>
      <w:marRight w:val="0"/>
      <w:marTop w:val="0"/>
      <w:marBottom w:val="0"/>
      <w:divBdr>
        <w:top w:val="none" w:sz="0" w:space="0" w:color="auto"/>
        <w:left w:val="none" w:sz="0" w:space="0" w:color="auto"/>
        <w:bottom w:val="none" w:sz="0" w:space="0" w:color="auto"/>
        <w:right w:val="none" w:sz="0" w:space="0" w:color="auto"/>
      </w:divBdr>
    </w:div>
    <w:div w:id="197741012">
      <w:bodyDiv w:val="1"/>
      <w:marLeft w:val="0"/>
      <w:marRight w:val="0"/>
      <w:marTop w:val="0"/>
      <w:marBottom w:val="0"/>
      <w:divBdr>
        <w:top w:val="none" w:sz="0" w:space="0" w:color="auto"/>
        <w:left w:val="none" w:sz="0" w:space="0" w:color="auto"/>
        <w:bottom w:val="none" w:sz="0" w:space="0" w:color="auto"/>
        <w:right w:val="none" w:sz="0" w:space="0" w:color="auto"/>
      </w:divBdr>
    </w:div>
    <w:div w:id="198398837">
      <w:bodyDiv w:val="1"/>
      <w:marLeft w:val="0"/>
      <w:marRight w:val="0"/>
      <w:marTop w:val="0"/>
      <w:marBottom w:val="0"/>
      <w:divBdr>
        <w:top w:val="none" w:sz="0" w:space="0" w:color="auto"/>
        <w:left w:val="none" w:sz="0" w:space="0" w:color="auto"/>
        <w:bottom w:val="none" w:sz="0" w:space="0" w:color="auto"/>
        <w:right w:val="none" w:sz="0" w:space="0" w:color="auto"/>
      </w:divBdr>
    </w:div>
    <w:div w:id="221448237">
      <w:bodyDiv w:val="1"/>
      <w:marLeft w:val="0"/>
      <w:marRight w:val="0"/>
      <w:marTop w:val="0"/>
      <w:marBottom w:val="0"/>
      <w:divBdr>
        <w:top w:val="none" w:sz="0" w:space="0" w:color="auto"/>
        <w:left w:val="none" w:sz="0" w:space="0" w:color="auto"/>
        <w:bottom w:val="none" w:sz="0" w:space="0" w:color="auto"/>
        <w:right w:val="none" w:sz="0" w:space="0" w:color="auto"/>
      </w:divBdr>
    </w:div>
    <w:div w:id="224412009">
      <w:bodyDiv w:val="1"/>
      <w:marLeft w:val="0"/>
      <w:marRight w:val="0"/>
      <w:marTop w:val="0"/>
      <w:marBottom w:val="0"/>
      <w:divBdr>
        <w:top w:val="none" w:sz="0" w:space="0" w:color="auto"/>
        <w:left w:val="none" w:sz="0" w:space="0" w:color="auto"/>
        <w:bottom w:val="none" w:sz="0" w:space="0" w:color="auto"/>
        <w:right w:val="none" w:sz="0" w:space="0" w:color="auto"/>
      </w:divBdr>
    </w:div>
    <w:div w:id="256136780">
      <w:bodyDiv w:val="1"/>
      <w:marLeft w:val="0"/>
      <w:marRight w:val="0"/>
      <w:marTop w:val="0"/>
      <w:marBottom w:val="0"/>
      <w:divBdr>
        <w:top w:val="none" w:sz="0" w:space="0" w:color="auto"/>
        <w:left w:val="none" w:sz="0" w:space="0" w:color="auto"/>
        <w:bottom w:val="none" w:sz="0" w:space="0" w:color="auto"/>
        <w:right w:val="none" w:sz="0" w:space="0" w:color="auto"/>
      </w:divBdr>
    </w:div>
    <w:div w:id="298416045">
      <w:bodyDiv w:val="1"/>
      <w:marLeft w:val="0"/>
      <w:marRight w:val="0"/>
      <w:marTop w:val="0"/>
      <w:marBottom w:val="0"/>
      <w:divBdr>
        <w:top w:val="none" w:sz="0" w:space="0" w:color="auto"/>
        <w:left w:val="none" w:sz="0" w:space="0" w:color="auto"/>
        <w:bottom w:val="none" w:sz="0" w:space="0" w:color="auto"/>
        <w:right w:val="none" w:sz="0" w:space="0" w:color="auto"/>
      </w:divBdr>
    </w:div>
    <w:div w:id="388454819">
      <w:bodyDiv w:val="1"/>
      <w:marLeft w:val="0"/>
      <w:marRight w:val="0"/>
      <w:marTop w:val="0"/>
      <w:marBottom w:val="0"/>
      <w:divBdr>
        <w:top w:val="none" w:sz="0" w:space="0" w:color="auto"/>
        <w:left w:val="none" w:sz="0" w:space="0" w:color="auto"/>
        <w:bottom w:val="none" w:sz="0" w:space="0" w:color="auto"/>
        <w:right w:val="none" w:sz="0" w:space="0" w:color="auto"/>
      </w:divBdr>
    </w:div>
    <w:div w:id="440954404">
      <w:bodyDiv w:val="1"/>
      <w:marLeft w:val="0"/>
      <w:marRight w:val="0"/>
      <w:marTop w:val="0"/>
      <w:marBottom w:val="0"/>
      <w:divBdr>
        <w:top w:val="none" w:sz="0" w:space="0" w:color="auto"/>
        <w:left w:val="none" w:sz="0" w:space="0" w:color="auto"/>
        <w:bottom w:val="none" w:sz="0" w:space="0" w:color="auto"/>
        <w:right w:val="none" w:sz="0" w:space="0" w:color="auto"/>
      </w:divBdr>
    </w:div>
    <w:div w:id="442388566">
      <w:bodyDiv w:val="1"/>
      <w:marLeft w:val="0"/>
      <w:marRight w:val="0"/>
      <w:marTop w:val="0"/>
      <w:marBottom w:val="0"/>
      <w:divBdr>
        <w:top w:val="none" w:sz="0" w:space="0" w:color="auto"/>
        <w:left w:val="none" w:sz="0" w:space="0" w:color="auto"/>
        <w:bottom w:val="none" w:sz="0" w:space="0" w:color="auto"/>
        <w:right w:val="none" w:sz="0" w:space="0" w:color="auto"/>
      </w:divBdr>
      <w:divsChild>
        <w:div w:id="1197503486">
          <w:marLeft w:val="0"/>
          <w:marRight w:val="0"/>
          <w:marTop w:val="0"/>
          <w:marBottom w:val="0"/>
          <w:divBdr>
            <w:top w:val="none" w:sz="0" w:space="0" w:color="auto"/>
            <w:left w:val="none" w:sz="0" w:space="0" w:color="auto"/>
            <w:bottom w:val="none" w:sz="0" w:space="0" w:color="auto"/>
            <w:right w:val="none" w:sz="0" w:space="0" w:color="auto"/>
          </w:divBdr>
        </w:div>
        <w:div w:id="1719626450">
          <w:marLeft w:val="0"/>
          <w:marRight w:val="0"/>
          <w:marTop w:val="0"/>
          <w:marBottom w:val="0"/>
          <w:divBdr>
            <w:top w:val="none" w:sz="0" w:space="0" w:color="auto"/>
            <w:left w:val="none" w:sz="0" w:space="0" w:color="auto"/>
            <w:bottom w:val="none" w:sz="0" w:space="0" w:color="auto"/>
            <w:right w:val="none" w:sz="0" w:space="0" w:color="auto"/>
          </w:divBdr>
        </w:div>
        <w:div w:id="2054692422">
          <w:marLeft w:val="0"/>
          <w:marRight w:val="0"/>
          <w:marTop w:val="0"/>
          <w:marBottom w:val="0"/>
          <w:divBdr>
            <w:top w:val="none" w:sz="0" w:space="0" w:color="auto"/>
            <w:left w:val="none" w:sz="0" w:space="0" w:color="auto"/>
            <w:bottom w:val="none" w:sz="0" w:space="0" w:color="auto"/>
            <w:right w:val="none" w:sz="0" w:space="0" w:color="auto"/>
          </w:divBdr>
        </w:div>
      </w:divsChild>
    </w:div>
    <w:div w:id="479687152">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43102058">
      <w:bodyDiv w:val="1"/>
      <w:marLeft w:val="0"/>
      <w:marRight w:val="0"/>
      <w:marTop w:val="0"/>
      <w:marBottom w:val="0"/>
      <w:divBdr>
        <w:top w:val="none" w:sz="0" w:space="0" w:color="auto"/>
        <w:left w:val="none" w:sz="0" w:space="0" w:color="auto"/>
        <w:bottom w:val="none" w:sz="0" w:space="0" w:color="auto"/>
        <w:right w:val="none" w:sz="0" w:space="0" w:color="auto"/>
      </w:divBdr>
    </w:div>
    <w:div w:id="549726594">
      <w:bodyDiv w:val="1"/>
      <w:marLeft w:val="0"/>
      <w:marRight w:val="0"/>
      <w:marTop w:val="0"/>
      <w:marBottom w:val="0"/>
      <w:divBdr>
        <w:top w:val="none" w:sz="0" w:space="0" w:color="auto"/>
        <w:left w:val="none" w:sz="0" w:space="0" w:color="auto"/>
        <w:bottom w:val="none" w:sz="0" w:space="0" w:color="auto"/>
        <w:right w:val="none" w:sz="0" w:space="0" w:color="auto"/>
      </w:divBdr>
    </w:div>
    <w:div w:id="585303739">
      <w:bodyDiv w:val="1"/>
      <w:marLeft w:val="0"/>
      <w:marRight w:val="0"/>
      <w:marTop w:val="0"/>
      <w:marBottom w:val="0"/>
      <w:divBdr>
        <w:top w:val="none" w:sz="0" w:space="0" w:color="auto"/>
        <w:left w:val="none" w:sz="0" w:space="0" w:color="auto"/>
        <w:bottom w:val="none" w:sz="0" w:space="0" w:color="auto"/>
        <w:right w:val="none" w:sz="0" w:space="0" w:color="auto"/>
      </w:divBdr>
    </w:div>
    <w:div w:id="612443526">
      <w:bodyDiv w:val="1"/>
      <w:marLeft w:val="0"/>
      <w:marRight w:val="0"/>
      <w:marTop w:val="0"/>
      <w:marBottom w:val="0"/>
      <w:divBdr>
        <w:top w:val="none" w:sz="0" w:space="0" w:color="auto"/>
        <w:left w:val="none" w:sz="0" w:space="0" w:color="auto"/>
        <w:bottom w:val="none" w:sz="0" w:space="0" w:color="auto"/>
        <w:right w:val="none" w:sz="0" w:space="0" w:color="auto"/>
      </w:divBdr>
    </w:div>
    <w:div w:id="629868004">
      <w:bodyDiv w:val="1"/>
      <w:marLeft w:val="0"/>
      <w:marRight w:val="0"/>
      <w:marTop w:val="0"/>
      <w:marBottom w:val="0"/>
      <w:divBdr>
        <w:top w:val="none" w:sz="0" w:space="0" w:color="auto"/>
        <w:left w:val="none" w:sz="0" w:space="0" w:color="auto"/>
        <w:bottom w:val="none" w:sz="0" w:space="0" w:color="auto"/>
        <w:right w:val="none" w:sz="0" w:space="0" w:color="auto"/>
      </w:divBdr>
    </w:div>
    <w:div w:id="637078636">
      <w:bodyDiv w:val="1"/>
      <w:marLeft w:val="0"/>
      <w:marRight w:val="0"/>
      <w:marTop w:val="0"/>
      <w:marBottom w:val="0"/>
      <w:divBdr>
        <w:top w:val="none" w:sz="0" w:space="0" w:color="auto"/>
        <w:left w:val="none" w:sz="0" w:space="0" w:color="auto"/>
        <w:bottom w:val="none" w:sz="0" w:space="0" w:color="auto"/>
        <w:right w:val="none" w:sz="0" w:space="0" w:color="auto"/>
      </w:divBdr>
    </w:div>
    <w:div w:id="699664806">
      <w:bodyDiv w:val="1"/>
      <w:marLeft w:val="0"/>
      <w:marRight w:val="0"/>
      <w:marTop w:val="0"/>
      <w:marBottom w:val="0"/>
      <w:divBdr>
        <w:top w:val="none" w:sz="0" w:space="0" w:color="auto"/>
        <w:left w:val="none" w:sz="0" w:space="0" w:color="auto"/>
        <w:bottom w:val="none" w:sz="0" w:space="0" w:color="auto"/>
        <w:right w:val="none" w:sz="0" w:space="0" w:color="auto"/>
      </w:divBdr>
    </w:div>
    <w:div w:id="704985878">
      <w:bodyDiv w:val="1"/>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
        <w:div w:id="753937924">
          <w:marLeft w:val="0"/>
          <w:marRight w:val="0"/>
          <w:marTop w:val="0"/>
          <w:marBottom w:val="0"/>
          <w:divBdr>
            <w:top w:val="none" w:sz="0" w:space="0" w:color="auto"/>
            <w:left w:val="none" w:sz="0" w:space="0" w:color="auto"/>
            <w:bottom w:val="none" w:sz="0" w:space="0" w:color="auto"/>
            <w:right w:val="none" w:sz="0" w:space="0" w:color="auto"/>
          </w:divBdr>
        </w:div>
        <w:div w:id="1752238852">
          <w:marLeft w:val="0"/>
          <w:marRight w:val="0"/>
          <w:marTop w:val="0"/>
          <w:marBottom w:val="0"/>
          <w:divBdr>
            <w:top w:val="none" w:sz="0" w:space="0" w:color="auto"/>
            <w:left w:val="none" w:sz="0" w:space="0" w:color="auto"/>
            <w:bottom w:val="none" w:sz="0" w:space="0" w:color="auto"/>
            <w:right w:val="none" w:sz="0" w:space="0" w:color="auto"/>
          </w:divBdr>
        </w:div>
        <w:div w:id="1965652185">
          <w:marLeft w:val="0"/>
          <w:marRight w:val="0"/>
          <w:marTop w:val="0"/>
          <w:marBottom w:val="0"/>
          <w:divBdr>
            <w:top w:val="none" w:sz="0" w:space="0" w:color="auto"/>
            <w:left w:val="none" w:sz="0" w:space="0" w:color="auto"/>
            <w:bottom w:val="none" w:sz="0" w:space="0" w:color="auto"/>
            <w:right w:val="none" w:sz="0" w:space="0" w:color="auto"/>
          </w:divBdr>
        </w:div>
      </w:divsChild>
    </w:div>
    <w:div w:id="719479912">
      <w:bodyDiv w:val="1"/>
      <w:marLeft w:val="0"/>
      <w:marRight w:val="0"/>
      <w:marTop w:val="0"/>
      <w:marBottom w:val="0"/>
      <w:divBdr>
        <w:top w:val="none" w:sz="0" w:space="0" w:color="auto"/>
        <w:left w:val="none" w:sz="0" w:space="0" w:color="auto"/>
        <w:bottom w:val="none" w:sz="0" w:space="0" w:color="auto"/>
        <w:right w:val="none" w:sz="0" w:space="0" w:color="auto"/>
      </w:divBdr>
    </w:div>
    <w:div w:id="731394766">
      <w:bodyDiv w:val="1"/>
      <w:marLeft w:val="0"/>
      <w:marRight w:val="0"/>
      <w:marTop w:val="0"/>
      <w:marBottom w:val="0"/>
      <w:divBdr>
        <w:top w:val="none" w:sz="0" w:space="0" w:color="auto"/>
        <w:left w:val="none" w:sz="0" w:space="0" w:color="auto"/>
        <w:bottom w:val="none" w:sz="0" w:space="0" w:color="auto"/>
        <w:right w:val="none" w:sz="0" w:space="0" w:color="auto"/>
      </w:divBdr>
    </w:div>
    <w:div w:id="744111216">
      <w:bodyDiv w:val="1"/>
      <w:marLeft w:val="0"/>
      <w:marRight w:val="0"/>
      <w:marTop w:val="0"/>
      <w:marBottom w:val="0"/>
      <w:divBdr>
        <w:top w:val="none" w:sz="0" w:space="0" w:color="auto"/>
        <w:left w:val="none" w:sz="0" w:space="0" w:color="auto"/>
        <w:bottom w:val="none" w:sz="0" w:space="0" w:color="auto"/>
        <w:right w:val="none" w:sz="0" w:space="0" w:color="auto"/>
      </w:divBdr>
    </w:div>
    <w:div w:id="747850216">
      <w:bodyDiv w:val="1"/>
      <w:marLeft w:val="0"/>
      <w:marRight w:val="0"/>
      <w:marTop w:val="0"/>
      <w:marBottom w:val="0"/>
      <w:divBdr>
        <w:top w:val="none" w:sz="0" w:space="0" w:color="auto"/>
        <w:left w:val="none" w:sz="0" w:space="0" w:color="auto"/>
        <w:bottom w:val="none" w:sz="0" w:space="0" w:color="auto"/>
        <w:right w:val="none" w:sz="0" w:space="0" w:color="auto"/>
      </w:divBdr>
    </w:div>
    <w:div w:id="753821032">
      <w:bodyDiv w:val="1"/>
      <w:marLeft w:val="0"/>
      <w:marRight w:val="0"/>
      <w:marTop w:val="0"/>
      <w:marBottom w:val="0"/>
      <w:divBdr>
        <w:top w:val="none" w:sz="0" w:space="0" w:color="auto"/>
        <w:left w:val="none" w:sz="0" w:space="0" w:color="auto"/>
        <w:bottom w:val="none" w:sz="0" w:space="0" w:color="auto"/>
        <w:right w:val="none" w:sz="0" w:space="0" w:color="auto"/>
      </w:divBdr>
    </w:div>
    <w:div w:id="769393896">
      <w:bodyDiv w:val="1"/>
      <w:marLeft w:val="0"/>
      <w:marRight w:val="0"/>
      <w:marTop w:val="0"/>
      <w:marBottom w:val="0"/>
      <w:divBdr>
        <w:top w:val="none" w:sz="0" w:space="0" w:color="auto"/>
        <w:left w:val="none" w:sz="0" w:space="0" w:color="auto"/>
        <w:bottom w:val="none" w:sz="0" w:space="0" w:color="auto"/>
        <w:right w:val="none" w:sz="0" w:space="0" w:color="auto"/>
      </w:divBdr>
    </w:div>
    <w:div w:id="788278287">
      <w:bodyDiv w:val="1"/>
      <w:marLeft w:val="0"/>
      <w:marRight w:val="0"/>
      <w:marTop w:val="0"/>
      <w:marBottom w:val="0"/>
      <w:divBdr>
        <w:top w:val="none" w:sz="0" w:space="0" w:color="auto"/>
        <w:left w:val="none" w:sz="0" w:space="0" w:color="auto"/>
        <w:bottom w:val="none" w:sz="0" w:space="0" w:color="auto"/>
        <w:right w:val="none" w:sz="0" w:space="0" w:color="auto"/>
      </w:divBdr>
    </w:div>
    <w:div w:id="858666981">
      <w:bodyDiv w:val="1"/>
      <w:marLeft w:val="0"/>
      <w:marRight w:val="0"/>
      <w:marTop w:val="0"/>
      <w:marBottom w:val="0"/>
      <w:divBdr>
        <w:top w:val="none" w:sz="0" w:space="0" w:color="auto"/>
        <w:left w:val="none" w:sz="0" w:space="0" w:color="auto"/>
        <w:bottom w:val="none" w:sz="0" w:space="0" w:color="auto"/>
        <w:right w:val="none" w:sz="0" w:space="0" w:color="auto"/>
      </w:divBdr>
    </w:div>
    <w:div w:id="892424748">
      <w:bodyDiv w:val="1"/>
      <w:marLeft w:val="0"/>
      <w:marRight w:val="0"/>
      <w:marTop w:val="0"/>
      <w:marBottom w:val="0"/>
      <w:divBdr>
        <w:top w:val="none" w:sz="0" w:space="0" w:color="auto"/>
        <w:left w:val="none" w:sz="0" w:space="0" w:color="auto"/>
        <w:bottom w:val="none" w:sz="0" w:space="0" w:color="auto"/>
        <w:right w:val="none" w:sz="0" w:space="0" w:color="auto"/>
      </w:divBdr>
    </w:div>
    <w:div w:id="934479756">
      <w:bodyDiv w:val="1"/>
      <w:marLeft w:val="0"/>
      <w:marRight w:val="0"/>
      <w:marTop w:val="0"/>
      <w:marBottom w:val="0"/>
      <w:divBdr>
        <w:top w:val="none" w:sz="0" w:space="0" w:color="auto"/>
        <w:left w:val="none" w:sz="0" w:space="0" w:color="auto"/>
        <w:bottom w:val="none" w:sz="0" w:space="0" w:color="auto"/>
        <w:right w:val="none" w:sz="0" w:space="0" w:color="auto"/>
      </w:divBdr>
      <w:divsChild>
        <w:div w:id="8416038">
          <w:marLeft w:val="0"/>
          <w:marRight w:val="0"/>
          <w:marTop w:val="0"/>
          <w:marBottom w:val="0"/>
          <w:divBdr>
            <w:top w:val="none" w:sz="0" w:space="0" w:color="auto"/>
            <w:left w:val="none" w:sz="0" w:space="0" w:color="auto"/>
            <w:bottom w:val="none" w:sz="0" w:space="0" w:color="auto"/>
            <w:right w:val="none" w:sz="0" w:space="0" w:color="auto"/>
          </w:divBdr>
        </w:div>
      </w:divsChild>
    </w:div>
    <w:div w:id="937981320">
      <w:bodyDiv w:val="1"/>
      <w:marLeft w:val="0"/>
      <w:marRight w:val="0"/>
      <w:marTop w:val="0"/>
      <w:marBottom w:val="0"/>
      <w:divBdr>
        <w:top w:val="none" w:sz="0" w:space="0" w:color="auto"/>
        <w:left w:val="none" w:sz="0" w:space="0" w:color="auto"/>
        <w:bottom w:val="none" w:sz="0" w:space="0" w:color="auto"/>
        <w:right w:val="none" w:sz="0" w:space="0" w:color="auto"/>
      </w:divBdr>
    </w:div>
    <w:div w:id="943264357">
      <w:bodyDiv w:val="1"/>
      <w:marLeft w:val="0"/>
      <w:marRight w:val="0"/>
      <w:marTop w:val="0"/>
      <w:marBottom w:val="0"/>
      <w:divBdr>
        <w:top w:val="none" w:sz="0" w:space="0" w:color="auto"/>
        <w:left w:val="none" w:sz="0" w:space="0" w:color="auto"/>
        <w:bottom w:val="none" w:sz="0" w:space="0" w:color="auto"/>
        <w:right w:val="none" w:sz="0" w:space="0" w:color="auto"/>
      </w:divBdr>
    </w:div>
    <w:div w:id="973215955">
      <w:bodyDiv w:val="1"/>
      <w:marLeft w:val="0"/>
      <w:marRight w:val="0"/>
      <w:marTop w:val="0"/>
      <w:marBottom w:val="0"/>
      <w:divBdr>
        <w:top w:val="none" w:sz="0" w:space="0" w:color="auto"/>
        <w:left w:val="none" w:sz="0" w:space="0" w:color="auto"/>
        <w:bottom w:val="none" w:sz="0" w:space="0" w:color="auto"/>
        <w:right w:val="none" w:sz="0" w:space="0" w:color="auto"/>
      </w:divBdr>
    </w:div>
    <w:div w:id="974215600">
      <w:bodyDiv w:val="1"/>
      <w:marLeft w:val="0"/>
      <w:marRight w:val="0"/>
      <w:marTop w:val="0"/>
      <w:marBottom w:val="0"/>
      <w:divBdr>
        <w:top w:val="none" w:sz="0" w:space="0" w:color="auto"/>
        <w:left w:val="none" w:sz="0" w:space="0" w:color="auto"/>
        <w:bottom w:val="none" w:sz="0" w:space="0" w:color="auto"/>
        <w:right w:val="none" w:sz="0" w:space="0" w:color="auto"/>
      </w:divBdr>
    </w:div>
    <w:div w:id="975910798">
      <w:bodyDiv w:val="1"/>
      <w:marLeft w:val="0"/>
      <w:marRight w:val="0"/>
      <w:marTop w:val="0"/>
      <w:marBottom w:val="0"/>
      <w:divBdr>
        <w:top w:val="none" w:sz="0" w:space="0" w:color="auto"/>
        <w:left w:val="none" w:sz="0" w:space="0" w:color="auto"/>
        <w:bottom w:val="none" w:sz="0" w:space="0" w:color="auto"/>
        <w:right w:val="none" w:sz="0" w:space="0" w:color="auto"/>
      </w:divBdr>
    </w:div>
    <w:div w:id="977688178">
      <w:bodyDiv w:val="1"/>
      <w:marLeft w:val="0"/>
      <w:marRight w:val="0"/>
      <w:marTop w:val="0"/>
      <w:marBottom w:val="0"/>
      <w:divBdr>
        <w:top w:val="none" w:sz="0" w:space="0" w:color="auto"/>
        <w:left w:val="none" w:sz="0" w:space="0" w:color="auto"/>
        <w:bottom w:val="none" w:sz="0" w:space="0" w:color="auto"/>
        <w:right w:val="none" w:sz="0" w:space="0" w:color="auto"/>
      </w:divBdr>
    </w:div>
    <w:div w:id="1001667160">
      <w:bodyDiv w:val="1"/>
      <w:marLeft w:val="0"/>
      <w:marRight w:val="0"/>
      <w:marTop w:val="0"/>
      <w:marBottom w:val="0"/>
      <w:divBdr>
        <w:top w:val="none" w:sz="0" w:space="0" w:color="auto"/>
        <w:left w:val="none" w:sz="0" w:space="0" w:color="auto"/>
        <w:bottom w:val="none" w:sz="0" w:space="0" w:color="auto"/>
        <w:right w:val="none" w:sz="0" w:space="0" w:color="auto"/>
      </w:divBdr>
    </w:div>
    <w:div w:id="1001736206">
      <w:bodyDiv w:val="1"/>
      <w:marLeft w:val="0"/>
      <w:marRight w:val="0"/>
      <w:marTop w:val="0"/>
      <w:marBottom w:val="0"/>
      <w:divBdr>
        <w:top w:val="none" w:sz="0" w:space="0" w:color="auto"/>
        <w:left w:val="none" w:sz="0" w:space="0" w:color="auto"/>
        <w:bottom w:val="none" w:sz="0" w:space="0" w:color="auto"/>
        <w:right w:val="none" w:sz="0" w:space="0" w:color="auto"/>
      </w:divBdr>
    </w:div>
    <w:div w:id="1027636332">
      <w:bodyDiv w:val="1"/>
      <w:marLeft w:val="0"/>
      <w:marRight w:val="0"/>
      <w:marTop w:val="0"/>
      <w:marBottom w:val="0"/>
      <w:divBdr>
        <w:top w:val="none" w:sz="0" w:space="0" w:color="auto"/>
        <w:left w:val="none" w:sz="0" w:space="0" w:color="auto"/>
        <w:bottom w:val="none" w:sz="0" w:space="0" w:color="auto"/>
        <w:right w:val="none" w:sz="0" w:space="0" w:color="auto"/>
      </w:divBdr>
    </w:div>
    <w:div w:id="1032658285">
      <w:bodyDiv w:val="1"/>
      <w:marLeft w:val="0"/>
      <w:marRight w:val="0"/>
      <w:marTop w:val="0"/>
      <w:marBottom w:val="0"/>
      <w:divBdr>
        <w:top w:val="none" w:sz="0" w:space="0" w:color="auto"/>
        <w:left w:val="none" w:sz="0" w:space="0" w:color="auto"/>
        <w:bottom w:val="none" w:sz="0" w:space="0" w:color="auto"/>
        <w:right w:val="none" w:sz="0" w:space="0" w:color="auto"/>
      </w:divBdr>
    </w:div>
    <w:div w:id="1033920116">
      <w:bodyDiv w:val="1"/>
      <w:marLeft w:val="0"/>
      <w:marRight w:val="0"/>
      <w:marTop w:val="0"/>
      <w:marBottom w:val="0"/>
      <w:divBdr>
        <w:top w:val="none" w:sz="0" w:space="0" w:color="auto"/>
        <w:left w:val="none" w:sz="0" w:space="0" w:color="auto"/>
        <w:bottom w:val="none" w:sz="0" w:space="0" w:color="auto"/>
        <w:right w:val="none" w:sz="0" w:space="0" w:color="auto"/>
      </w:divBdr>
    </w:div>
    <w:div w:id="1065567231">
      <w:bodyDiv w:val="1"/>
      <w:marLeft w:val="0"/>
      <w:marRight w:val="0"/>
      <w:marTop w:val="0"/>
      <w:marBottom w:val="0"/>
      <w:divBdr>
        <w:top w:val="none" w:sz="0" w:space="0" w:color="auto"/>
        <w:left w:val="none" w:sz="0" w:space="0" w:color="auto"/>
        <w:bottom w:val="none" w:sz="0" w:space="0" w:color="auto"/>
        <w:right w:val="none" w:sz="0" w:space="0" w:color="auto"/>
      </w:divBdr>
    </w:div>
    <w:div w:id="1078018715">
      <w:bodyDiv w:val="1"/>
      <w:marLeft w:val="0"/>
      <w:marRight w:val="0"/>
      <w:marTop w:val="0"/>
      <w:marBottom w:val="0"/>
      <w:divBdr>
        <w:top w:val="none" w:sz="0" w:space="0" w:color="auto"/>
        <w:left w:val="none" w:sz="0" w:space="0" w:color="auto"/>
        <w:bottom w:val="none" w:sz="0" w:space="0" w:color="auto"/>
        <w:right w:val="none" w:sz="0" w:space="0" w:color="auto"/>
      </w:divBdr>
    </w:div>
    <w:div w:id="1095637854">
      <w:bodyDiv w:val="1"/>
      <w:marLeft w:val="0"/>
      <w:marRight w:val="0"/>
      <w:marTop w:val="0"/>
      <w:marBottom w:val="0"/>
      <w:divBdr>
        <w:top w:val="none" w:sz="0" w:space="0" w:color="auto"/>
        <w:left w:val="none" w:sz="0" w:space="0" w:color="auto"/>
        <w:bottom w:val="none" w:sz="0" w:space="0" w:color="auto"/>
        <w:right w:val="none" w:sz="0" w:space="0" w:color="auto"/>
      </w:divBdr>
    </w:div>
    <w:div w:id="1096100640">
      <w:bodyDiv w:val="1"/>
      <w:marLeft w:val="0"/>
      <w:marRight w:val="0"/>
      <w:marTop w:val="0"/>
      <w:marBottom w:val="0"/>
      <w:divBdr>
        <w:top w:val="none" w:sz="0" w:space="0" w:color="auto"/>
        <w:left w:val="none" w:sz="0" w:space="0" w:color="auto"/>
        <w:bottom w:val="none" w:sz="0" w:space="0" w:color="auto"/>
        <w:right w:val="none" w:sz="0" w:space="0" w:color="auto"/>
      </w:divBdr>
    </w:div>
    <w:div w:id="1117866922">
      <w:bodyDiv w:val="1"/>
      <w:marLeft w:val="0"/>
      <w:marRight w:val="0"/>
      <w:marTop w:val="0"/>
      <w:marBottom w:val="0"/>
      <w:divBdr>
        <w:top w:val="none" w:sz="0" w:space="0" w:color="auto"/>
        <w:left w:val="none" w:sz="0" w:space="0" w:color="auto"/>
        <w:bottom w:val="none" w:sz="0" w:space="0" w:color="auto"/>
        <w:right w:val="none" w:sz="0" w:space="0" w:color="auto"/>
      </w:divBdr>
    </w:div>
    <w:div w:id="1155221549">
      <w:bodyDiv w:val="1"/>
      <w:marLeft w:val="0"/>
      <w:marRight w:val="0"/>
      <w:marTop w:val="0"/>
      <w:marBottom w:val="0"/>
      <w:divBdr>
        <w:top w:val="none" w:sz="0" w:space="0" w:color="auto"/>
        <w:left w:val="none" w:sz="0" w:space="0" w:color="auto"/>
        <w:bottom w:val="none" w:sz="0" w:space="0" w:color="auto"/>
        <w:right w:val="none" w:sz="0" w:space="0" w:color="auto"/>
      </w:divBdr>
      <w:divsChild>
        <w:div w:id="163977124">
          <w:marLeft w:val="0"/>
          <w:marRight w:val="0"/>
          <w:marTop w:val="0"/>
          <w:marBottom w:val="0"/>
          <w:divBdr>
            <w:top w:val="none" w:sz="0" w:space="0" w:color="auto"/>
            <w:left w:val="none" w:sz="0" w:space="0" w:color="auto"/>
            <w:bottom w:val="none" w:sz="0" w:space="0" w:color="auto"/>
            <w:right w:val="none" w:sz="0" w:space="0" w:color="auto"/>
          </w:divBdr>
        </w:div>
        <w:div w:id="213657658">
          <w:marLeft w:val="0"/>
          <w:marRight w:val="0"/>
          <w:marTop w:val="0"/>
          <w:marBottom w:val="0"/>
          <w:divBdr>
            <w:top w:val="none" w:sz="0" w:space="0" w:color="auto"/>
            <w:left w:val="none" w:sz="0" w:space="0" w:color="auto"/>
            <w:bottom w:val="none" w:sz="0" w:space="0" w:color="auto"/>
            <w:right w:val="none" w:sz="0" w:space="0" w:color="auto"/>
          </w:divBdr>
        </w:div>
        <w:div w:id="591822327">
          <w:marLeft w:val="0"/>
          <w:marRight w:val="0"/>
          <w:marTop w:val="0"/>
          <w:marBottom w:val="0"/>
          <w:divBdr>
            <w:top w:val="none" w:sz="0" w:space="0" w:color="auto"/>
            <w:left w:val="none" w:sz="0" w:space="0" w:color="auto"/>
            <w:bottom w:val="none" w:sz="0" w:space="0" w:color="auto"/>
            <w:right w:val="none" w:sz="0" w:space="0" w:color="auto"/>
          </w:divBdr>
        </w:div>
        <w:div w:id="1797870036">
          <w:marLeft w:val="0"/>
          <w:marRight w:val="0"/>
          <w:marTop w:val="0"/>
          <w:marBottom w:val="0"/>
          <w:divBdr>
            <w:top w:val="none" w:sz="0" w:space="0" w:color="auto"/>
            <w:left w:val="none" w:sz="0" w:space="0" w:color="auto"/>
            <w:bottom w:val="none" w:sz="0" w:space="0" w:color="auto"/>
            <w:right w:val="none" w:sz="0" w:space="0" w:color="auto"/>
          </w:divBdr>
        </w:div>
      </w:divsChild>
    </w:div>
    <w:div w:id="1177310252">
      <w:bodyDiv w:val="1"/>
      <w:marLeft w:val="0"/>
      <w:marRight w:val="0"/>
      <w:marTop w:val="0"/>
      <w:marBottom w:val="0"/>
      <w:divBdr>
        <w:top w:val="none" w:sz="0" w:space="0" w:color="auto"/>
        <w:left w:val="none" w:sz="0" w:space="0" w:color="auto"/>
        <w:bottom w:val="none" w:sz="0" w:space="0" w:color="auto"/>
        <w:right w:val="none" w:sz="0" w:space="0" w:color="auto"/>
      </w:divBdr>
      <w:divsChild>
        <w:div w:id="640691012">
          <w:marLeft w:val="0"/>
          <w:marRight w:val="0"/>
          <w:marTop w:val="0"/>
          <w:marBottom w:val="0"/>
          <w:divBdr>
            <w:top w:val="none" w:sz="0" w:space="0" w:color="auto"/>
            <w:left w:val="none" w:sz="0" w:space="0" w:color="auto"/>
            <w:bottom w:val="none" w:sz="0" w:space="0" w:color="auto"/>
            <w:right w:val="none" w:sz="0" w:space="0" w:color="auto"/>
          </w:divBdr>
        </w:div>
        <w:div w:id="1934195702">
          <w:marLeft w:val="810"/>
          <w:marRight w:val="810"/>
          <w:marTop w:val="360"/>
          <w:marBottom w:val="0"/>
          <w:divBdr>
            <w:top w:val="none" w:sz="0" w:space="0" w:color="auto"/>
            <w:left w:val="none" w:sz="0" w:space="0" w:color="auto"/>
            <w:bottom w:val="none" w:sz="0" w:space="0" w:color="auto"/>
            <w:right w:val="none" w:sz="0" w:space="0" w:color="auto"/>
          </w:divBdr>
        </w:div>
      </w:divsChild>
    </w:div>
    <w:div w:id="1216039842">
      <w:bodyDiv w:val="1"/>
      <w:marLeft w:val="0"/>
      <w:marRight w:val="0"/>
      <w:marTop w:val="0"/>
      <w:marBottom w:val="0"/>
      <w:divBdr>
        <w:top w:val="none" w:sz="0" w:space="0" w:color="auto"/>
        <w:left w:val="none" w:sz="0" w:space="0" w:color="auto"/>
        <w:bottom w:val="none" w:sz="0" w:space="0" w:color="auto"/>
        <w:right w:val="none" w:sz="0" w:space="0" w:color="auto"/>
      </w:divBdr>
    </w:div>
    <w:div w:id="1258827104">
      <w:bodyDiv w:val="1"/>
      <w:marLeft w:val="0"/>
      <w:marRight w:val="0"/>
      <w:marTop w:val="0"/>
      <w:marBottom w:val="0"/>
      <w:divBdr>
        <w:top w:val="none" w:sz="0" w:space="0" w:color="auto"/>
        <w:left w:val="none" w:sz="0" w:space="0" w:color="auto"/>
        <w:bottom w:val="none" w:sz="0" w:space="0" w:color="auto"/>
        <w:right w:val="none" w:sz="0" w:space="0" w:color="auto"/>
      </w:divBdr>
    </w:div>
    <w:div w:id="1266427390">
      <w:bodyDiv w:val="1"/>
      <w:marLeft w:val="0"/>
      <w:marRight w:val="0"/>
      <w:marTop w:val="0"/>
      <w:marBottom w:val="0"/>
      <w:divBdr>
        <w:top w:val="none" w:sz="0" w:space="0" w:color="auto"/>
        <w:left w:val="none" w:sz="0" w:space="0" w:color="auto"/>
        <w:bottom w:val="none" w:sz="0" w:space="0" w:color="auto"/>
        <w:right w:val="none" w:sz="0" w:space="0" w:color="auto"/>
      </w:divBdr>
    </w:div>
    <w:div w:id="1271667245">
      <w:bodyDiv w:val="1"/>
      <w:marLeft w:val="0"/>
      <w:marRight w:val="0"/>
      <w:marTop w:val="0"/>
      <w:marBottom w:val="0"/>
      <w:divBdr>
        <w:top w:val="none" w:sz="0" w:space="0" w:color="auto"/>
        <w:left w:val="none" w:sz="0" w:space="0" w:color="auto"/>
        <w:bottom w:val="none" w:sz="0" w:space="0" w:color="auto"/>
        <w:right w:val="none" w:sz="0" w:space="0" w:color="auto"/>
      </w:divBdr>
    </w:div>
    <w:div w:id="1272977955">
      <w:bodyDiv w:val="1"/>
      <w:marLeft w:val="0"/>
      <w:marRight w:val="0"/>
      <w:marTop w:val="0"/>
      <w:marBottom w:val="0"/>
      <w:divBdr>
        <w:top w:val="none" w:sz="0" w:space="0" w:color="auto"/>
        <w:left w:val="none" w:sz="0" w:space="0" w:color="auto"/>
        <w:bottom w:val="none" w:sz="0" w:space="0" w:color="auto"/>
        <w:right w:val="none" w:sz="0" w:space="0" w:color="auto"/>
      </w:divBdr>
    </w:div>
    <w:div w:id="1294629529">
      <w:bodyDiv w:val="1"/>
      <w:marLeft w:val="0"/>
      <w:marRight w:val="0"/>
      <w:marTop w:val="0"/>
      <w:marBottom w:val="0"/>
      <w:divBdr>
        <w:top w:val="none" w:sz="0" w:space="0" w:color="auto"/>
        <w:left w:val="none" w:sz="0" w:space="0" w:color="auto"/>
        <w:bottom w:val="none" w:sz="0" w:space="0" w:color="auto"/>
        <w:right w:val="none" w:sz="0" w:space="0" w:color="auto"/>
      </w:divBdr>
    </w:div>
    <w:div w:id="1318455363">
      <w:bodyDiv w:val="1"/>
      <w:marLeft w:val="0"/>
      <w:marRight w:val="0"/>
      <w:marTop w:val="0"/>
      <w:marBottom w:val="0"/>
      <w:divBdr>
        <w:top w:val="none" w:sz="0" w:space="0" w:color="auto"/>
        <w:left w:val="none" w:sz="0" w:space="0" w:color="auto"/>
        <w:bottom w:val="none" w:sz="0" w:space="0" w:color="auto"/>
        <w:right w:val="none" w:sz="0" w:space="0" w:color="auto"/>
      </w:divBdr>
    </w:div>
    <w:div w:id="1395540978">
      <w:bodyDiv w:val="1"/>
      <w:marLeft w:val="0"/>
      <w:marRight w:val="0"/>
      <w:marTop w:val="0"/>
      <w:marBottom w:val="0"/>
      <w:divBdr>
        <w:top w:val="none" w:sz="0" w:space="0" w:color="auto"/>
        <w:left w:val="none" w:sz="0" w:space="0" w:color="auto"/>
        <w:bottom w:val="none" w:sz="0" w:space="0" w:color="auto"/>
        <w:right w:val="none" w:sz="0" w:space="0" w:color="auto"/>
      </w:divBdr>
    </w:div>
    <w:div w:id="1464886436">
      <w:bodyDiv w:val="1"/>
      <w:marLeft w:val="0"/>
      <w:marRight w:val="0"/>
      <w:marTop w:val="0"/>
      <w:marBottom w:val="0"/>
      <w:divBdr>
        <w:top w:val="none" w:sz="0" w:space="0" w:color="auto"/>
        <w:left w:val="none" w:sz="0" w:space="0" w:color="auto"/>
        <w:bottom w:val="none" w:sz="0" w:space="0" w:color="auto"/>
        <w:right w:val="none" w:sz="0" w:space="0" w:color="auto"/>
      </w:divBdr>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
    <w:div w:id="1644315923">
      <w:bodyDiv w:val="1"/>
      <w:marLeft w:val="0"/>
      <w:marRight w:val="0"/>
      <w:marTop w:val="0"/>
      <w:marBottom w:val="0"/>
      <w:divBdr>
        <w:top w:val="none" w:sz="0" w:space="0" w:color="auto"/>
        <w:left w:val="none" w:sz="0" w:space="0" w:color="auto"/>
        <w:bottom w:val="none" w:sz="0" w:space="0" w:color="auto"/>
        <w:right w:val="none" w:sz="0" w:space="0" w:color="auto"/>
      </w:divBdr>
    </w:div>
    <w:div w:id="1658606409">
      <w:bodyDiv w:val="1"/>
      <w:marLeft w:val="0"/>
      <w:marRight w:val="0"/>
      <w:marTop w:val="0"/>
      <w:marBottom w:val="0"/>
      <w:divBdr>
        <w:top w:val="none" w:sz="0" w:space="0" w:color="auto"/>
        <w:left w:val="none" w:sz="0" w:space="0" w:color="auto"/>
        <w:bottom w:val="none" w:sz="0" w:space="0" w:color="auto"/>
        <w:right w:val="none" w:sz="0" w:space="0" w:color="auto"/>
      </w:divBdr>
    </w:div>
    <w:div w:id="1720126631">
      <w:bodyDiv w:val="1"/>
      <w:marLeft w:val="0"/>
      <w:marRight w:val="0"/>
      <w:marTop w:val="0"/>
      <w:marBottom w:val="0"/>
      <w:divBdr>
        <w:top w:val="none" w:sz="0" w:space="0" w:color="auto"/>
        <w:left w:val="none" w:sz="0" w:space="0" w:color="auto"/>
        <w:bottom w:val="none" w:sz="0" w:space="0" w:color="auto"/>
        <w:right w:val="none" w:sz="0" w:space="0" w:color="auto"/>
      </w:divBdr>
    </w:div>
    <w:div w:id="1777822062">
      <w:bodyDiv w:val="1"/>
      <w:marLeft w:val="0"/>
      <w:marRight w:val="0"/>
      <w:marTop w:val="0"/>
      <w:marBottom w:val="0"/>
      <w:divBdr>
        <w:top w:val="none" w:sz="0" w:space="0" w:color="auto"/>
        <w:left w:val="none" w:sz="0" w:space="0" w:color="auto"/>
        <w:bottom w:val="none" w:sz="0" w:space="0" w:color="auto"/>
        <w:right w:val="none" w:sz="0" w:space="0" w:color="auto"/>
      </w:divBdr>
    </w:div>
    <w:div w:id="1787388741">
      <w:bodyDiv w:val="1"/>
      <w:marLeft w:val="0"/>
      <w:marRight w:val="0"/>
      <w:marTop w:val="0"/>
      <w:marBottom w:val="0"/>
      <w:divBdr>
        <w:top w:val="none" w:sz="0" w:space="0" w:color="auto"/>
        <w:left w:val="none" w:sz="0" w:space="0" w:color="auto"/>
        <w:bottom w:val="none" w:sz="0" w:space="0" w:color="auto"/>
        <w:right w:val="none" w:sz="0" w:space="0" w:color="auto"/>
      </w:divBdr>
    </w:div>
    <w:div w:id="1797019135">
      <w:bodyDiv w:val="1"/>
      <w:marLeft w:val="0"/>
      <w:marRight w:val="0"/>
      <w:marTop w:val="0"/>
      <w:marBottom w:val="0"/>
      <w:divBdr>
        <w:top w:val="none" w:sz="0" w:space="0" w:color="auto"/>
        <w:left w:val="none" w:sz="0" w:space="0" w:color="auto"/>
        <w:bottom w:val="none" w:sz="0" w:space="0" w:color="auto"/>
        <w:right w:val="none" w:sz="0" w:space="0" w:color="auto"/>
      </w:divBdr>
    </w:div>
    <w:div w:id="1807887953">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sChild>
        <w:div w:id="648707818">
          <w:marLeft w:val="0"/>
          <w:marRight w:val="0"/>
          <w:marTop w:val="0"/>
          <w:marBottom w:val="0"/>
          <w:divBdr>
            <w:top w:val="none" w:sz="0" w:space="0" w:color="auto"/>
            <w:left w:val="none" w:sz="0" w:space="0" w:color="auto"/>
            <w:bottom w:val="none" w:sz="0" w:space="0" w:color="auto"/>
            <w:right w:val="none" w:sz="0" w:space="0" w:color="auto"/>
          </w:divBdr>
          <w:divsChild>
            <w:div w:id="15625169">
              <w:marLeft w:val="0"/>
              <w:marRight w:val="0"/>
              <w:marTop w:val="0"/>
              <w:marBottom w:val="0"/>
              <w:divBdr>
                <w:top w:val="none" w:sz="0" w:space="0" w:color="auto"/>
                <w:left w:val="none" w:sz="0" w:space="0" w:color="auto"/>
                <w:bottom w:val="none" w:sz="0" w:space="0" w:color="auto"/>
                <w:right w:val="none" w:sz="0" w:space="0" w:color="auto"/>
              </w:divBdr>
            </w:div>
            <w:div w:id="92481426">
              <w:marLeft w:val="0"/>
              <w:marRight w:val="0"/>
              <w:marTop w:val="0"/>
              <w:marBottom w:val="0"/>
              <w:divBdr>
                <w:top w:val="none" w:sz="0" w:space="0" w:color="auto"/>
                <w:left w:val="none" w:sz="0" w:space="0" w:color="auto"/>
                <w:bottom w:val="none" w:sz="0" w:space="0" w:color="auto"/>
                <w:right w:val="none" w:sz="0" w:space="0" w:color="auto"/>
              </w:divBdr>
            </w:div>
            <w:div w:id="343015529">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
            <w:div w:id="607469660">
              <w:marLeft w:val="0"/>
              <w:marRight w:val="0"/>
              <w:marTop w:val="0"/>
              <w:marBottom w:val="0"/>
              <w:divBdr>
                <w:top w:val="none" w:sz="0" w:space="0" w:color="auto"/>
                <w:left w:val="none" w:sz="0" w:space="0" w:color="auto"/>
                <w:bottom w:val="none" w:sz="0" w:space="0" w:color="auto"/>
                <w:right w:val="none" w:sz="0" w:space="0" w:color="auto"/>
              </w:divBdr>
            </w:div>
            <w:div w:id="1240678065">
              <w:marLeft w:val="0"/>
              <w:marRight w:val="0"/>
              <w:marTop w:val="0"/>
              <w:marBottom w:val="0"/>
              <w:divBdr>
                <w:top w:val="none" w:sz="0" w:space="0" w:color="auto"/>
                <w:left w:val="none" w:sz="0" w:space="0" w:color="auto"/>
                <w:bottom w:val="none" w:sz="0" w:space="0" w:color="auto"/>
                <w:right w:val="none" w:sz="0" w:space="0" w:color="auto"/>
              </w:divBdr>
            </w:div>
            <w:div w:id="1600798468">
              <w:marLeft w:val="0"/>
              <w:marRight w:val="0"/>
              <w:marTop w:val="0"/>
              <w:marBottom w:val="0"/>
              <w:divBdr>
                <w:top w:val="none" w:sz="0" w:space="0" w:color="auto"/>
                <w:left w:val="none" w:sz="0" w:space="0" w:color="auto"/>
                <w:bottom w:val="none" w:sz="0" w:space="0" w:color="auto"/>
                <w:right w:val="none" w:sz="0" w:space="0" w:color="auto"/>
              </w:divBdr>
            </w:div>
            <w:div w:id="1619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018">
      <w:bodyDiv w:val="1"/>
      <w:marLeft w:val="0"/>
      <w:marRight w:val="0"/>
      <w:marTop w:val="0"/>
      <w:marBottom w:val="0"/>
      <w:divBdr>
        <w:top w:val="none" w:sz="0" w:space="0" w:color="auto"/>
        <w:left w:val="none" w:sz="0" w:space="0" w:color="auto"/>
        <w:bottom w:val="none" w:sz="0" w:space="0" w:color="auto"/>
        <w:right w:val="none" w:sz="0" w:space="0" w:color="auto"/>
      </w:divBdr>
      <w:divsChild>
        <w:div w:id="212932072">
          <w:marLeft w:val="0"/>
          <w:marRight w:val="0"/>
          <w:marTop w:val="0"/>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74826017">
      <w:bodyDiv w:val="1"/>
      <w:marLeft w:val="0"/>
      <w:marRight w:val="0"/>
      <w:marTop w:val="0"/>
      <w:marBottom w:val="0"/>
      <w:divBdr>
        <w:top w:val="none" w:sz="0" w:space="0" w:color="auto"/>
        <w:left w:val="none" w:sz="0" w:space="0" w:color="auto"/>
        <w:bottom w:val="none" w:sz="0" w:space="0" w:color="auto"/>
        <w:right w:val="none" w:sz="0" w:space="0" w:color="auto"/>
      </w:divBdr>
    </w:div>
    <w:div w:id="1979459714">
      <w:bodyDiv w:val="1"/>
      <w:marLeft w:val="0"/>
      <w:marRight w:val="0"/>
      <w:marTop w:val="0"/>
      <w:marBottom w:val="0"/>
      <w:divBdr>
        <w:top w:val="none" w:sz="0" w:space="0" w:color="auto"/>
        <w:left w:val="none" w:sz="0" w:space="0" w:color="auto"/>
        <w:bottom w:val="none" w:sz="0" w:space="0" w:color="auto"/>
        <w:right w:val="none" w:sz="0" w:space="0" w:color="auto"/>
      </w:divBdr>
    </w:div>
    <w:div w:id="202659178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1442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leppik@fin.ee"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yperlink" Target="https://www.riigiteataja.ee/akt/dyn=107082015010&amp;id=121122010021!pr53lg4"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agnes.peterson@fin.ee" TargetMode="External"/><Relationship Id="rId17" Type="http://schemas.openxmlformats.org/officeDocument/2006/relationships/image" Target="media/image5.png"/><Relationship Id="rId25" Type="http://schemas.openxmlformats.org/officeDocument/2006/relationships/hyperlink" Target="https://www.riigiteataja.ee/akt/dyn=107082015010&amp;id=121122010021!pr53lg4"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je.lilover@fin.e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eur-lex.europa.eu/legal-content/ET/TXT/HTML/?uri=CELEX:32020L1504&amp;from=EN" TargetMode="External"/><Relationship Id="rId10" Type="http://schemas.openxmlformats.org/officeDocument/2006/relationships/hyperlink" Target="mailto:thomas.auvaart@fin.ee"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istiina.kubja@fin.ee"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yperlink" Target="https://www.riigiteataja.ee/akt/dyn=107082015010&amp;id=121122010021!pr53lg4"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sites/info/files/business_economy_euro/banking_and_finance/documents/mifid-2004-0039-commission-questions-answers_en_0.pdf" TargetMode="External"/><Relationship Id="rId18" Type="http://schemas.openxmlformats.org/officeDocument/2006/relationships/hyperlink" Target="https://eur-lex.europa.eu/legal-content/ET/TXT/HTML/?uri=CELEX:32020L1504&amp;qid=1606384145932&amp;from=EN" TargetMode="External"/><Relationship Id="rId26" Type="http://schemas.openxmlformats.org/officeDocument/2006/relationships/hyperlink" Target="https://www.politsei.ee/files/Rahapesu/virtuaalvaeaeringu-teenuse-pakkujate-uuring.pdf?9fd7e5611b" TargetMode="External"/><Relationship Id="rId21" Type="http://schemas.openxmlformats.org/officeDocument/2006/relationships/hyperlink" Target="https://ec.europa.eu/info/publications/200924-digital-finance-proposals_et" TargetMode="External"/><Relationship Id="rId34" Type="http://schemas.openxmlformats.org/officeDocument/2006/relationships/hyperlink" Target="https://rahafoorum.ee/p2p/" TargetMode="External"/><Relationship Id="rId7" Type="http://schemas.openxmlformats.org/officeDocument/2006/relationships/hyperlink" Target="https://eelnoud.valitsus.ee/main/mount/docList/f2673bd9-766e-4fb0-aa8a-c11593bd1e0c" TargetMode="External"/><Relationship Id="rId12" Type="http://schemas.openxmlformats.org/officeDocument/2006/relationships/hyperlink" Target="https://www.oecd.org/finance/ICOs-for-SME-Financing.pdf" TargetMode="External"/><Relationship Id="rId17" Type="http://schemas.openxmlformats.org/officeDocument/2006/relationships/hyperlink" Target="https://eur-lex.europa.eu/legal-content/ET/TXT/HTML/?uri=CELEX:32020R1503&amp;from=EN" TargetMode="External"/><Relationship Id="rId25" Type="http://schemas.openxmlformats.org/officeDocument/2006/relationships/hyperlink" Target="https://www.newsd.admin.ch/newsd/message/attachments/56166.pdf" TargetMode="External"/><Relationship Id="rId33" Type="http://schemas.openxmlformats.org/officeDocument/2006/relationships/hyperlink" Target="https://eur-lex.europa.eu/legal-content/ET/TXT/HTML/?uri=CELEX:32020R1503&amp;from=EN" TargetMode="External"/><Relationship Id="rId2" Type="http://schemas.openxmlformats.org/officeDocument/2006/relationships/hyperlink" Target="https://www.valitsus.ee/valitsuse-eesmargid-ja-tegevused/valitsemise-alused/tegevusprogramm" TargetMode="External"/><Relationship Id="rId16" Type="http://schemas.openxmlformats.org/officeDocument/2006/relationships/hyperlink" Target="https://www.riigikogu.ee/tegevus/eelnoud/eelnou/950bdd45-ccf9-468c-b66e-511edb1d6e3f/Krediidiandjate%20ja%20&#8211;vahendajate%20seadus" TargetMode="External"/><Relationship Id="rId20" Type="http://schemas.openxmlformats.org/officeDocument/2006/relationships/hyperlink" Target="https://www.bafin.de/SharedDocs/Veroeffentlichungen/EN/BaFinPerspektiven/2018/bp_18-1_Beitrag_Fusswinkel_en.html" TargetMode="External"/><Relationship Id="rId29" Type="http://schemas.openxmlformats.org/officeDocument/2006/relationships/hyperlink" Target="https://fi.ee/sites/default/files/2022-06/Sobivusmenetluste%20l%C3%A4biviimise%20juhend_MUUDETUD_KINNITATUD.pdf" TargetMode="External"/><Relationship Id="rId1" Type="http://schemas.openxmlformats.org/officeDocument/2006/relationships/hyperlink" Target="https://www.fin.ee/media/5681/downloadhttps://www.rahandusministeerium.ee/system/files_force/document_files/finantspoliitika_programm_2021-2024.pdf?download=1" TargetMode="External"/><Relationship Id="rId6" Type="http://schemas.openxmlformats.org/officeDocument/2006/relationships/hyperlink" Target="https://www.fi.ee/et/uudised/finantsinspektsioon-tegi-ettepaneku-uhisrahastuse-reguleerimiseks" TargetMode="External"/><Relationship Id="rId11" Type="http://schemas.openxmlformats.org/officeDocument/2006/relationships/hyperlink" Target="https://www.oecd.org/finance/ICOs-for-SME-Financing.pdf" TargetMode="External"/><Relationship Id="rId24" Type="http://schemas.openxmlformats.org/officeDocument/2006/relationships/hyperlink" Target="https://eur-lex.europa.eu/legal-content/Et/TXT/?uri=CELEX%3A32020R1503" TargetMode="External"/><Relationship Id="rId32" Type="http://schemas.openxmlformats.org/officeDocument/2006/relationships/hyperlink" Target="https://eur-lex.europa.eu/legal-content/Et/TXT/?uri=CELEX%3A32020R1503" TargetMode="External"/><Relationship Id="rId37" Type="http://schemas.openxmlformats.org/officeDocument/2006/relationships/hyperlink" Target="https://www.politsei.ee/files/Rahapesu/virtuaalvaeaeringu-teenuse-pakkujate-uuring.pdf?9fd7e5611b" TargetMode="External"/><Relationship Id="rId5" Type="http://schemas.openxmlformats.org/officeDocument/2006/relationships/hyperlink" Target="https://www.eestipank.ee/publikatsioon/finantsstabiilsuse-ulevaade/2020/finantsstabiilsuse-ulevaade-12020" TargetMode="External"/><Relationship Id="rId15" Type="http://schemas.openxmlformats.org/officeDocument/2006/relationships/hyperlink" Target="https://ssrn.com/abstract=2187812" TargetMode="External"/><Relationship Id="rId23" Type="http://schemas.openxmlformats.org/officeDocument/2006/relationships/hyperlink" Target="https://www.politsei.ee/files/Rahapesu/virtuaalvaeaeringu-teenuse-pakkujate-uuring.pdf?9fd7e5611b" TargetMode="External"/><Relationship Id="rId28" Type="http://schemas.openxmlformats.org/officeDocument/2006/relationships/hyperlink" Target="https://eur-lex.europa.eu/legal-content/Et/TXT/?uri=CELEX%3A32020R1503" TargetMode="External"/><Relationship Id="rId36" Type="http://schemas.openxmlformats.org/officeDocument/2006/relationships/hyperlink" Target="https://leht.postimees.ee/7123356/uhisrahastajad-pistavad-rinda-oma-ajaloo-esimese-kriisiaastaga" TargetMode="External"/><Relationship Id="rId10" Type="http://schemas.openxmlformats.org/officeDocument/2006/relationships/hyperlink" Target="https://www.oecd.org/finance/ICOs-for-SME-Financing.pdf" TargetMode="External"/><Relationship Id="rId19" Type="http://schemas.openxmlformats.org/officeDocument/2006/relationships/hyperlink" Target="http://www.untitled-inc.com/the-token-classification-framework-a-multi-dimensional-tool-for-understanding-and-classifying-crypto-tokens/" TargetMode="External"/><Relationship Id="rId31" Type="http://schemas.openxmlformats.org/officeDocument/2006/relationships/hyperlink" Target="https://eur-lex.europa.eu/legal-content/Et/TXT/?uri=CELEX%3A02013R0575-20220410" TargetMode="External"/><Relationship Id="rId4" Type="http://schemas.openxmlformats.org/officeDocument/2006/relationships/hyperlink" Target="https://www.eestipank.ee/publikatsioon/finantsstabiilsuse-ulevaade/2018/finantsstabiilsuse-ulevaade-12018" TargetMode="External"/><Relationship Id="rId9" Type="http://schemas.openxmlformats.org/officeDocument/2006/relationships/hyperlink" Target="https://eur-lex.europa.eu/legal-content/EN/TXT/?uri=CELEX%3A32017R1129" TargetMode="External"/><Relationship Id="rId14" Type="http://schemas.openxmlformats.org/officeDocument/2006/relationships/hyperlink" Target="http://eur-lex.europa.eu/legal-content/ET/TXT/HTML/?uri=CELEX:52016DC0626&amp;from=EN" TargetMode="External"/><Relationship Id="rId22" Type="http://schemas.openxmlformats.org/officeDocument/2006/relationships/hyperlink" Target="https://bruegel.org/wp-content/uploads/2019/03/PC-06_2019_-1.pdf" TargetMode="External"/><Relationship Id="rId27" Type="http://schemas.openxmlformats.org/officeDocument/2006/relationships/hyperlink" Target="https://eur-lex.europa.eu/legal-content/Et/TXT/?uri=CELEX%3A32020R1503" TargetMode="External"/><Relationship Id="rId30" Type="http://schemas.openxmlformats.org/officeDocument/2006/relationships/hyperlink" Target="https://fi.ee/sites/default/files/2018-08/pp_nr_06.1_20170202_Nouded_finantsjarelevalve_subjekti_talitluspidevuse_protsessi_korraldamisele.pdf" TargetMode="External"/><Relationship Id="rId35" Type="http://schemas.openxmlformats.org/officeDocument/2006/relationships/hyperlink" Target="https://www.politsei.ee/files/Rahapesu/virtuaalvaeaeringu-teenuse-pakkujate-uuring.pdf?9fd7e5611b" TargetMode="External"/><Relationship Id="rId8" Type="http://schemas.openxmlformats.org/officeDocument/2006/relationships/hyperlink" Target="https://eur-lex.europa.eu/legal-content/EN/TXT/?uri=celex%3A32014L0065" TargetMode="External"/><Relationship Id="rId3" Type="http://schemas.openxmlformats.org/officeDocument/2006/relationships/hyperlink" Target="https://www.consilium.europa.eu/en/press/press-releases/2022/06/30/digital-finance-agreement-reached-on-european-crypto-assets-regulation-mic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A22E8-217B-4B24-A28C-06E0A3D1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123</Pages>
  <Words>64596</Words>
  <Characters>374661</Characters>
  <Application>Microsoft Office Word</Application>
  <DocSecurity>0</DocSecurity>
  <Lines>3122</Lines>
  <Paragraphs>876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438381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Soontaga</dc:creator>
  <cp:keywords/>
  <dc:description/>
  <cp:lastModifiedBy>Kristen Leppik</cp:lastModifiedBy>
  <cp:revision>6</cp:revision>
  <cp:lastPrinted>2020-10-28T15:16:00Z</cp:lastPrinted>
  <dcterms:created xsi:type="dcterms:W3CDTF">2022-07-08T11:38:00Z</dcterms:created>
  <dcterms:modified xsi:type="dcterms:W3CDTF">2022-07-08T15:45:00Z</dcterms:modified>
</cp:coreProperties>
</file>